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   (</w:t>
            </w:r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>Yuri Pawlak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>Alex Kusmenkovsky</w:t>
      </w:r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5E093B85" w:rsidR="00E61404" w:rsidRDefault="00A335FA" w:rsidP="0050638B">
      <w:pPr>
        <w:pStyle w:val="TF-TEXTO"/>
      </w:pPr>
      <w:r>
        <w:t xml:space="preserve">Quando a pandemia chegou ao Brasil em 2020, houve um aumento significativo nas restrições, as empresas 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(K</w:t>
      </w:r>
      <w:r w:rsidR="00BD44C6">
        <w:t>ESLEY</w:t>
      </w:r>
      <w:r w:rsidR="004F5BF6">
        <w:t>, 2021).</w:t>
      </w:r>
      <w:r w:rsidR="00D753DC">
        <w:t xml:space="preserve"> </w:t>
      </w:r>
      <w:r w:rsidR="00FB6167">
        <w:t>Na realização das compras, a</w:t>
      </w:r>
      <w:r w:rsidR="00D753DC">
        <w:t xml:space="preserve"> pesquisa de produtos que estão com potencial em vendas no comercio eletrônico</w:t>
      </w:r>
      <w:r w:rsidR="00480F0B">
        <w:t xml:space="preserve"> </w:t>
      </w:r>
      <w:r w:rsidR="00D753DC">
        <w:t>são ligadas a plataformas de negócio</w:t>
      </w:r>
      <w:r w:rsidR="00071466">
        <w:t>s</w:t>
      </w:r>
      <w:r w:rsidR="00D753DC">
        <w:t xml:space="preserve"> </w:t>
      </w:r>
      <w:r w:rsidR="00F131AF" w:rsidRPr="00FB6167">
        <w:rPr>
          <w:i/>
          <w:iCs/>
        </w:rPr>
        <w:t>dropshipping</w:t>
      </w:r>
      <w:r w:rsidR="00071466">
        <w:t xml:space="preserve">, como a </w:t>
      </w:r>
      <w:r w:rsidR="00071466" w:rsidRPr="009030A2">
        <w:rPr>
          <w:i/>
          <w:iCs/>
        </w:rPr>
        <w:t>dropshipping</w:t>
      </w:r>
      <w:r w:rsidR="00071466">
        <w:t xml:space="preserve"> store no Aliexpress e a Sell </w:t>
      </w:r>
      <w:r w:rsidR="009519A2">
        <w:t>T</w:t>
      </w:r>
      <w:r w:rsidR="00071466">
        <w:t xml:space="preserve">his </w:t>
      </w:r>
      <w:r w:rsidR="009519A2">
        <w:t>N</w:t>
      </w:r>
      <w:r w:rsidR="00071466">
        <w:t>ow</w:t>
      </w:r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>na plataforma AliExpress</w:t>
      </w:r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5C0D8A51" w:rsidR="00732AC4" w:rsidRPr="009030A2" w:rsidRDefault="00071466" w:rsidP="00E975C4">
      <w:pPr>
        <w:pStyle w:val="TF-TEXTO"/>
        <w:rPr>
          <w:sz w:val="20"/>
        </w:rPr>
      </w:pPr>
      <w:r>
        <w:t>Neste cenário se encontra a empresa Yunner</w:t>
      </w:r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comercio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>efetua vendas de diversos produtos que são observados e mapeados como produtos com alta escala em vendas, com um faturamento de 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r w:rsidR="00F131AF" w:rsidRPr="00726C13">
        <w:rPr>
          <w:i/>
          <w:iCs/>
        </w:rPr>
        <w:t>dropshipping</w:t>
      </w:r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r w:rsidR="00480F0B">
        <w:t>A</w:t>
      </w:r>
      <w:r w:rsidR="00575A20">
        <w:t xml:space="preserve">ds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r w:rsidR="00865D93" w:rsidRPr="00865D93">
        <w:t>Yunner</w:t>
      </w:r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tarefa </w:t>
      </w:r>
      <w:r w:rsidR="000F4456" w:rsidRPr="009030A2">
        <w:rPr>
          <w:rStyle w:val="TF-COURIER10"/>
        </w:rPr>
        <w:t xml:space="preserve">Acessar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necessário </w:t>
      </w:r>
      <w:r w:rsidR="00E975C4" w:rsidRPr="009030A2">
        <w:rPr>
          <w:rStyle w:val="TF-COURIER10"/>
        </w:rPr>
        <w:t>Realizar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palavra Chave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preciso </w:t>
      </w:r>
      <w:r w:rsidR="00C82F50" w:rsidRPr="009030A2">
        <w:rPr>
          <w:rStyle w:val="TF-COURIER10"/>
        </w:rPr>
        <w:t xml:space="preserve">Selecionar </w:t>
      </w:r>
      <w:r w:rsidR="00C82F50" w:rsidRPr="009030A2">
        <w:rPr>
          <w:rStyle w:val="TF-COURIER10"/>
        </w:rPr>
        <w:lastRenderedPageBreak/>
        <w:t>apenas os anúncios que são de “Dropshipping”</w:t>
      </w:r>
      <w:r w:rsidR="00047AE6">
        <w:t xml:space="preserve"> </w:t>
      </w:r>
      <w:r w:rsidR="000F4456">
        <w:t xml:space="preserve">por meio </w:t>
      </w:r>
      <w:r w:rsidR="00495085">
        <w:t xml:space="preserve">de uma extensão chamada “Aliassist”, </w:t>
      </w:r>
      <w:r w:rsidR="000F4456">
        <w:t xml:space="preserve">na qual </w:t>
      </w:r>
      <w:r w:rsidR="00495085">
        <w:t xml:space="preserve">é capturado se o produto tem na </w:t>
      </w:r>
      <w:r w:rsidR="00865D93">
        <w:t>Ali Express</w:t>
      </w:r>
      <w:r w:rsidR="00E326AA">
        <w:t xml:space="preserve">, </w:t>
      </w:r>
      <w:r w:rsidR="00BC0BDE">
        <w:t>principal 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tarefa </w:t>
      </w:r>
      <w:r w:rsidR="00C82F50" w:rsidRPr="009030A2">
        <w:rPr>
          <w:rStyle w:val="TF-COURIER10"/>
        </w:rPr>
        <w:t>Analisar as vendas dos produtos selecionas nas plataformas Aliexpress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tarefa </w:t>
      </w:r>
      <w:r w:rsidR="009030A2" w:rsidRPr="009030A2">
        <w:rPr>
          <w:rStyle w:val="TF-COURIER10"/>
        </w:rPr>
        <w:t>Encaminhar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4A5B4F4D" w:rsidR="00FD0D77" w:rsidRDefault="00726C18" w:rsidP="007C7F43">
      <w:pPr>
        <w:pStyle w:val="TF-LEGENDA"/>
      </w:pPr>
      <w:bookmarkStart w:id="10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0"/>
      <w:r w:rsidRPr="00726C18">
        <w:t xml:space="preserve"> - Fluxograma </w:t>
      </w:r>
      <w:r w:rsidR="007C7F43">
        <w:t xml:space="preserve">das atividades do </w:t>
      </w:r>
      <w:r w:rsidR="007C7F43" w:rsidRPr="007C7F43">
        <w:t xml:space="preserve">setor de mineração de produtos </w:t>
      </w:r>
      <w:r>
        <w:rPr>
          <w:noProof/>
        </w:rPr>
        <w:drawing>
          <wp:inline distT="0" distB="0" distL="0" distR="0" wp14:anchorId="79507621" wp14:editId="7895B83D">
            <wp:extent cx="5760720" cy="843915"/>
            <wp:effectExtent l="19050" t="19050" r="11430" b="13335"/>
            <wp:docPr id="10253833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83314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4D14B7D2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>A visão de número de vendas dos produtos nas plataformas analisadas, sem ter uma data de quando o produto foi publicado, traz um grave erro, pois pode ser que o produto foi público 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r w:rsidR="005B2253" w:rsidRPr="005B2253">
        <w:t>Yunner</w:t>
      </w:r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1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1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2" w:name="_Toc419598587"/>
      <w:r>
        <w:lastRenderedPageBreak/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3" w:name="_Ref131705624"/>
      <w:bookmarkStart w:id="14" w:name="_Ref133064672"/>
      <w:r>
        <w:t>Revisão Bibliográfica</w:t>
      </w:r>
      <w:bookmarkEnd w:id="13"/>
      <w:bookmarkEnd w:id="14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r w:rsidR="00D4123E" w:rsidRPr="00FB6167">
        <w:rPr>
          <w:i/>
          <w:iCs/>
        </w:rPr>
        <w:t>dropshipping</w:t>
      </w:r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5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5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>, Froemming</w:t>
      </w:r>
      <w:r w:rsidR="00786746">
        <w:t xml:space="preserve"> e </w:t>
      </w:r>
      <w:r w:rsidR="00E108D6">
        <w:t xml:space="preserve">Ceretta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54C151FD" w14:textId="33DBA303" w:rsidR="001F5655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  <w:r w:rsidR="00E236CB">
        <w:t xml:space="preserve">Segundo </w:t>
      </w:r>
      <w:r w:rsidR="005225B5">
        <w:t>Silva (</w:t>
      </w:r>
      <w:r w:rsidR="00E236CB">
        <w:t>2022)</w:t>
      </w:r>
      <w:r w:rsidR="005225B5">
        <w:t xml:space="preserve">, </w:t>
      </w:r>
      <w:r w:rsidR="00E236CB"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comercio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6" w:name="_Ref131711553"/>
      <w:r w:rsidRPr="005225B5">
        <w:lastRenderedPageBreak/>
        <w:t>Dropshipping</w:t>
      </w:r>
      <w:bookmarkEnd w:id="16"/>
    </w:p>
    <w:p w14:paraId="424FD3DA" w14:textId="34B15324" w:rsidR="009F7E93" w:rsidRPr="003E4FAA" w:rsidRDefault="009F7E93" w:rsidP="009030A2">
      <w:pPr>
        <w:pStyle w:val="TF-TEXTO"/>
        <w:ind w:firstLine="709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r w:rsidR="00F131AF" w:rsidRPr="00FB6167">
        <w:rPr>
          <w:i/>
          <w:iCs/>
        </w:rPr>
        <w:t>dropshipping</w:t>
      </w:r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modelo apresenta privilégios enormes para o lojista, </w:t>
      </w:r>
      <w:r w:rsidR="005225B5">
        <w:t xml:space="preserve">no qual </w:t>
      </w:r>
      <w:r w:rsidR="00296D54">
        <w:t xml:space="preserve">não é investido em armazenamento de estoque, 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AD27E3" w:rsidRPr="00AD27E3">
        <w:t xml:space="preserve">Segundo </w:t>
      </w:r>
      <w:r w:rsidR="005225B5" w:rsidRPr="00AD27E3">
        <w:t>Mata (</w:t>
      </w:r>
      <w:r w:rsidR="00AD27E3" w:rsidRPr="00AD27E3">
        <w:t xml:space="preserve">2021), o </w:t>
      </w:r>
      <w:r w:rsidR="00F131AF" w:rsidRPr="00FB6167">
        <w:rPr>
          <w:i/>
          <w:iCs/>
        </w:rPr>
        <w:t>dropshipping</w:t>
      </w:r>
      <w:r w:rsidR="00AD27E3" w:rsidRPr="00AD27E3">
        <w:t xml:space="preserve"> é bem popular e rentável, </w:t>
      </w:r>
      <w:r w:rsidR="00865D93">
        <w:t xml:space="preserve">pois </w:t>
      </w:r>
      <w:r w:rsidR="00AD27E3" w:rsidRPr="00AD27E3">
        <w:t>oferece para o dono do comercio eletrônico uma vasta variedade de produtos, conseguindo obter percentuais de lucro sem um investimento alto. As plataformas Shopify e Oberlo são amplamente utilizadas neste modelo e podem proporcionar uma boa experiência tanto para o vendedor quanto para o cliente</w:t>
      </w:r>
      <w:r w:rsidR="00AD27E3"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r w:rsidR="003E4FAA" w:rsidRPr="003E4FAA">
        <w:rPr>
          <w:i/>
          <w:iCs/>
        </w:rPr>
        <w:t>dropshipping</w:t>
      </w:r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20AAB7A3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r w:rsidR="008D0C75" w:rsidRPr="00FB6167">
        <w:t>s</w:t>
      </w:r>
      <w:r w:rsidR="00BC64E3" w:rsidRPr="00FB6167">
        <w:t>craping</w:t>
      </w:r>
      <w:r w:rsidR="00224586" w:rsidRPr="00FB6167">
        <w:t>, w</w:t>
      </w:r>
      <w:r w:rsidR="00BC64E3" w:rsidRPr="00FB6167">
        <w:t>eb crawler</w:t>
      </w:r>
      <w:r w:rsidR="00224586" w:rsidRPr="00FB6167">
        <w:t xml:space="preserve"> e </w:t>
      </w:r>
      <w:r w:rsidR="008D0C75" w:rsidRPr="00FB6167">
        <w:t xml:space="preserve">as </w:t>
      </w:r>
      <w:r w:rsidR="008D0C75" w:rsidRPr="009178D6">
        <w:t>Interface</w:t>
      </w:r>
      <w:r w:rsidR="008D0C75">
        <w:t>s</w:t>
      </w:r>
      <w:r w:rsidR="008D0C75" w:rsidRPr="009178D6">
        <w:t xml:space="preserve"> de Programação de Aplicações</w:t>
      </w:r>
      <w:r w:rsidR="008D0C75" w:rsidRPr="00FB6167">
        <w:t xml:space="preserve"> (</w:t>
      </w:r>
      <w:r w:rsidR="00224586" w:rsidRPr="00FB6167">
        <w:t xml:space="preserve">Application Programming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r w:rsidR="00224586">
        <w:t>s</w:t>
      </w:r>
      <w:r w:rsidR="004B2C6E" w:rsidRPr="009178D6">
        <w:t>craping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r w:rsidR="00224586">
        <w:t>s</w:t>
      </w:r>
      <w:r w:rsidR="004B2C6E" w:rsidRPr="009178D6">
        <w:t>craping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r>
        <w:t>s</w:t>
      </w:r>
      <w:r w:rsidRPr="009178D6">
        <w:t xml:space="preserve">craping quanto </w:t>
      </w:r>
      <w:r>
        <w:t>w</w:t>
      </w:r>
      <w:r w:rsidRPr="009178D6">
        <w:t xml:space="preserve">eb </w:t>
      </w:r>
      <w:r>
        <w:t>c</w:t>
      </w:r>
      <w:r w:rsidRPr="009178D6">
        <w:t>rawler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r>
        <w:t>c</w:t>
      </w:r>
      <w:r w:rsidRPr="009178D6">
        <w:t>rawler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r>
        <w:t>s</w:t>
      </w:r>
      <w:r w:rsidRPr="009178D6">
        <w:t xml:space="preserve">craping é mais específico e focado em extrair dados de forma mais precisa e assertiva. Vale destacar que </w:t>
      </w:r>
      <w:r>
        <w:t>w</w:t>
      </w:r>
      <w:r w:rsidRPr="009178D6">
        <w:t xml:space="preserve">eb </w:t>
      </w:r>
      <w:r>
        <w:t>c</w:t>
      </w:r>
      <w:r w:rsidRPr="009178D6">
        <w:t>rawler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crawler extrai apenas partes específicas da informação, é importante que a informação capturada contenha significado real para o trabalho desejado (MENDES, 2022). </w:t>
      </w:r>
    </w:p>
    <w:p w14:paraId="6DB22696" w14:textId="4EEA876D" w:rsidR="003A5E1A" w:rsidRPr="003B51C1" w:rsidRDefault="008D0C75" w:rsidP="00504ABD">
      <w:pPr>
        <w:pStyle w:val="TF-TEXTO"/>
      </w:pPr>
      <w:r>
        <w:t>Referente as API,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</w:t>
      </w:r>
      <w:r w:rsidR="003A5E1A" w:rsidRPr="009178D6">
        <w:lastRenderedPageBreak/>
        <w:t xml:space="preserve">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>s APIs podem ser uma ferramenta valiosa durante o processo de datamining,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17" w:name="_Ref131705651"/>
      <w:r w:rsidRPr="00FC4A9F">
        <w:t>Correlatos</w:t>
      </w:r>
      <w:bookmarkEnd w:id="17"/>
    </w:p>
    <w:p w14:paraId="470113B6" w14:textId="63DF31A7" w:rsidR="00865D93" w:rsidRDefault="00873786" w:rsidP="00873786">
      <w:pPr>
        <w:pStyle w:val="TF-TEXTO"/>
      </w:pPr>
      <w:bookmarkStart w:id="18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Yunner,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r w:rsidR="005B2253" w:rsidRPr="009519A2">
        <w:rPr>
          <w:i/>
          <w:iCs/>
        </w:rPr>
        <w:t xml:space="preserve">dropshipping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r w:rsidR="00264232" w:rsidRPr="00FB6167">
        <w:rPr>
          <w:i/>
          <w:iCs/>
        </w:rPr>
        <w:t>string</w:t>
      </w:r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r w:rsidR="008C25B8" w:rsidRPr="008C25B8">
        <w:t>.</w:t>
      </w:r>
      <w:r w:rsidR="00DE273B">
        <w:t xml:space="preserve"> </w:t>
      </w:r>
      <w:r w:rsidR="008C25B8" w:rsidRPr="008C25B8">
        <w:lastRenderedPageBreak/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19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19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549748E7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Produtos quentes</w:t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0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0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>nálise resultou na identificação de duas ferramentas, E-Sniper e Ecomprofithub</w:t>
      </w:r>
      <w:r w:rsidR="000C4A37">
        <w:t xml:space="preserve">. Cabe destacar que a ferramenta Ecomprofithub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1" w:name="_Ref131751327"/>
      <w:r>
        <w:lastRenderedPageBreak/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18"/>
      <w:bookmarkEnd w:id="2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Google Acadêmico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2" w:name="OLE_LINK7"/>
            <w:r w:rsidRPr="00437A06">
              <w:rPr>
                <w:i/>
                <w:iCs/>
                <w:sz w:val="20"/>
              </w:rPr>
              <w:t>String</w:t>
            </w:r>
            <w:r w:rsidRPr="00437A06">
              <w:rPr>
                <w:sz w:val="20"/>
              </w:rPr>
              <w:t xml:space="preserve"> de busca </w:t>
            </w:r>
            <w:bookmarkEnd w:id="22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E-Sniper apresenta os produtos que estão vendendo bem nas lojas de dropshipping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3" w:name="_Hlk133067375"/>
            <w:r w:rsidRPr="009030A2">
              <w:rPr>
                <w:sz w:val="20"/>
              </w:rPr>
              <w:t>Ecomprofithub</w:t>
            </w:r>
            <w:bookmarkEnd w:id="23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utilizado pela Yunner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256A4864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r w:rsidR="002929BD" w:rsidRPr="002929BD">
        <w:t>IDs 1,2,3,4,5 e 6, aos quais somam um total de nove pontos. É importante ressaltar que este estudo apresentou uma análise de dados referentes a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r w:rsidR="00437A06">
        <w:t>S</w:t>
      </w:r>
      <w:r w:rsidR="00CF72FB">
        <w:t>niper</w:t>
      </w:r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r w:rsidR="00CF72FB">
        <w:t>Ecomprofithub</w:t>
      </w:r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IDs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 xml:space="preserve">E-Sniper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 xml:space="preserve">. Já a ferramenta Ecomprofithub, lista os produtos capturando de algumas plataformas focada em mineração de produto de </w:t>
      </w:r>
      <w:r w:rsidR="00903E70" w:rsidRPr="00726C13">
        <w:rPr>
          <w:i/>
          <w:iCs/>
        </w:rPr>
        <w:t>dropshipping</w:t>
      </w:r>
      <w:r w:rsidR="00903E70" w:rsidRPr="00903E70">
        <w:t xml:space="preserve">, apresenta também a data de lançamento, mas não divulga </w:t>
      </w:r>
      <w:r>
        <w:t>o local que</w:t>
      </w:r>
      <w:r w:rsidR="00903E70" w:rsidRPr="00903E70">
        <w:t xml:space="preserve"> essa informação é retirada</w:t>
      </w:r>
      <w:r>
        <w:t xml:space="preserve"> 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2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1" w:name="_Ref133071005"/>
      <w:r>
        <w:t>justificativa</w:t>
      </w:r>
      <w:bookmarkEnd w:id="31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Yunner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0AF2CAB8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r w:rsidR="00E108D6">
        <w:t>Froemming</w:t>
      </w:r>
      <w:r w:rsidR="00786746">
        <w:t xml:space="preserve"> e </w:t>
      </w:r>
      <w:r w:rsidR="00E108D6">
        <w:t xml:space="preserve">Ceretta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</w:t>
      </w:r>
      <w:r w:rsidR="00DA3267">
        <w:lastRenderedPageBreak/>
        <w:t>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transformações. Sendo de extrema importância analisar o mercado, observando sempre o que os consumidores estão desejando, 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r w:rsidR="00726A36" w:rsidRPr="003E4FAA">
        <w:rPr>
          <w:i/>
          <w:iCs/>
        </w:rPr>
        <w:t>dropshipping</w:t>
      </w:r>
      <w:r w:rsidR="00726A36">
        <w:t xml:space="preserve"> </w:t>
      </w:r>
      <w:r w:rsidR="0016270A">
        <w:t>consegue atender a busca dos clientes por determinados produtos, pois oferece para o dono do comercio eletrônico uma variedade de produtos enorme 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>web scraping, web crawler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r>
        <w:t xml:space="preserve">Snipper (2022) e </w:t>
      </w:r>
      <w:r w:rsidRPr="00685E31">
        <w:t>Ecomprofithub</w:t>
      </w:r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AliExpress e Alibaba,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E-Snipper (</w:t>
      </w:r>
      <w:r w:rsidR="002104C7">
        <w:t>E-</w:t>
      </w:r>
      <w:r>
        <w:t xml:space="preserve">SNIPER, 2022) e Ecomprofithub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6C922600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>a empresa Yunner</w:t>
      </w:r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r w:rsidR="00726A36" w:rsidRPr="003E4FAA">
        <w:rPr>
          <w:i/>
          <w:iCs/>
        </w:rPr>
        <w:t>dropshipping</w:t>
      </w:r>
      <w:r w:rsidR="00726A36">
        <w:t>, web scraping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r w:rsidR="00220D1C">
        <w:t>HyperText Markup Language (HTML), Cascading Style Sheets (CSS), JavaScript;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Yunner</w:t>
      </w:r>
      <w:r w:rsidR="00E74E30">
        <w:t>.</w:t>
      </w:r>
    </w:p>
    <w:p w14:paraId="5DE0C48A" w14:textId="6489C08F" w:rsidR="00451B94" w:rsidRDefault="00A700A5" w:rsidP="00A700A5">
      <w:pPr>
        <w:pStyle w:val="TF-TEXTO"/>
      </w:pPr>
      <w:r w:rsidRPr="00A700A5">
        <w:t>O trabalho preposto,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site </w:t>
      </w:r>
      <w:r w:rsidR="00A05FA1">
        <w:lastRenderedPageBreak/>
        <w:t xml:space="preserve">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32" w:name="_Ref133071018"/>
      <w:r>
        <w:t xml:space="preserve">PRINCIPAIS </w:t>
      </w:r>
      <w:r w:rsidR="00B6362D">
        <w:t>REQUISITOS</w:t>
      </w:r>
      <w:bookmarkEnd w:id="32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HyperText Markup Language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Cascading Style Sheets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>de programação JavaScript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>web scraping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r w:rsidRPr="007F1436">
              <w:rPr>
                <w:i/>
                <w:iCs/>
                <w:sz w:val="20"/>
              </w:rPr>
              <w:t>dropshipping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r w:rsidR="00B6362D" w:rsidRPr="009030A2">
        <w:rPr>
          <w:i/>
          <w:iCs/>
        </w:rPr>
        <w:t>dropshipping;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r w:rsidR="00B6362D">
        <w:t>s</w:t>
      </w:r>
      <w:r w:rsidR="00B83018" w:rsidRPr="009178D6">
        <w:t>craping</w:t>
      </w:r>
      <w:r w:rsidR="00B6362D">
        <w:t xml:space="preserve"> e API, que serão utilizadas no desenvolvimento. </w:t>
      </w:r>
      <w:r w:rsidR="007C7F43">
        <w:t>Também s</w:t>
      </w:r>
      <w:r w:rsidR="00B6362D">
        <w:t>erá aprofundado as buscas da 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 xml:space="preserve">Business Process </w:t>
      </w:r>
      <w:r w:rsidRPr="007C7F43">
        <w:lastRenderedPageBreak/>
        <w:t>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>reavaliar os RFs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r w:rsidR="0031408A">
        <w:t>RFs</w:t>
      </w:r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Unified Modeling Language (UML</w:t>
      </w:r>
      <w:r w:rsidR="00A4628A" w:rsidRPr="00B6362D">
        <w:t>),</w:t>
      </w:r>
      <w:r w:rsidR="00A4628A">
        <w:t xml:space="preserve"> usando</w:t>
      </w:r>
      <w:r>
        <w:t xml:space="preserve"> a ferramenta Astah</w:t>
      </w:r>
      <w:r w:rsidR="0031408A">
        <w:t xml:space="preserve"> UML</w:t>
      </w:r>
      <w:r w:rsidR="00451B94">
        <w:t>;</w:t>
      </w:r>
    </w:p>
    <w:p w14:paraId="27B3E0C7" w14:textId="7F58F3CF" w:rsidR="00B83018" w:rsidRDefault="00B83018" w:rsidP="00B83018">
      <w:pPr>
        <w:pStyle w:val="TF-ALNEA"/>
        <w:contextualSpacing w:val="0"/>
      </w:pPr>
      <w:r>
        <w:t>desenvolvimento</w:t>
      </w:r>
      <w:r w:rsidR="00451B94">
        <w:t xml:space="preserve">: </w:t>
      </w:r>
      <w:r>
        <w:t xml:space="preserve">desenvolver </w:t>
      </w:r>
      <w:r w:rsidR="00B6362D">
        <w:t>a ferramenta</w:t>
      </w:r>
      <w:r>
        <w:t xml:space="preserve"> de análise de produtos, utilizando as linguagens Java</w:t>
      </w:r>
      <w:r w:rsidR="00CD202F">
        <w:t>S</w:t>
      </w:r>
      <w:r>
        <w:t xml:space="preserve">cript, </w:t>
      </w:r>
      <w:r w:rsidRPr="00B83018">
        <w:t>HTML</w:t>
      </w:r>
      <w:r w:rsidR="00E43303">
        <w:t xml:space="preserve">, </w:t>
      </w:r>
      <w:r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 xml:space="preserve">; 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33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33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>ALMEIDA, Márcia Regina Conceição; FROEMMING, Lurdes Marlene Seide;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Unijuí,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891CFD">
        <w:t>BOSCHIM, Guilherme</w:t>
      </w:r>
      <w:r w:rsidRPr="00891CFD">
        <w:rPr>
          <w:i/>
          <w:iCs/>
        </w:rPr>
        <w:t xml:space="preserve"> et al</w:t>
      </w:r>
      <w:r w:rsidRPr="00891CFD">
        <w:t>.</w:t>
      </w:r>
      <w:r w:rsidRPr="00891CFD">
        <w:rPr>
          <w:b/>
          <w:bCs/>
        </w:rPr>
        <w:t xml:space="preserve"> </w:t>
      </w:r>
      <w:r w:rsidRPr="00891CFD">
        <w:rPr>
          <w:b/>
          <w:bCs/>
          <w:i/>
          <w:iCs/>
        </w:rPr>
        <w:t>Dropshipping</w:t>
      </w:r>
      <w:r w:rsidRPr="00891CFD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>Análise do comércio eletrônico no período da pandemia entre 2020 –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lastRenderedPageBreak/>
        <w:t>BUMARUF</w:t>
      </w:r>
      <w:r>
        <w:t xml:space="preserve">, Carime.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Benegas.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Erbs da. </w:t>
      </w:r>
      <w:r w:rsidRPr="007344BA">
        <w:rPr>
          <w:b/>
          <w:bCs/>
        </w:rPr>
        <w:t>iLibras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891CFD" w:rsidRDefault="002A1741" w:rsidP="001A2AA9">
      <w:pPr>
        <w:pStyle w:val="TF-refernciasITEM"/>
        <w:spacing w:before="240"/>
        <w:rPr>
          <w:lang w:val="en-US"/>
        </w:rPr>
      </w:pPr>
      <w:r>
        <w:t>COSTA, Simone Erbs da et al.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r w:rsidRPr="00891CFD">
        <w:rPr>
          <w:lang w:val="en-US"/>
        </w:rPr>
        <w:t>Acesso em: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891CFD">
        <w:rPr>
          <w:lang w:val="en-US"/>
        </w:rPr>
        <w:t xml:space="preserve">E-SNIPER. </w:t>
      </w:r>
      <w:r w:rsidR="003B6754" w:rsidRPr="00891CFD">
        <w:rPr>
          <w:b/>
          <w:bCs/>
          <w:lang w:val="en-US"/>
        </w:rPr>
        <w:t>The only tool you need for your Dropshipping Business</w:t>
      </w:r>
      <w:r w:rsidRPr="00891CFD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</w:pPr>
      <w:r w:rsidRPr="00891CFD">
        <w:rPr>
          <w:lang w:val="en-US"/>
        </w:rPr>
        <w:t xml:space="preserve">ECOMPROFITHUB. </w:t>
      </w:r>
      <w:r w:rsidR="003B6754" w:rsidRPr="00891CFD">
        <w:rPr>
          <w:b/>
          <w:bCs/>
          <w:lang w:val="en-US"/>
        </w:rPr>
        <w:t>EcomProfitHub.com is the only product research tool you will ever need</w:t>
      </w:r>
      <w:r w:rsidRPr="00891CFD">
        <w:rPr>
          <w:lang w:val="en-US"/>
        </w:rPr>
        <w:t xml:space="preserve">. </w:t>
      </w:r>
      <w:r w:rsidR="003B6754" w:rsidRPr="003B6754">
        <w:t>[</w:t>
      </w:r>
      <w:r w:rsidR="003B6754" w:rsidRPr="003B6754">
        <w:rPr>
          <w:i/>
          <w:iCs/>
        </w:rPr>
        <w:t>S.l.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lastRenderedPageBreak/>
        <w:t>GOMES</w:t>
      </w:r>
      <w:r w:rsidRPr="007C2B6A">
        <w:t xml:space="preserve">, Daniel Leopoldino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Kesley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Mesquista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t xml:space="preserve">MENDES, Cícero Marcelo Oliveira. </w:t>
      </w:r>
      <w:r w:rsidRPr="007344BA">
        <w:rPr>
          <w:b/>
          <w:bCs/>
        </w:rPr>
        <w:t>Classificação e clusterização de dados de mídias sociais obtidos através de web crawlers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Mansilha. </w:t>
      </w:r>
      <w:r w:rsidRPr="007344BA">
        <w:rPr>
          <w:b/>
          <w:bCs/>
        </w:rPr>
        <w:t>Crossed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lastRenderedPageBreak/>
        <w:t xml:space="preserve">RIBAS, Jadi Cristinne. </w:t>
      </w:r>
      <w:r w:rsidRPr="007F1436">
        <w:rPr>
          <w:b/>
          <w:bCs/>
        </w:rPr>
        <w:t>Comércio Eletrônico no Modal Dropshipping e sua Definição:</w:t>
      </w:r>
      <w:r>
        <w:t xml:space="preserve"> A possibilidade da delimitação de Ponto Comercial em Plataformas de Comércio Dropshipping.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Dadamos.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Bauro,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0CE53E56" w14:textId="57329E43" w:rsidR="00701016" w:rsidRDefault="001A2AA9" w:rsidP="001A2AA9">
      <w:pPr>
        <w:pStyle w:val="TF-refernciasITEM"/>
        <w:spacing w:before="240"/>
      </w:pPr>
      <w:r>
        <w:t xml:space="preserve">SANTOS, Eliseu Xavier Bernardo; CARRIJO, Pedro Felipe De Moraes. </w:t>
      </w:r>
      <w:r w:rsidRPr="007F1436">
        <w:rPr>
          <w:b/>
          <w:bCs/>
        </w:rPr>
        <w:t>Comparador de preços de skins csgo utilizando web scraping</w:t>
      </w:r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74094C36" w14:textId="499C0CAC" w:rsidR="00891CFD" w:rsidRDefault="00D933D0" w:rsidP="001A2AA9">
      <w:pPr>
        <w:pStyle w:val="TF-refernciasITEM"/>
        <w:spacing w:before="240"/>
      </w:pPr>
      <w:r w:rsidRPr="00D933D0">
        <w:t>ZANDONAI</w:t>
      </w:r>
      <w:r>
        <w:t xml:space="preserve">, Amanda Closs. A transferência internacional de dados de clientes brasileiros de lojas virtuais que utilizam o modo dropshipping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029EF13D" w14:textId="77777777" w:rsidR="00891CFD" w:rsidRDefault="00891CFD">
      <w:pPr>
        <w:keepNext w:val="0"/>
        <w:keepLines w:val="0"/>
        <w:rPr>
          <w:szCs w:val="20"/>
        </w:rPr>
      </w:pPr>
      <w:r>
        <w:br w:type="page"/>
      </w:r>
    </w:p>
    <w:p w14:paraId="42585A5B" w14:textId="77777777" w:rsidR="00891CFD" w:rsidRDefault="00891CFD" w:rsidP="00891CFD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528F2EF9" w14:textId="77777777" w:rsidR="00891CFD" w:rsidRPr="00340EA0" w:rsidRDefault="00891CFD" w:rsidP="00891CFD">
      <w:pPr>
        <w:pStyle w:val="TF-xAvalTTULO"/>
      </w:pPr>
      <w:r w:rsidRPr="00340EA0">
        <w:t>ROFESSOR TCC I</w:t>
      </w:r>
      <w:r>
        <w:t xml:space="preserve"> - Pré-projeto</w:t>
      </w:r>
    </w:p>
    <w:p w14:paraId="5A09DF19" w14:textId="77777777" w:rsidR="00891CFD" w:rsidRDefault="00891CFD" w:rsidP="00891CFD">
      <w:pPr>
        <w:pStyle w:val="TF-xAvalLINHA"/>
      </w:pPr>
    </w:p>
    <w:p w14:paraId="47C0975A" w14:textId="77777777" w:rsidR="00891CFD" w:rsidRDefault="00891CFD" w:rsidP="00891CFD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27B264C" w14:textId="77777777" w:rsidR="00891CFD" w:rsidRPr="00320BFA" w:rsidRDefault="00891CFD" w:rsidP="00891CFD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891CFD" w:rsidRPr="00320BFA" w14:paraId="69FC445F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78F9D8" w14:textId="77777777" w:rsidR="00891CFD" w:rsidRPr="00320BFA" w:rsidRDefault="00891CFD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1158AD8" w14:textId="77777777" w:rsidR="00891CFD" w:rsidRPr="00320BFA" w:rsidRDefault="00891CFD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27C3CDD" w14:textId="77777777" w:rsidR="00891CFD" w:rsidRPr="00320BFA" w:rsidRDefault="00891CFD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337AD32" w14:textId="77777777" w:rsidR="00891CFD" w:rsidRPr="00320BFA" w:rsidRDefault="00891CFD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891CFD" w:rsidRPr="00320BFA" w14:paraId="56093E08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DD7D392" w14:textId="77777777" w:rsidR="00891CFD" w:rsidRPr="00320BFA" w:rsidRDefault="00891CFD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4076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BA1C017" w14:textId="77777777" w:rsidR="00891CFD" w:rsidRPr="00320BFA" w:rsidRDefault="00891CFD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084C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328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0A87D1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55E9705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9DA255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6029" w14:textId="77777777" w:rsidR="00891CFD" w:rsidRPr="00320BFA" w:rsidRDefault="00891CFD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D119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7B8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12F26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CCD57F4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88AD06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A814" w14:textId="77777777" w:rsidR="00891CFD" w:rsidRPr="00320BFA" w:rsidRDefault="00891CFD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C7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86D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B01974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A9CAF20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B3D2D4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E8C7" w14:textId="77777777" w:rsidR="00891CFD" w:rsidRPr="00320BFA" w:rsidRDefault="00891CFD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0B5C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A5E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A88FA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7A081465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F718D8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F57B" w14:textId="77777777" w:rsidR="00891CFD" w:rsidRPr="00320BFA" w:rsidRDefault="00891CFD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F7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185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1E4349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57BA74FA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034E78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1B19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6AA6F31" w14:textId="77777777" w:rsidR="00891CFD" w:rsidRPr="00320BFA" w:rsidRDefault="00891CFD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6DDC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8090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200707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4CF5C23B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268811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C793" w14:textId="77777777" w:rsidR="00891CFD" w:rsidRPr="00320BFA" w:rsidRDefault="00891CFD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0C3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AF6C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03703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313AFF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2924C2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D95A" w14:textId="77777777" w:rsidR="00891CFD" w:rsidRPr="00320BFA" w:rsidRDefault="00891CFD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3859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8255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709BB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77D971DA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51D4A5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8FD7" w14:textId="77777777" w:rsidR="00891CFD" w:rsidRDefault="00891CFD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0A0A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0C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273999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4591926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F1BF24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A72A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29FBD10" w14:textId="77777777" w:rsidR="00891CFD" w:rsidRPr="00320BFA" w:rsidRDefault="00891CFD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019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5547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C34097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EE960D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A995E9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375" w14:textId="77777777" w:rsidR="00891CFD" w:rsidRPr="00320BFA" w:rsidRDefault="00891CFD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410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9B5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BA5205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22CC9DA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33BA9E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1BF0" w14:textId="77777777" w:rsidR="00891CFD" w:rsidRPr="00320BFA" w:rsidRDefault="00891CFD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862C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4AD5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9EA92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67D0856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8F101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64F8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B783B03" w14:textId="77777777" w:rsidR="00891CFD" w:rsidRPr="00320BFA" w:rsidRDefault="00891CFD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AF6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60B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25BD00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900396F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99FF61" w14:textId="77777777" w:rsidR="00891CFD" w:rsidRPr="00320BFA" w:rsidRDefault="00891CFD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12F7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ECF68B2" w14:textId="77777777" w:rsidR="00891CFD" w:rsidRPr="00320BFA" w:rsidRDefault="00891CFD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3BC6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DCD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3047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7BC52A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A7FAC3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07D3" w14:textId="77777777" w:rsidR="00891CFD" w:rsidRPr="00320BFA" w:rsidRDefault="00891CFD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DC3A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8E36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899240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BD19CD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BAB8DD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CFFA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0016D8E" w14:textId="77777777" w:rsidR="00891CFD" w:rsidRPr="00320BFA" w:rsidRDefault="00891CFD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C237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ABD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6B6A16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75B9B16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79DB11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C62F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820DCF4" w14:textId="77777777" w:rsidR="00891CFD" w:rsidRPr="00320BFA" w:rsidRDefault="00891CFD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5B6D" w14:textId="77777777" w:rsidR="00891CFD" w:rsidRPr="00320BFA" w:rsidRDefault="00891CFD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35D2" w14:textId="77777777" w:rsidR="00891CFD" w:rsidRPr="00320BFA" w:rsidRDefault="00891CFD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AE8F3B" w14:textId="77777777" w:rsidR="00891CFD" w:rsidRPr="00320BFA" w:rsidRDefault="00891CFD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439A90F7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D6EC78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98C7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A03D466" w14:textId="77777777" w:rsidR="00891CFD" w:rsidRPr="00320BFA" w:rsidRDefault="00891CFD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192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E889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775A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53D91F7E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B83E22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4F22" w14:textId="77777777" w:rsidR="00891CFD" w:rsidRPr="00320BFA" w:rsidRDefault="00891CFD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8858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6C44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12D71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306C929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99FDA3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A44063" w14:textId="77777777" w:rsidR="00891CFD" w:rsidRPr="00320BFA" w:rsidRDefault="00891CFD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46FE90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A0CA08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736813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03FB392" w14:textId="77777777" w:rsidR="00891CFD" w:rsidRDefault="00891CFD" w:rsidP="00891CFD">
      <w:pPr>
        <w:pStyle w:val="TF-xAvalITEMDETALHE"/>
      </w:pPr>
    </w:p>
    <w:p w14:paraId="6B94E181" w14:textId="0FC91C0F" w:rsidR="00C559DE" w:rsidRPr="00891CFD" w:rsidRDefault="00C559DE" w:rsidP="00891CFD">
      <w:pPr>
        <w:keepNext w:val="0"/>
        <w:keepLines w:val="0"/>
        <w:rPr>
          <w:sz w:val="18"/>
        </w:rPr>
      </w:pPr>
    </w:p>
    <w:sectPr w:rsidR="00C559DE" w:rsidRPr="00891CFD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17DA" w14:textId="77777777" w:rsidR="00530F40" w:rsidRDefault="00530F40">
      <w:r>
        <w:separator/>
      </w:r>
    </w:p>
  </w:endnote>
  <w:endnote w:type="continuationSeparator" w:id="0">
    <w:p w14:paraId="623432C6" w14:textId="77777777" w:rsidR="00530F40" w:rsidRDefault="00530F40">
      <w:r>
        <w:continuationSeparator/>
      </w:r>
    </w:p>
  </w:endnote>
  <w:endnote w:type="continuationNotice" w:id="1">
    <w:p w14:paraId="3BAD2553" w14:textId="77777777" w:rsidR="00530F40" w:rsidRDefault="00530F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BD466" w14:textId="77777777" w:rsidR="00530F40" w:rsidRDefault="00530F40">
      <w:r>
        <w:separator/>
      </w:r>
    </w:p>
  </w:footnote>
  <w:footnote w:type="continuationSeparator" w:id="0">
    <w:p w14:paraId="589B8824" w14:textId="77777777" w:rsidR="00530F40" w:rsidRDefault="00530F40">
      <w:r>
        <w:continuationSeparator/>
      </w:r>
    </w:p>
  </w:footnote>
  <w:footnote w:type="continuationNotice" w:id="1">
    <w:p w14:paraId="05678194" w14:textId="77777777" w:rsidR="00530F40" w:rsidRDefault="00530F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336927305">
    <w:abstractNumId w:val="4"/>
  </w:num>
  <w:num w:numId="24" w16cid:durableId="2097896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602F"/>
    <w:rsid w:val="00030E4A"/>
    <w:rsid w:val="00031A27"/>
    <w:rsid w:val="00031EE0"/>
    <w:rsid w:val="00034AED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E03"/>
    <w:rsid w:val="001C33B0"/>
    <w:rsid w:val="001C57E6"/>
    <w:rsid w:val="001C5CBB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5CCE"/>
    <w:rsid w:val="0047690F"/>
    <w:rsid w:val="00476C78"/>
    <w:rsid w:val="004806BD"/>
    <w:rsid w:val="00480F0B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7A0A"/>
    <w:rsid w:val="00530460"/>
    <w:rsid w:val="00530F40"/>
    <w:rsid w:val="0053235D"/>
    <w:rsid w:val="00532A07"/>
    <w:rsid w:val="00533170"/>
    <w:rsid w:val="00534D69"/>
    <w:rsid w:val="00535678"/>
    <w:rsid w:val="0053587C"/>
    <w:rsid w:val="00536336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21FC"/>
    <w:rsid w:val="005C30AE"/>
    <w:rsid w:val="005C4B34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2E3B"/>
    <w:rsid w:val="005F645A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7DC1"/>
    <w:rsid w:val="006E25D2"/>
    <w:rsid w:val="006E30FB"/>
    <w:rsid w:val="006E3D96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B054D"/>
    <w:rsid w:val="007B2220"/>
    <w:rsid w:val="007C18B9"/>
    <w:rsid w:val="007C24BF"/>
    <w:rsid w:val="007C2B6A"/>
    <w:rsid w:val="007C318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6D76"/>
    <w:rsid w:val="00891CFD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AFC"/>
    <w:rsid w:val="00B72113"/>
    <w:rsid w:val="00B729A7"/>
    <w:rsid w:val="00B72FBB"/>
    <w:rsid w:val="00B7336E"/>
    <w:rsid w:val="00B746E8"/>
    <w:rsid w:val="00B75246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481"/>
    <w:rsid w:val="00CD027A"/>
    <w:rsid w:val="00CD1BD6"/>
    <w:rsid w:val="00CD202F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2E82"/>
    <w:rsid w:val="00D33B0F"/>
    <w:rsid w:val="00D34378"/>
    <w:rsid w:val="00D359AD"/>
    <w:rsid w:val="00D4123E"/>
    <w:rsid w:val="00D42556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2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15395</TotalTime>
  <Pages>14</Pages>
  <Words>5701</Words>
  <Characters>30787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79</cp:revision>
  <cp:lastPrinted>2023-04-25T19:59:00Z</cp:lastPrinted>
  <dcterms:created xsi:type="dcterms:W3CDTF">2023-03-20T00:37:00Z</dcterms:created>
  <dcterms:modified xsi:type="dcterms:W3CDTF">2023-05-09T16:51:00Z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