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36E971C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B163B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r>
        <w:t xml:space="preserve">Cidinei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563F4ECD" w14:textId="22A60619" w:rsidR="00741EC3" w:rsidRDefault="00F4156A" w:rsidP="00DC1FFF">
      <w:pPr>
        <w:pStyle w:val="TF-TEXTO"/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</w:t>
      </w:r>
      <w:r w:rsidR="00F36EB1">
        <w:t>a</w:t>
      </w:r>
      <w:r w:rsidRPr="00CC04AE">
        <w:t>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="00DC1FFF">
        <w:t xml:space="preserve"> </w:t>
      </w:r>
    </w:p>
    <w:p w14:paraId="190D1016" w14:textId="28278316" w:rsidR="00DC1FFF" w:rsidRPr="00416E6C" w:rsidRDefault="00DC1FFF" w:rsidP="00DC1FFF">
      <w:pPr>
        <w:pStyle w:val="TF-TEXTO"/>
      </w:pPr>
      <w:r>
        <w:t xml:space="preserve">Segundo Weiss (2019), para a transformação digital ser inclusa na cultura da organização, é imprescindível que ocorra a automação de processos manuais robóticos e que as organizações estimulem seus colaboradores a atuar em atividades que demandam análise e que não podem ser automatizadas. Para reforçar o crescimento do uso da tecnologia RPA para esta automação de atividades, Gartner (2022a) publicou em seu relatório mensal de agosto/2022, que </w:t>
      </w:r>
      <w:r w:rsidRPr="000F7CD8">
        <w:t>gastos mundiais com software de RPA atingirão US$ 2,9 bilhões em 2022</w:t>
      </w:r>
      <w:r>
        <w:t>. Gartner (2022a) ainda coloca que os gastos mundiais com a tecnologia RPA, e</w:t>
      </w:r>
      <w:r w:rsidRPr="00097396">
        <w:t>mbora esteja crescendo em um ritmo mais lento do que nos anos anteriores</w:t>
      </w:r>
      <w:r>
        <w:t xml:space="preserve">, </w:t>
      </w:r>
      <w:r w:rsidRPr="00097396">
        <w:t>o mercado mundial de software de RPA deverá continuar a apresentar um crescimento de dois dígitos em 2023, crescendo 17,5% ano a ano</w:t>
      </w:r>
      <w:r>
        <w:t xml:space="preserve">. </w:t>
      </w:r>
    </w:p>
    <w:p w14:paraId="18C67399" w14:textId="715817E5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r w:rsidR="00A009F8" w:rsidRPr="00CC04AE">
        <w:rPr>
          <w:bCs/>
        </w:rPr>
        <w:t>Robotic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</w:t>
      </w:r>
      <w:r w:rsidR="00CE54E0">
        <w:rPr>
          <w:bCs/>
        </w:rPr>
        <w:lastRenderedPageBreak/>
        <w:t>especialização e estar familiarizado com</w:t>
      </w:r>
      <w:r w:rsidR="00CA7F10">
        <w:rPr>
          <w:bCs/>
        </w:rPr>
        <w:t xml:space="preserve"> as novas tecnologias. </w:t>
      </w:r>
      <w:r w:rsidR="004554D1">
        <w:rPr>
          <w:bCs/>
        </w:rPr>
        <w:t xml:space="preserve">Dendena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(No-Code e Low-Code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ED0101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>dados dos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1DD4259A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007F0654">
            <wp:simplePos x="0" y="0"/>
            <wp:positionH relativeFrom="column">
              <wp:posOffset>15240</wp:posOffset>
            </wp:positionH>
            <wp:positionV relativeFrom="paragraph">
              <wp:posOffset>1353185</wp:posOffset>
            </wp:positionV>
            <wp:extent cx="5676900" cy="1952625"/>
            <wp:effectExtent l="19050" t="19050" r="19050" b="285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1123ED6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751B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1123ED6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fldSimple w:instr=" SEQ Figura \* ARABIC ">
                        <w:r w:rsidR="00751BBE">
                          <w:rPr>
                            <w:noProof/>
                          </w:rPr>
                          <w:t>1</w:t>
                        </w:r>
                      </w:fldSimple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751BBE" w:rsidRPr="00694A70">
        <w:t xml:space="preserve">Figura </w:t>
      </w:r>
      <w:r w:rsidR="00751BBE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6B62EB2D" w14:textId="77777777" w:rsidR="005C785F" w:rsidRDefault="00AE4AA7" w:rsidP="00694A70">
      <w:pPr>
        <w:pStyle w:val="TF-TEXTO"/>
        <w:ind w:firstLine="709"/>
      </w:pPr>
      <w:r>
        <w:t xml:space="preserve">No início do processo, a equipe de </w:t>
      </w:r>
      <w:r w:rsidRPr="0033453A">
        <w:rPr>
          <w:rStyle w:val="TF-COURIER10"/>
        </w:rPr>
        <w:t>Compliance</w:t>
      </w:r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r w:rsidRPr="0033453A">
        <w:rPr>
          <w:rStyle w:val="TF-COURIER10"/>
        </w:rPr>
        <w:t xml:space="preserve">Compliance </w:t>
      </w:r>
      <w:r>
        <w:t xml:space="preserve">identifique que exista alguma pendência documental e/ou </w:t>
      </w:r>
      <w:r>
        <w:lastRenderedPageBreak/>
        <w:t xml:space="preserve">nas informações cadastrais do </w:t>
      </w:r>
      <w:r w:rsidRPr="00D85FC2">
        <w:rPr>
          <w:rStyle w:val="TF-COURIER10"/>
        </w:rPr>
        <w:t>Fornecedor</w:t>
      </w:r>
      <w:r>
        <w:t xml:space="preserve">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Compliance</w:t>
      </w:r>
      <w:r w:rsidR="00D85FC2">
        <w:t xml:space="preserve"> </w:t>
      </w:r>
      <w:r w:rsidR="00434EC7">
        <w:t xml:space="preserve">e as encaminha para a equipe do </w:t>
      </w:r>
      <w:r w:rsidR="00434EC7" w:rsidRPr="0033453A">
        <w:rPr>
          <w:rStyle w:val="TF-COURIER10"/>
        </w:rPr>
        <w:t>Compliance</w:t>
      </w:r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</w:p>
    <w:p w14:paraId="08AC2A03" w14:textId="77777777" w:rsidR="005C785F" w:rsidRDefault="00EB26FD" w:rsidP="00694A70">
      <w:pPr>
        <w:pStyle w:val="TF-TEXTO"/>
        <w:ind w:firstLine="709"/>
      </w:pPr>
      <w:r>
        <w:t xml:space="preserve">Com as informações e documentações recebidas, a equipe do </w:t>
      </w:r>
      <w:r w:rsidRPr="0033453A">
        <w:rPr>
          <w:rStyle w:val="TF-COURIER10"/>
        </w:rPr>
        <w:t>Compliance</w:t>
      </w:r>
      <w:r>
        <w:t xml:space="preserve"> encaminha este material para o time do </w:t>
      </w:r>
      <w:r w:rsidRPr="0033453A">
        <w:rPr>
          <w:rStyle w:val="TF-COURIER10"/>
        </w:rPr>
        <w:t>Jurídico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Encaminhar a documentação para o Jurídico</w:t>
      </w:r>
      <w:r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>
        <w:t xml:space="preserve">. </w:t>
      </w:r>
      <w:r w:rsidR="004B2111">
        <w:t xml:space="preserve">É 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</w:t>
      </w:r>
    </w:p>
    <w:p w14:paraId="7A2BC299" w14:textId="4CE502E0" w:rsidR="00AE4AA7" w:rsidRDefault="004B2111" w:rsidP="00694A70">
      <w:pPr>
        <w:pStyle w:val="TF-TEXTO"/>
        <w:ind w:firstLine="709"/>
      </w:pPr>
      <w:r>
        <w:t>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</w:t>
      </w:r>
      <w:r w:rsidR="000C6569">
        <w:t>ê</w:t>
      </w:r>
      <w:r>
        <w:t>ncia encontrada</w:t>
      </w:r>
      <w:r w:rsidR="00127995">
        <w:t>,</w:t>
      </w:r>
      <w:r w:rsidR="00127995" w:rsidRPr="00127995">
        <w:t xml:space="preserve"> </w:t>
      </w:r>
      <w:r w:rsidRPr="00127995">
        <w:t>atividade</w:t>
      </w:r>
      <w:r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r w:rsidR="000248FE" w:rsidRPr="0033453A">
        <w:rPr>
          <w:rStyle w:val="TF-COURIER10"/>
        </w:rPr>
        <w:t>Compliance</w:t>
      </w:r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0" w:name="_Ref115012433"/>
      <w:r>
        <w:t xml:space="preserve">trabalhos </w:t>
      </w:r>
      <w:r w:rsidRPr="00FC4A9F">
        <w:t>correlatos</w:t>
      </w:r>
      <w:bookmarkEnd w:id="27"/>
      <w:bookmarkEnd w:id="30"/>
    </w:p>
    <w:p w14:paraId="767EDF4E" w14:textId="31EC2F7C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>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ED0101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</w:t>
      </w:r>
      <w:r w:rsidR="006B7A88">
        <w:lastRenderedPageBreak/>
        <w:t>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508C661" w14:textId="77777777" w:rsidR="00741863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41863">
        <w:t xml:space="preserve"> </w:t>
      </w:r>
    </w:p>
    <w:p w14:paraId="3172132A" w14:textId="22B800C3" w:rsidR="00741863" w:rsidRDefault="007F49DA" w:rsidP="00741863">
      <w:pPr>
        <w:pStyle w:val="TF-LEGENDA"/>
      </w:pPr>
      <w:r w:rsidRPr="00FE5765">
        <w:rPr>
          <w:color w:val="FF0000"/>
        </w:rPr>
        <w:t xml:space="preserve"> </w:t>
      </w:r>
      <w:bookmarkStart w:id="31" w:name="_Ref115449181"/>
      <w:r w:rsidR="00741863">
        <w:t xml:space="preserve">Figura </w:t>
      </w:r>
      <w:fldSimple w:instr=" SEQ Figura \* ARABIC ">
        <w:r w:rsidR="00751BBE">
          <w:rPr>
            <w:noProof/>
          </w:rPr>
          <w:t>2</w:t>
        </w:r>
      </w:fldSimple>
      <w:bookmarkEnd w:id="31"/>
      <w:r w:rsidR="00741863">
        <w:t xml:space="preserve"> - </w:t>
      </w:r>
      <w:r w:rsidR="00741863" w:rsidRPr="00032CCA">
        <w:t>Fluxo do algoritmo automatizado</w:t>
      </w:r>
    </w:p>
    <w:p w14:paraId="7F58E4BB" w14:textId="0055FF97" w:rsidR="007474B4" w:rsidRDefault="00741863" w:rsidP="00741863">
      <w:pPr>
        <w:pStyle w:val="TF-TEXTO"/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7CBCE928" wp14:editId="4235A955">
            <wp:extent cx="5756910" cy="182724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70" w14:textId="77777777" w:rsidR="00741863" w:rsidRDefault="00741863" w:rsidP="00741863">
      <w:pPr>
        <w:pStyle w:val="TF-FONTE"/>
      </w:pPr>
      <w:r>
        <w:t>Fonte: Gomes (2019).</w:t>
      </w:r>
    </w:p>
    <w:p w14:paraId="7C9F908D" w14:textId="5B6DD6B8" w:rsidR="001746FF" w:rsidRDefault="00432283" w:rsidP="00CF35A1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751BBE">
        <w:t xml:space="preserve">Figura </w:t>
      </w:r>
      <w:r w:rsidR="00751BBE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 xml:space="preserve">bem como se possui uma solução. Existe ainda um cenário em que o erro não foi identificado, </w:t>
      </w:r>
      <w:r w:rsidR="005E57C9">
        <w:lastRenderedPageBreak/>
        <w:t>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  <w:bookmarkStart w:id="32" w:name="_Hlk106382648"/>
    </w:p>
    <w:bookmarkEnd w:id="32"/>
    <w:p w14:paraId="22793A85" w14:textId="559E3534" w:rsidR="00A44581" w:rsidRPr="00B608C3" w:rsidRDefault="00092464" w:rsidP="00ED0101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Selenium. O Selenium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17DCAADD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PyAutoGUI.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0371A38B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Pyhton</w:t>
      </w:r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Gspread</w:t>
      </w:r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 w:rsidR="009273A8">
        <w:t>entre outros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751BBE">
        <w:t xml:space="preserve">Quadro </w:t>
      </w:r>
      <w:r w:rsidR="00751BBE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3" w:name="_Hlk98961611"/>
    </w:p>
    <w:p w14:paraId="5844CF9B" w14:textId="2BFB1EE2" w:rsidR="005B3AD2" w:rsidRDefault="005B3AD2" w:rsidP="00822AEF">
      <w:pPr>
        <w:pStyle w:val="TF-LEGENDA"/>
      </w:pPr>
      <w:bookmarkStart w:id="34" w:name="_Ref112577753"/>
      <w:r>
        <w:lastRenderedPageBreak/>
        <w:t xml:space="preserve">Quadro </w:t>
      </w:r>
      <w:fldSimple w:instr=" SEQ Quadro \* ARABIC ">
        <w:r w:rsidR="00751BBE">
          <w:rPr>
            <w:noProof/>
          </w:rPr>
          <w:t>1</w:t>
        </w:r>
      </w:fldSimple>
      <w:bookmarkEnd w:id="34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A0D4D" w14:paraId="67303F19" w14:textId="77777777" w:rsidTr="005C785F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5C785F" w:rsidRDefault="00EA0D4D" w:rsidP="00822AEF">
            <w:pPr>
              <w:pStyle w:val="TF-FIGURA"/>
              <w:jc w:val="left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 xml:space="preserve">STATUS </w:t>
            </w:r>
          </w:p>
        </w:tc>
        <w:tc>
          <w:tcPr>
            <w:tcW w:w="6804" w:type="dxa"/>
            <w:vAlign w:val="center"/>
          </w:tcPr>
          <w:p w14:paraId="565A7466" w14:textId="54BCBF89" w:rsidR="00EA0D4D" w:rsidRPr="005C785F" w:rsidRDefault="00EA0D4D" w:rsidP="00694A70">
            <w:pPr>
              <w:pStyle w:val="TF-FIGURA"/>
              <w:jc w:val="both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>SIGNIFICADO</w:t>
            </w:r>
          </w:p>
        </w:tc>
      </w:tr>
      <w:tr w:rsidR="00EA0D4D" w14:paraId="31E1A54D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NAO</w:t>
            </w:r>
          </w:p>
        </w:tc>
        <w:tc>
          <w:tcPr>
            <w:tcW w:w="6804" w:type="dxa"/>
            <w:vAlign w:val="center"/>
          </w:tcPr>
          <w:p w14:paraId="06136A4C" w14:textId="6902422B" w:rsidR="00EA0D4D" w:rsidRPr="005C785F" w:rsidRDefault="00EA0D4D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não possui pendência.</w:t>
            </w:r>
          </w:p>
        </w:tc>
      </w:tr>
      <w:tr w:rsidR="00EA0D4D" w14:paraId="653FF0FC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SIM</w:t>
            </w:r>
          </w:p>
        </w:tc>
        <w:tc>
          <w:tcPr>
            <w:tcW w:w="6804" w:type="dxa"/>
            <w:vAlign w:val="center"/>
          </w:tcPr>
          <w:p w14:paraId="1053430D" w14:textId="7623AEBE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possui pendência(s).</w:t>
            </w:r>
          </w:p>
        </w:tc>
      </w:tr>
      <w:tr w:rsidR="00EA0D4D" w14:paraId="49AEF48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5C785F" w:rsidRDefault="00EA0D4D" w:rsidP="00416E6C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</w:t>
            </w:r>
          </w:p>
        </w:tc>
        <w:tc>
          <w:tcPr>
            <w:tcW w:w="6804" w:type="dxa"/>
            <w:vAlign w:val="center"/>
          </w:tcPr>
          <w:p w14:paraId="443894BD" w14:textId="20F55476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 xml:space="preserve">Indica que a pendência está ligada à </w:t>
            </w:r>
            <w:r w:rsidR="00B90911" w:rsidRPr="005C785F">
              <w:rPr>
                <w:sz w:val="20"/>
              </w:rPr>
              <w:t>Secretaria Estadual de Tributação (</w:t>
            </w:r>
            <w:r w:rsidRPr="005C785F">
              <w:rPr>
                <w:sz w:val="20"/>
              </w:rPr>
              <w:t>SET</w:t>
            </w:r>
            <w:r w:rsidR="00B90911" w:rsidRPr="005C785F">
              <w:rPr>
                <w:sz w:val="20"/>
              </w:rPr>
              <w:t>)</w:t>
            </w:r>
            <w:r w:rsidRPr="005C785F">
              <w:rPr>
                <w:sz w:val="20"/>
              </w:rPr>
              <w:t>.</w:t>
            </w:r>
          </w:p>
        </w:tc>
      </w:tr>
      <w:tr w:rsidR="00EA0D4D" w14:paraId="5E14D90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SET/IPVA</w:t>
            </w:r>
          </w:p>
        </w:tc>
        <w:tc>
          <w:tcPr>
            <w:tcW w:w="6804" w:type="dxa"/>
            <w:vAlign w:val="center"/>
          </w:tcPr>
          <w:p w14:paraId="0A183779" w14:textId="4254727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é relacionada a</w:t>
            </w:r>
            <w:r w:rsidR="005B3AD2" w:rsidRPr="005C785F">
              <w:rPr>
                <w:sz w:val="20"/>
              </w:rPr>
              <w:t>o</w:t>
            </w:r>
            <w:r w:rsidRPr="005C785F">
              <w:rPr>
                <w:sz w:val="20"/>
              </w:rPr>
              <w:t xml:space="preserve"> Imposto sobre Propriedade de Veículos Automotores</w:t>
            </w:r>
            <w:r w:rsidR="005B3AD2" w:rsidRPr="005C785F">
              <w:rPr>
                <w:sz w:val="20"/>
              </w:rPr>
              <w:t xml:space="preserve"> (IPVA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6A310D16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PGE</w:t>
            </w:r>
          </w:p>
        </w:tc>
        <w:tc>
          <w:tcPr>
            <w:tcW w:w="6804" w:type="dxa"/>
            <w:vAlign w:val="center"/>
          </w:tcPr>
          <w:p w14:paraId="4980B874" w14:textId="3CB7579B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Procuradoria Geral do Estado</w:t>
            </w:r>
            <w:r w:rsidR="005B3AD2" w:rsidRPr="005C785F">
              <w:rPr>
                <w:sz w:val="20"/>
              </w:rPr>
              <w:t xml:space="preserve"> (PGE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4D32E4E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 PGE</w:t>
            </w:r>
          </w:p>
        </w:tc>
        <w:tc>
          <w:tcPr>
            <w:tcW w:w="6804" w:type="dxa"/>
            <w:vAlign w:val="center"/>
          </w:tcPr>
          <w:p w14:paraId="20147E02" w14:textId="3585CEC0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à PGE.</w:t>
            </w:r>
          </w:p>
        </w:tc>
      </w:tr>
      <w:tr w:rsidR="00EA0D4D" w14:paraId="18182DC1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IE/CNPJ/CPF INV</w:t>
            </w:r>
            <w:r w:rsidR="001D632D" w:rsidRPr="005C785F">
              <w:rPr>
                <w:sz w:val="20"/>
              </w:rPr>
              <w:t>Á</w:t>
            </w:r>
            <w:r w:rsidRPr="005C785F">
              <w:rPr>
                <w:sz w:val="20"/>
              </w:rPr>
              <w:t>LIDO</w:t>
            </w:r>
          </w:p>
        </w:tc>
        <w:tc>
          <w:tcPr>
            <w:tcW w:w="6804" w:type="dxa"/>
            <w:vAlign w:val="center"/>
          </w:tcPr>
          <w:p w14:paraId="709826DF" w14:textId="3150D8D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informação inserida do contribuinte está incorreta.</w:t>
            </w:r>
          </w:p>
        </w:tc>
      </w:tr>
      <w:tr w:rsidR="00EA0D4D" w14:paraId="5B9F3695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PENDENTE</w:t>
            </w:r>
          </w:p>
        </w:tc>
        <w:tc>
          <w:tcPr>
            <w:tcW w:w="6804" w:type="dxa"/>
            <w:vAlign w:val="center"/>
          </w:tcPr>
          <w:p w14:paraId="7E108A86" w14:textId="1437F009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FINALIZADO</w:t>
            </w:r>
          </w:p>
        </w:tc>
        <w:tc>
          <w:tcPr>
            <w:tcW w:w="6804" w:type="dxa"/>
            <w:vAlign w:val="center"/>
          </w:tcPr>
          <w:p w14:paraId="0AA1E33C" w14:textId="6D96B724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já foi concluída.</w:t>
            </w:r>
          </w:p>
        </w:tc>
      </w:tr>
    </w:tbl>
    <w:p w14:paraId="1080009D" w14:textId="77777777" w:rsidR="00532094" w:rsidRDefault="0014662D" w:rsidP="00532094">
      <w:pPr>
        <w:pStyle w:val="TF-FONTE"/>
        <w:spacing w:line="360" w:lineRule="auto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52BD52D1" w14:textId="40301AC6" w:rsidR="00741863" w:rsidRPr="00532094" w:rsidRDefault="00532094" w:rsidP="00532094">
      <w:pPr>
        <w:pStyle w:val="TF-FONTE"/>
        <w:spacing w:line="360" w:lineRule="auto"/>
        <w:ind w:firstLine="709"/>
        <w:jc w:val="both"/>
        <w:rPr>
          <w:sz w:val="24"/>
        </w:rPr>
      </w:pPr>
      <w:r w:rsidRPr="00532094">
        <w:rPr>
          <w:sz w:val="24"/>
        </w:rPr>
        <w:t xml:space="preserve">Os dados de Razão Social e IE/CNPJ/CPF são de uso exclusivo do responsável da planilha, ou seja, fica como responsabilidade dele inserir esses dados. O robô, por sua vez, tem como função fazer a escrita nas colunas de Pendência, Motivo(s) e Status, este último o responsável também podendo manipular. </w:t>
      </w:r>
      <w:r w:rsidR="00741863" w:rsidRPr="00532094">
        <w:rPr>
          <w:sz w:val="24"/>
        </w:rPr>
        <w:t xml:space="preserve">Foram definidos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para manter o registro da consulta de cada contribuinte. Estes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foram criados para exprimir esses indicadores, deixando claro a real situação de cada contribuinte na execução do robô. Estas flags serão necessárias para avaliação do resultado da execução da automação. </w:t>
      </w:r>
    </w:p>
    <w:p w14:paraId="7A40B501" w14:textId="77777777" w:rsidR="00190F02" w:rsidRDefault="00190F02" w:rsidP="00ED0101">
      <w:pPr>
        <w:pStyle w:val="Ttulo2"/>
      </w:pPr>
      <w:r>
        <w:t>A ROBOTIZAÇÃO DE PROCESSOS NO CONTEXTO DA GESTÃO FINANCEIRA DA FORÇA AÉREA</w:t>
      </w:r>
    </w:p>
    <w:bookmarkEnd w:id="33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7991D2E8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>da tecnologia OCR foi realizado o mapeamento dos arquivos das faturas em formato PDF</w:t>
      </w:r>
      <w:r w:rsidR="00A50EC5">
        <w:t>.</w:t>
      </w:r>
      <w:r w:rsidR="00FA0016">
        <w:t xml:space="preserve"> </w:t>
      </w:r>
      <w:r w:rsidR="00A50EC5">
        <w:t>D</w:t>
      </w:r>
      <w:r w:rsidR="00FA0016">
        <w:t>essa forma</w:t>
      </w:r>
      <w:r w:rsidR="00A50EC5">
        <w:t xml:space="preserve">,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</w:t>
      </w:r>
      <w:r w:rsidR="001A19DC">
        <w:lastRenderedPageBreak/>
        <w:t xml:space="preserve">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  <w:r w:rsidR="00BD2544">
        <w:t xml:space="preserve">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BD2544">
        <w:t xml:space="preserve"> demonstra as perguntas utilizadas pelo levantamento e a resposta dos militares consultados.</w:t>
      </w:r>
    </w:p>
    <w:p w14:paraId="33CDD102" w14:textId="568004DB" w:rsidR="00741EC3" w:rsidRDefault="00741EC3" w:rsidP="005C785F">
      <w:pPr>
        <w:pStyle w:val="TF-LEGENDA"/>
      </w:pPr>
      <w:bookmarkStart w:id="35" w:name="_Ref119834264"/>
      <w:r>
        <w:t xml:space="preserve">Tabela </w:t>
      </w:r>
      <w:fldSimple w:instr=" SEQ Tabela \* ARABIC ">
        <w:r w:rsidR="00751BBE">
          <w:rPr>
            <w:noProof/>
          </w:rPr>
          <w:t>1</w:t>
        </w:r>
      </w:fldSimple>
      <w:bookmarkEnd w:id="35"/>
      <w:r>
        <w:t xml:space="preserve"> -</w:t>
      </w:r>
      <w:r w:rsidRPr="00741EC3">
        <w:t xml:space="preserve"> Características do processamento de faturas</w:t>
      </w:r>
      <w:r>
        <w:t xml:space="preserve"> </w:t>
      </w:r>
    </w:p>
    <w:tbl>
      <w:tblPr>
        <w:tblStyle w:val="Tabelacomgrade"/>
        <w:tblpPr w:leftFromText="141" w:rightFromText="141" w:vertAnchor="text" w:horzAnchor="page" w:tblpX="1750" w:tblpY="7"/>
        <w:tblW w:w="907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228"/>
        <w:gridCol w:w="1228"/>
        <w:gridCol w:w="1229"/>
      </w:tblGrid>
      <w:tr w:rsidR="00741EC3" w14:paraId="0D51657B" w14:textId="77777777" w:rsidTr="005C785F">
        <w:trPr>
          <w:trHeight w:val="360"/>
        </w:trPr>
        <w:tc>
          <w:tcPr>
            <w:tcW w:w="5387" w:type="dxa"/>
            <w:vAlign w:val="center"/>
          </w:tcPr>
          <w:p w14:paraId="7CAF389C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228" w:type="dxa"/>
            <w:vAlign w:val="center"/>
          </w:tcPr>
          <w:p w14:paraId="691BAE62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228" w:type="dxa"/>
            <w:vAlign w:val="center"/>
          </w:tcPr>
          <w:p w14:paraId="65FDCD3A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229" w:type="dxa"/>
            <w:vAlign w:val="center"/>
          </w:tcPr>
          <w:p w14:paraId="54B70BED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741EC3" w14:paraId="4A9ECA58" w14:textId="77777777" w:rsidTr="005C785F">
        <w:trPr>
          <w:trHeight w:val="192"/>
        </w:trPr>
        <w:tc>
          <w:tcPr>
            <w:tcW w:w="5387" w:type="dxa"/>
            <w:vAlign w:val="center"/>
          </w:tcPr>
          <w:p w14:paraId="06AEE61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228" w:type="dxa"/>
            <w:vAlign w:val="center"/>
          </w:tcPr>
          <w:p w14:paraId="7EBEDCD8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228" w:type="dxa"/>
            <w:vAlign w:val="center"/>
          </w:tcPr>
          <w:p w14:paraId="7B2B4366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229" w:type="dxa"/>
            <w:vAlign w:val="center"/>
          </w:tcPr>
          <w:p w14:paraId="45C5A6D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741EC3" w14:paraId="00279F32" w14:textId="77777777" w:rsidTr="005C785F">
        <w:trPr>
          <w:trHeight w:val="144"/>
        </w:trPr>
        <w:tc>
          <w:tcPr>
            <w:tcW w:w="5387" w:type="dxa"/>
            <w:vAlign w:val="center"/>
          </w:tcPr>
          <w:p w14:paraId="48C560F1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228" w:type="dxa"/>
            <w:vAlign w:val="center"/>
          </w:tcPr>
          <w:p w14:paraId="5724E89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3DFD0B4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9" w:type="dxa"/>
            <w:vAlign w:val="center"/>
          </w:tcPr>
          <w:p w14:paraId="2FA5A13E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5A357981" w14:textId="77777777" w:rsidTr="005C785F">
        <w:trPr>
          <w:trHeight w:val="180"/>
        </w:trPr>
        <w:tc>
          <w:tcPr>
            <w:tcW w:w="5387" w:type="dxa"/>
            <w:vAlign w:val="center"/>
          </w:tcPr>
          <w:p w14:paraId="0B12E236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228" w:type="dxa"/>
            <w:vAlign w:val="center"/>
          </w:tcPr>
          <w:p w14:paraId="6E7CE910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228" w:type="dxa"/>
            <w:vAlign w:val="center"/>
          </w:tcPr>
          <w:p w14:paraId="490602E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229" w:type="dxa"/>
            <w:vAlign w:val="center"/>
          </w:tcPr>
          <w:p w14:paraId="06AA9C29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43C35F85" w14:textId="77777777" w:rsidTr="005C785F">
        <w:trPr>
          <w:trHeight w:val="70"/>
        </w:trPr>
        <w:tc>
          <w:tcPr>
            <w:tcW w:w="5387" w:type="dxa"/>
            <w:vAlign w:val="center"/>
          </w:tcPr>
          <w:p w14:paraId="508334E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228" w:type="dxa"/>
            <w:vAlign w:val="center"/>
          </w:tcPr>
          <w:p w14:paraId="5492A45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18B69C0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229" w:type="dxa"/>
            <w:vAlign w:val="center"/>
          </w:tcPr>
          <w:p w14:paraId="308D9CC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64C909C" w14:textId="39344F21" w:rsidR="00A50EC5" w:rsidRDefault="00741EC3" w:rsidP="00A50EC5">
      <w:pPr>
        <w:pStyle w:val="TF-FONTE"/>
      </w:pPr>
      <w:r>
        <w:t xml:space="preserve"> </w:t>
      </w:r>
      <w:r w:rsidR="00A50EC5">
        <w:t>Fonte: Pinto (2020).</w:t>
      </w:r>
    </w:p>
    <w:p w14:paraId="56BC36A3" w14:textId="6295F02C" w:rsidR="00E41F33" w:rsidRDefault="00E41F33" w:rsidP="00F31D51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741EC3">
        <w:t xml:space="preserve"> </w:t>
      </w:r>
      <w:r w:rsidR="00B61077">
        <w:t xml:space="preserve">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664B55CF" w14:textId="7F59257F" w:rsidR="00451B94" w:rsidRDefault="00451B94" w:rsidP="00375ADA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EA23026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ED0101">
      <w:pPr>
        <w:pStyle w:val="Ttulo2"/>
      </w:pPr>
      <w:bookmarkStart w:id="43" w:name="_Ref106623884"/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t>JUSTIFICATIVA</w:t>
      </w:r>
      <w:bookmarkEnd w:id="43"/>
    </w:p>
    <w:p w14:paraId="48E82923" w14:textId="0E0224AA" w:rsidR="00100747" w:rsidRDefault="00BF6696" w:rsidP="00A95421">
      <w:pPr>
        <w:pStyle w:val="TF-TEXTO"/>
      </w:pPr>
      <w:r w:rsidRPr="008C02A7">
        <w:t>Conforme Cassol (2022), a</w:t>
      </w:r>
      <w:r w:rsidR="000F7CD8" w:rsidRPr="008C02A7">
        <w:t xml:space="preserve"> </w:t>
      </w:r>
      <w:r w:rsidR="007F2FF2" w:rsidRPr="008C02A7">
        <w:t xml:space="preserve">automação por RPA vem estimulando o crescimento acelerado e mais seguro das organizações. </w:t>
      </w:r>
      <w:r w:rsidR="00EA7051">
        <w:t>Cassol (2022) coloca que a</w:t>
      </w:r>
      <w:r w:rsidR="00F45A14" w:rsidRPr="008C02A7">
        <w:t xml:space="preserve">ntes da </w:t>
      </w:r>
      <w:r w:rsidR="00741EC3">
        <w:t xml:space="preserve">proposta de </w:t>
      </w:r>
      <w:r w:rsidR="00F92792" w:rsidRPr="008C02A7">
        <w:t xml:space="preserve">implantação </w:t>
      </w:r>
      <w:r w:rsidR="00F45A14" w:rsidRPr="008C02A7">
        <w:t>da</w:t>
      </w:r>
      <w:r w:rsidR="00F92792" w:rsidRPr="008C02A7">
        <w:t xml:space="preserve"> tecnologia para automatizar</w:t>
      </w:r>
      <w:r w:rsidR="00D940D8" w:rsidRPr="008C02A7">
        <w:t xml:space="preserve"> os</w:t>
      </w:r>
      <w:r w:rsidR="00F92792" w:rsidRPr="008C02A7">
        <w:t xml:space="preserve"> processos operacionais das áreas de negócio </w:t>
      </w:r>
      <w:r w:rsidR="0000741F" w:rsidRPr="008C02A7">
        <w:t xml:space="preserve">foram </w:t>
      </w:r>
      <w:r w:rsidR="000364C7" w:rsidRPr="008C02A7">
        <w:t xml:space="preserve">necessários </w:t>
      </w:r>
      <w:r w:rsidR="00F92792" w:rsidRPr="008C02A7">
        <w:t>alinhamentos da tecnologia com o planejamento estratégico da organização</w:t>
      </w:r>
      <w:r w:rsidR="00EA7051">
        <w:t xml:space="preserve">. Isso ocorreu </w:t>
      </w:r>
      <w:r w:rsidR="00F92792" w:rsidRPr="008C02A7">
        <w:t xml:space="preserve">para que o </w:t>
      </w:r>
      <w:r w:rsidR="00F45A14" w:rsidRPr="008C02A7">
        <w:t xml:space="preserve">uso </w:t>
      </w:r>
      <w:r w:rsidR="00F92792" w:rsidRPr="008C02A7">
        <w:t xml:space="preserve">da automação estivesse alinhado com os interesses e com a missão </w:t>
      </w:r>
      <w:r w:rsidR="00EA7051">
        <w:t>da</w:t>
      </w:r>
      <w:r w:rsidR="00EA7051" w:rsidRPr="008C02A7">
        <w:t xml:space="preserve"> </w:t>
      </w:r>
      <w:r w:rsidR="00F92792" w:rsidRPr="008C02A7">
        <w:t xml:space="preserve">empresa </w:t>
      </w:r>
      <w:r w:rsidR="00EA7051">
        <w:t xml:space="preserve">em questão </w:t>
      </w:r>
      <w:r w:rsidR="00F92792" w:rsidRPr="008C02A7">
        <w:t xml:space="preserve">(CASSOL, 2022). </w:t>
      </w:r>
      <w:r w:rsidR="00F45A14" w:rsidRPr="008C02A7">
        <w:t>Cassol (2022) ainda coloca que</w:t>
      </w:r>
      <w:r w:rsidR="00F92792" w:rsidRPr="008C02A7">
        <w:t xml:space="preserve"> </w:t>
      </w:r>
      <w:r w:rsidR="008F4405" w:rsidRPr="008C02A7">
        <w:t xml:space="preserve">havia </w:t>
      </w:r>
      <w:r w:rsidR="00D940D8" w:rsidRPr="008C02A7">
        <w:t xml:space="preserve">uma </w:t>
      </w:r>
      <w:r w:rsidR="008F4405" w:rsidRPr="008C02A7">
        <w:t>preocupação da alta diretoria referente</w:t>
      </w:r>
      <w:r w:rsidR="00F45A14" w:rsidRPr="008C02A7">
        <w:t xml:space="preserve"> </w:t>
      </w:r>
      <w:r w:rsidR="00100747">
        <w:t>a</w:t>
      </w:r>
      <w:r w:rsidR="00D940D8" w:rsidRPr="008C02A7">
        <w:t xml:space="preserve"> como a tecnologia ir</w:t>
      </w:r>
      <w:r w:rsidR="00EA7051">
        <w:t>á</w:t>
      </w:r>
      <w:r w:rsidR="008F4405" w:rsidRPr="008C02A7">
        <w:t xml:space="preserve"> atender</w:t>
      </w:r>
      <w:r w:rsidR="00D940D8" w:rsidRPr="008C02A7">
        <w:t xml:space="preserve"> as necessidades da </w:t>
      </w:r>
      <w:r w:rsidR="00D940D8" w:rsidRPr="008C02A7">
        <w:lastRenderedPageBreak/>
        <w:t>organização</w:t>
      </w:r>
      <w:r w:rsidR="001B1FB4" w:rsidRPr="008C02A7">
        <w:t>,</w:t>
      </w:r>
      <w:r w:rsidR="00D940D8" w:rsidRPr="008C02A7">
        <w:t xml:space="preserve"> e por isso foram definidos pilares chaves que a automação de processos deveria seguir. </w:t>
      </w:r>
      <w:r w:rsidR="00F92792" w:rsidRPr="008C02A7">
        <w:t>Dessa forma cri</w:t>
      </w:r>
      <w:r w:rsidR="003F4597" w:rsidRPr="008C02A7">
        <w:t>ou-se</w:t>
      </w:r>
      <w:r w:rsidR="00F92792" w:rsidRPr="008C02A7">
        <w:t xml:space="preserve"> </w:t>
      </w:r>
      <w:r w:rsidR="00D940D8" w:rsidRPr="008C02A7">
        <w:t>as principais vertentes</w:t>
      </w:r>
      <w:r w:rsidR="00F92792" w:rsidRPr="008C02A7">
        <w:t xml:space="preserve"> para que </w:t>
      </w:r>
      <w:r w:rsidR="0067249D" w:rsidRPr="008C02A7">
        <w:t>se torne</w:t>
      </w:r>
      <w:r w:rsidR="00F92792" w:rsidRPr="008C02A7">
        <w:t xml:space="preserve"> possível medir o nível de segurança</w:t>
      </w:r>
      <w:r w:rsidR="00EA7051">
        <w:t xml:space="preserve"> e justificando esse desenvolvimento na empresa</w:t>
      </w:r>
      <w:r w:rsidR="00F92792" w:rsidRPr="008C02A7">
        <w:t xml:space="preserve">, </w:t>
      </w:r>
      <w:r w:rsidR="00EA7051">
        <w:t xml:space="preserve">senda elas: </w:t>
      </w:r>
      <w:r w:rsidR="00F92792" w:rsidRPr="008C02A7">
        <w:t>integridade, padronização e dinamismo da tecnologia.</w:t>
      </w:r>
      <w:r w:rsidR="0067249D" w:rsidRPr="008C02A7">
        <w:t xml:space="preserve"> </w:t>
      </w:r>
    </w:p>
    <w:p w14:paraId="20620075" w14:textId="28AA57A2" w:rsidR="000415A2" w:rsidRPr="0067249D" w:rsidRDefault="0067249D" w:rsidP="00A95421">
      <w:pPr>
        <w:pStyle w:val="TF-TEXTO"/>
      </w:pPr>
      <w:r w:rsidRPr="008C02A7">
        <w:t xml:space="preserve">Cassol (2022) </w:t>
      </w:r>
      <w:r w:rsidR="00100747">
        <w:t>afirma</w:t>
      </w:r>
      <w:r w:rsidRPr="008C02A7">
        <w:t xml:space="preserve"> que cada pilar representa uma qualidade e benefício de se automatizar um processo de negócio </w:t>
      </w:r>
      <w:r w:rsidR="00EA7051">
        <w:t>por meio</w:t>
      </w:r>
      <w:r w:rsidR="00EA7051" w:rsidRPr="008C02A7">
        <w:t xml:space="preserve"> </w:t>
      </w:r>
      <w:r w:rsidRPr="008C02A7">
        <w:t>de RPA</w:t>
      </w:r>
      <w:r w:rsidRPr="00CF1BBB">
        <w:t xml:space="preserve">. Os indicadores de segurança irão permitir visualizar a medida de amadurecimento em relação a mitigação de riscos que o processo apresenta se comparado ao seu estado anterior. A integridade </w:t>
      </w:r>
      <w:r w:rsidR="006D0566" w:rsidRPr="00CF1BBB">
        <w:t xml:space="preserve">será </w:t>
      </w:r>
      <w:r w:rsidRPr="00CF1BBB">
        <w:t>avaliada de forma que reduza a probabilidade de inconsistências na execução do processo em relação ao seu estado anterior</w:t>
      </w:r>
      <w:r w:rsidR="006D0566" w:rsidRPr="00CF1BBB">
        <w:t>. U</w:t>
      </w:r>
      <w:r w:rsidRPr="00CF1BBB">
        <w:t xml:space="preserve">m ponto muito positivo quando se </w:t>
      </w:r>
      <w:r w:rsidR="00EA7051" w:rsidRPr="00CF1BBB">
        <w:t xml:space="preserve">fala </w:t>
      </w:r>
      <w:r w:rsidRPr="00CF1BBB">
        <w:t xml:space="preserve">em RPA, uma vez que </w:t>
      </w:r>
      <w:r w:rsidR="006D0566" w:rsidRPr="00CF1BBB">
        <w:t>será</w:t>
      </w:r>
      <w:r w:rsidRPr="00CF1BBB">
        <w:t xml:space="preserve"> possível acompanhar o passo-a-passo da automação por registros de </w:t>
      </w:r>
      <w:r w:rsidRPr="00CF1BBB">
        <w:rPr>
          <w:i/>
          <w:iCs/>
        </w:rPr>
        <w:t>logs</w:t>
      </w:r>
      <w:r w:rsidRPr="00CF1BBB">
        <w:t xml:space="preserve"> da execução. </w:t>
      </w:r>
      <w:r w:rsidR="00A95421" w:rsidRPr="00CF1BBB">
        <w:t xml:space="preserve">A padronização do processo </w:t>
      </w:r>
      <w:r w:rsidR="007C60CF" w:rsidRPr="00CF1BBB">
        <w:t>permitirá</w:t>
      </w:r>
      <w:r w:rsidR="00A95421" w:rsidRPr="00CF1BBB">
        <w:t xml:space="preserve"> exibir as melhorias aplicadas ao processo quanto as suas variações na execução e garantia de conformidade em relação ao seu estado anterior</w:t>
      </w:r>
      <w:r w:rsidR="00EA7051" w:rsidRPr="00CF1BBB">
        <w:t xml:space="preserve">. Outro ponto colocado por Cassol (2022) </w:t>
      </w:r>
      <w:r w:rsidR="006D0566" w:rsidRPr="00CF1BBB">
        <w:t xml:space="preserve">é </w:t>
      </w:r>
      <w:r w:rsidR="00EA7051" w:rsidRPr="00CF1BBB">
        <w:t xml:space="preserve">referente </w:t>
      </w:r>
      <w:r w:rsidR="00A95421" w:rsidRPr="00CF1BBB">
        <w:t xml:space="preserve"> </w:t>
      </w:r>
      <w:r w:rsidR="00EA7051" w:rsidRPr="00CF1BBB">
        <w:t>a</w:t>
      </w:r>
      <w:r w:rsidR="00A95421" w:rsidRPr="00CF1BBB">
        <w:t>os indicadores de dinamismo</w:t>
      </w:r>
      <w:r w:rsidR="00EA7051" w:rsidRPr="00CF1BBB">
        <w:t>,</w:t>
      </w:r>
      <w:r w:rsidR="00A95421" w:rsidRPr="00CF1BBB">
        <w:t xml:space="preserve"> que </w:t>
      </w:r>
      <w:r w:rsidR="00EA7051" w:rsidRPr="00CF1BBB">
        <w:t xml:space="preserve">visam </w:t>
      </w:r>
      <w:r w:rsidR="00A95421" w:rsidRPr="00CF1BBB">
        <w:t>garant</w:t>
      </w:r>
      <w:r w:rsidR="00EA7051" w:rsidRPr="00CF1BBB">
        <w:t xml:space="preserve">ir </w:t>
      </w:r>
      <w:r w:rsidR="00A95421" w:rsidRPr="00CF1BBB">
        <w:t>de forma competitiva um processo comparado ao seu estado anterior</w:t>
      </w:r>
      <w:r w:rsidR="006D0566" w:rsidRPr="00CF1BBB">
        <w:t xml:space="preserve"> e</w:t>
      </w:r>
      <w:r w:rsidR="00A95421" w:rsidRPr="00CF1BBB">
        <w:t xml:space="preserve"> conota</w:t>
      </w:r>
      <w:r w:rsidR="006D0566" w:rsidRPr="00CF1BBB">
        <w:t>m</w:t>
      </w:r>
      <w:r w:rsidR="00A95421" w:rsidRPr="00CF1BBB">
        <w:t xml:space="preserve"> maior agilidade e escalabilidade em relação às necessidades do negócio</w:t>
      </w:r>
      <w:r w:rsidR="00932978" w:rsidRPr="00CF1BBB">
        <w:t xml:space="preserve"> (CASSOL, 2022)</w:t>
      </w:r>
      <w:r w:rsidR="00A95421" w:rsidRPr="00CF1BBB">
        <w:t>.</w:t>
      </w:r>
      <w:r w:rsidR="00563EE9">
        <w:t xml:space="preserve"> </w:t>
      </w:r>
    </w:p>
    <w:p w14:paraId="3F20E980" w14:textId="58907B23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</w:t>
      </w:r>
      <w:r w:rsidR="00D25E60">
        <w:t>atualizaçã</w:t>
      </w:r>
      <w:r>
        <w:t>o</w:t>
      </w:r>
      <w:r w:rsidR="007242FF">
        <w:t>,</w:t>
      </w:r>
      <w:r>
        <w:t xml:space="preserve"> verificação de informações </w:t>
      </w:r>
      <w:r w:rsidR="00D6287E">
        <w:t>e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751BBE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338D9F3A" w:rsidR="00C436B6" w:rsidRDefault="007C055E" w:rsidP="007C055E">
      <w:pPr>
        <w:pStyle w:val="TF-LEGENDA"/>
      </w:pPr>
      <w:bookmarkStart w:id="51" w:name="_Ref52025161"/>
      <w:r>
        <w:t xml:space="preserve">Quadro </w:t>
      </w:r>
      <w:fldSimple w:instr=" SEQ Quadro \* ARABIC ">
        <w:r w:rsidR="00751BBE">
          <w:rPr>
            <w:noProof/>
          </w:rPr>
          <w:t>2</w:t>
        </w:r>
      </w:fldSimple>
      <w:bookmarkEnd w:id="51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867"/>
        <w:gridCol w:w="1238"/>
      </w:tblGrid>
      <w:tr w:rsidR="00C436B6" w14:paraId="1F39492F" w14:textId="77777777" w:rsidTr="005C785F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867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238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1969F6" w14:paraId="21196663" w14:textId="77777777" w:rsidTr="005C785F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AF6224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1969F6" w:rsidRPr="0033453A">
              <w:rPr>
                <w:sz w:val="20"/>
              </w:rPr>
              <w:t>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53019795" w:rsidR="001969F6" w:rsidRPr="001969F6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867" w:type="dxa"/>
            <w:shd w:val="clear" w:color="auto" w:fill="auto"/>
          </w:tcPr>
          <w:p w14:paraId="3F092AD1" w14:textId="61E932C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5DBC6FC9" w14:textId="340586DD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</w:tr>
      <w:tr w:rsidR="001969F6" w14:paraId="1E6D448F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07EAC425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1969F6" w:rsidRPr="0033453A">
              <w:rPr>
                <w:sz w:val="20"/>
              </w:rPr>
              <w:t>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57B035BA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4CA7EAE" w14:textId="2A6F81B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076A91EF" w14:textId="216BF783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1969F6" w14:paraId="19DDE6FD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6E8A965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</w:t>
            </w:r>
            <w:r w:rsidR="001969F6" w:rsidRPr="0033453A">
              <w:rPr>
                <w:sz w:val="20"/>
              </w:rPr>
              <w:t>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7EE12AE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2D45C59" w14:textId="66D4218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47E79221" w14:textId="5BE4256C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</w:tr>
      <w:tr w:rsidR="001969F6" w14:paraId="76A6503E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46149F47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1969F6" w:rsidRPr="0033453A">
              <w:rPr>
                <w:sz w:val="20"/>
              </w:rPr>
              <w:t>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CE93649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4AE6DE37" w14:textId="05DED960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15E7BF65" w14:textId="18478975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1969F6" w14:paraId="2F159567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73A85753" w:rsidR="001969F6" w:rsidRPr="0033453A" w:rsidRDefault="00724095" w:rsidP="001969F6">
            <w:pPr>
              <w:pStyle w:val="TF-TEXTOQUADRO"/>
              <w:rPr>
                <w:sz w:val="20"/>
              </w:rPr>
            </w:pPr>
            <w:bookmarkStart w:id="52" w:name="_Hlk111739010"/>
            <w:r>
              <w:rPr>
                <w:sz w:val="20"/>
              </w:rPr>
              <w:t>u</w:t>
            </w:r>
            <w:r w:rsidR="001969F6" w:rsidRPr="0033453A">
              <w:rPr>
                <w:sz w:val="20"/>
              </w:rPr>
              <w:t>tilização de OCR para coleta de informações em PDF</w:t>
            </w:r>
            <w:bookmarkEnd w:id="52"/>
          </w:p>
        </w:tc>
        <w:tc>
          <w:tcPr>
            <w:tcW w:w="1694" w:type="dxa"/>
            <w:shd w:val="clear" w:color="auto" w:fill="auto"/>
          </w:tcPr>
          <w:p w14:paraId="6158951C" w14:textId="33B56AE8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1E5D2FA3" w14:textId="2C4D4DE2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77F9393B" w14:textId="0BF42FB1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C65FB8" w14:paraId="581D6FF6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1E97EB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</w:t>
            </w:r>
            <w:r w:rsidR="00C65FB8" w:rsidRPr="0033453A">
              <w:rPr>
                <w:sz w:val="20"/>
              </w:rPr>
              <w:t xml:space="preserve">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34D00266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27B1FA82" w14:textId="7F912DD3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71E422F1" w14:textId="296FC128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C65FB8" w14:paraId="0CF07A45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7DC4EA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</w:t>
            </w:r>
            <w:r w:rsidR="00C65FB8" w:rsidRPr="0033453A">
              <w:rPr>
                <w:sz w:val="20"/>
              </w:rPr>
              <w:t>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867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238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3BB66AD3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C65FB8" w:rsidRPr="0033453A">
              <w:rPr>
                <w:sz w:val="20"/>
              </w:rPr>
              <w:t>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867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Selenium/Python</w:t>
            </w:r>
          </w:p>
        </w:tc>
        <w:tc>
          <w:tcPr>
            <w:tcW w:w="1238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F85E944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</w:t>
      </w:r>
      <w:r w:rsidR="0097597D">
        <w:t>0</w:t>
      </w:r>
      <w:r w:rsidR="00BF0250">
        <w:t>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>(2019) é possível obter informações de RCAs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</w:t>
      </w:r>
      <w:r w:rsidR="004473FE">
        <w:t>s</w:t>
      </w:r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8432C1">
        <w:rPr>
          <w:rFonts w:ascii="Courier New" w:hAnsi="Courier New" w:cs="Courier New"/>
          <w:sz w:val="20"/>
        </w:rPr>
        <w:t>Sugestão de Correção</w:t>
      </w:r>
      <w:r w:rsidR="0001557E" w:rsidRPr="00FF23B9">
        <w:t xml:space="preserve">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026B1CD8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143226">
        <w:rPr>
          <w:rFonts w:ascii="Courier New" w:hAnsi="Courier New" w:cs="Courier New"/>
          <w:sz w:val="20"/>
        </w:rPr>
        <w:t>Utilização de OCR</w:t>
      </w:r>
      <w:r w:rsidR="00154320" w:rsidRPr="00416E6C">
        <w:t xml:space="preserve">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4473FE" w:rsidRPr="004473FE">
        <w:t>possibilitando</w:t>
      </w:r>
      <w:r w:rsidR="004473FE">
        <w:t xml:space="preserve"> na maioria das vezes </w:t>
      </w:r>
      <w:r w:rsidR="004473FE" w:rsidRPr="004473FE">
        <w:t>uma</w:t>
      </w:r>
      <w:r w:rsidR="00E2643C" w:rsidRPr="004473FE">
        <w:t xml:space="preserve"> maior </w:t>
      </w:r>
      <w:r w:rsidR="00316CFB" w:rsidRPr="004473FE">
        <w:t>assertividade no momento de realizar o lançamento das faturas</w:t>
      </w:r>
      <w:r w:rsidR="006C0ADE" w:rsidRPr="004473FE">
        <w:t>.</w:t>
      </w:r>
      <w:r w:rsidR="00F33281" w:rsidRPr="004473FE">
        <w:t xml:space="preserve"> </w:t>
      </w:r>
      <w:r w:rsidR="001D2DAF" w:rsidRPr="004473FE">
        <w:t>J</w:t>
      </w:r>
      <w:r w:rsidR="00F33281" w:rsidRPr="004473FE">
        <w:t>á</w:t>
      </w:r>
      <w:r w:rsidR="00F33281" w:rsidRPr="00416E6C">
        <w:t xml:space="preserve"> a possibilidade de </w:t>
      </w:r>
      <w:r w:rsidR="00776D77" w:rsidRPr="00143226">
        <w:rPr>
          <w:rFonts w:ascii="Courier New" w:hAnsi="Courier New" w:cs="Courier New"/>
          <w:sz w:val="20"/>
        </w:rPr>
        <w:t xml:space="preserve">Consulta CNPJ na Receita </w:t>
      </w:r>
      <w:r w:rsidR="002E5C37" w:rsidRPr="00143226">
        <w:rPr>
          <w:rFonts w:ascii="Courier New" w:hAnsi="Courier New" w:cs="Courier New"/>
          <w:sz w:val="20"/>
        </w:rPr>
        <w:t>Federal</w:t>
      </w:r>
      <w:r w:rsidR="002E5C37" w:rsidRPr="002E5C37">
        <w:t xml:space="preserve">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0BE0EF8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 xml:space="preserve">automação de atividades robóticas manuais que no meio corporativo acabam impactando nos resultados das </w:t>
      </w:r>
      <w:r w:rsidR="00012447" w:rsidRPr="00416E6C">
        <w:lastRenderedPageBreak/>
        <w:t>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>a documentação de tod</w:t>
      </w:r>
      <w:r w:rsidR="00BC592E">
        <w:t xml:space="preserve">a a realização </w:t>
      </w:r>
      <w:r w:rsidR="00EB01E4" w:rsidRPr="00416E6C">
        <w:t>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ED0101">
      <w:pPr>
        <w:pStyle w:val="Ttulo2"/>
      </w:pPr>
      <w:bookmarkStart w:id="53" w:name="_Ref106623894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3"/>
    </w:p>
    <w:p w14:paraId="5B46153D" w14:textId="2484089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751BBE">
        <w:t xml:space="preserve">Quadro </w:t>
      </w:r>
      <w:r w:rsidR="00751BBE">
        <w:rPr>
          <w:noProof/>
        </w:rPr>
        <w:t>3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3D39A6B3" w:rsidR="009F6B50" w:rsidRDefault="001B09EB" w:rsidP="001B09EB">
      <w:pPr>
        <w:pStyle w:val="TF-LEGENDA"/>
      </w:pPr>
      <w:bookmarkStart w:id="54" w:name="_Ref52887444"/>
      <w:r>
        <w:t xml:space="preserve">Quadro </w:t>
      </w:r>
      <w:fldSimple w:instr=" SEQ Quadro \* ARABIC ">
        <w:r w:rsidR="00751BBE">
          <w:rPr>
            <w:noProof/>
          </w:rPr>
          <w:t>3</w:t>
        </w:r>
      </w:fldSimple>
      <w:bookmarkEnd w:id="54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49776FC3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.csv, .xls,.xlxs,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7023B044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D0101">
      <w:pPr>
        <w:pStyle w:val="Ttulo2"/>
      </w:pPr>
      <w:bookmarkStart w:id="55" w:name="_Ref106623904"/>
      <w:r>
        <w:t>METODOLOGIA</w:t>
      </w:r>
      <w:bookmarkEnd w:id="55"/>
    </w:p>
    <w:p w14:paraId="7A2FF8FE" w14:textId="061BEB2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751BBE">
        <w:t xml:space="preserve">Quadro </w:t>
      </w:r>
      <w:r w:rsidR="00751BBE">
        <w:rPr>
          <w:noProof/>
        </w:rPr>
        <w:t>4</w:t>
      </w:r>
      <w:r w:rsidR="00657859">
        <w:fldChar w:fldCharType="end"/>
      </w:r>
      <w:r>
        <w:t>:</w:t>
      </w:r>
    </w:p>
    <w:p w14:paraId="1D702EC6" w14:textId="5FEC7179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>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0CCA25F2" w14:textId="107D688E" w:rsidR="00561E6D" w:rsidRPr="007E0D87" w:rsidRDefault="00561E6D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construir a etapa TO BE: formalizar o fluxo d</w:t>
      </w:r>
      <w:r w:rsidR="00E3331B">
        <w:t>o</w:t>
      </w:r>
      <w:r>
        <w:t xml:space="preserve"> processo automatizado por meio da construção da etapa TO BE do </w:t>
      </w:r>
      <w:r w:rsidRPr="002C72D6">
        <w:t>Business Process Management</w:t>
      </w:r>
      <w:r>
        <w:t xml:space="preserve"> (BPM), utilizando a ferramenta de modelagem de processos Bizagi;</w:t>
      </w:r>
    </w:p>
    <w:p w14:paraId="20DC110F" w14:textId="27F01135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="00561E6D">
        <w:t xml:space="preserve"> e da construção da etapa TO BE</w:t>
      </w:r>
      <w:r w:rsidRPr="00B054B7">
        <w:t>;</w:t>
      </w:r>
    </w:p>
    <w:p w14:paraId="35872B3D" w14:textId="4210B86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>especificação e análise:</w:t>
      </w:r>
      <w:r w:rsidR="002C72D6">
        <w:t xml:space="preserve"> </w:t>
      </w:r>
      <w:r w:rsidR="005E3DD0">
        <w:t>a partir das</w:t>
      </w:r>
      <w:r>
        <w:t xml:space="preserve"> </w:t>
      </w:r>
      <w:r w:rsidR="005E3DD0">
        <w:t xml:space="preserve">etapas anteriores, realizar a especificação do </w:t>
      </w:r>
      <w:r w:rsidR="005E3DD0">
        <w:lastRenderedPageBreak/>
        <w:t xml:space="preserve">projeto por meio de </w:t>
      </w:r>
      <w:r>
        <w:t xml:space="preserve">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2BDB65E2" w:rsidR="00451B94" w:rsidRPr="003C0CD7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 w:rsidRPr="003C0CD7">
        <w:t>verificação</w:t>
      </w:r>
      <w:r w:rsidR="00190F02" w:rsidRPr="003C0CD7">
        <w:t xml:space="preserve">, </w:t>
      </w:r>
      <w:r w:rsidRPr="003C0CD7">
        <w:t>validação</w:t>
      </w:r>
      <w:r w:rsidR="00190F02" w:rsidRPr="003C0CD7">
        <w:t xml:space="preserve"> e análise</w:t>
      </w:r>
      <w:r w:rsidRPr="003C0CD7">
        <w:t xml:space="preserve">: </w:t>
      </w:r>
      <w:r w:rsidR="00901BDD" w:rsidRPr="003C0CD7">
        <w:t xml:space="preserve">durante </w:t>
      </w:r>
      <w:r w:rsidRPr="003C0CD7">
        <w:t xml:space="preserve">a implementação, realizar os testes </w:t>
      </w:r>
      <w:r w:rsidR="00190F02" w:rsidRPr="003C0CD7">
        <w:t>da automação</w:t>
      </w:r>
      <w:r w:rsidRPr="003C0CD7">
        <w:t>.</w:t>
      </w:r>
      <w:r w:rsidR="001A4235" w:rsidRPr="003C0CD7">
        <w:t xml:space="preserve"> Para validação </w:t>
      </w:r>
      <w:r w:rsidR="008E60C2" w:rsidRPr="003C0CD7">
        <w:t xml:space="preserve">da entrega será realizado um plano de teste para </w:t>
      </w:r>
      <w:r w:rsidR="006D0566">
        <w:t>os requisitos definidos</w:t>
      </w:r>
      <w:r w:rsidR="005C785F">
        <w:t>, assim como s</w:t>
      </w:r>
      <w:r w:rsidR="00345055">
        <w:t xml:space="preserve">erá planejado e construído </w:t>
      </w:r>
      <w:r w:rsidR="008E60C2" w:rsidRPr="003C0CD7">
        <w:t>o projeto piloto que será executado em ambiente de produção com uma volumetria reduzida</w:t>
      </w:r>
      <w:r w:rsidR="005C785F">
        <w:t>. A</w:t>
      </w:r>
      <w:r w:rsidR="00333677">
        <w:t>ssim que</w:t>
      </w:r>
      <w:r w:rsidR="008E60C2" w:rsidRPr="003C0CD7">
        <w:t xml:space="preserve"> a </w:t>
      </w:r>
      <w:r w:rsidR="00333677">
        <w:t>automação for entregue</w:t>
      </w:r>
      <w:r w:rsidR="008E60C2" w:rsidRPr="003C0CD7">
        <w:t>, um termo de aceite</w:t>
      </w:r>
      <w:r w:rsidR="00333677">
        <w:t xml:space="preserve"> será encaminhado</w:t>
      </w:r>
      <w:r w:rsidR="008E60C2" w:rsidRPr="003C0CD7">
        <w:t xml:space="preserve"> para assinatura da área de negócio responsável.</w:t>
      </w:r>
    </w:p>
    <w:p w14:paraId="570E1F6E" w14:textId="639E9381" w:rsidR="00451B94" w:rsidRPr="007E0D87" w:rsidRDefault="00E26D75" w:rsidP="00E26D75">
      <w:pPr>
        <w:pStyle w:val="TF-LEGENDA-Ilustracao"/>
      </w:pPr>
      <w:bookmarkStart w:id="56" w:name="_Ref98650273"/>
      <w:r>
        <w:t xml:space="preserve">Quadro </w:t>
      </w:r>
      <w:fldSimple w:instr=" SEQ Quadro \* ARABIC ">
        <w:r w:rsidR="00751BBE">
          <w:rPr>
            <w:noProof/>
          </w:rPr>
          <w:t>4</w:t>
        </w:r>
      </w:fldSimple>
      <w:bookmarkEnd w:id="56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08EB63C" w:rsidR="00F207B1" w:rsidRPr="00B514AB" w:rsidRDefault="00B514AB" w:rsidP="00F207B1">
            <w:pPr>
              <w:pStyle w:val="TF-TEXTOQUADRO"/>
              <w:rPr>
                <w:bCs/>
                <w:sz w:val="20"/>
              </w:rPr>
            </w:pPr>
            <w:r w:rsidRPr="00B514AB">
              <w:rPr>
                <w:bCs/>
                <w:sz w:val="20"/>
              </w:rPr>
              <w:t>a</w:t>
            </w:r>
            <w:r w:rsidR="00F207B1" w:rsidRPr="00B514AB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0D2A73" w:rsidRPr="007E0D87" w14:paraId="06FE65EB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B215930" w14:textId="24DB5978" w:rsidR="000D2A73" w:rsidRPr="00B514AB" w:rsidRDefault="000D2A73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construir a etapa TO BE</w:t>
            </w:r>
          </w:p>
        </w:tc>
        <w:tc>
          <w:tcPr>
            <w:tcW w:w="275" w:type="dxa"/>
          </w:tcPr>
          <w:p w14:paraId="2967647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64E38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73B980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A0206B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D087633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AB52D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6443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2C4F091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4DAFA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3759B195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6FADAB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l</w:t>
            </w:r>
            <w:r w:rsidR="000D6912" w:rsidRPr="00B514AB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6DA07801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e</w:t>
            </w:r>
            <w:r w:rsidR="000D6912" w:rsidRPr="00B514AB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71218C19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i</w:t>
            </w:r>
            <w:r w:rsidR="000D6912" w:rsidRPr="00B514AB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8AFEBE3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v</w:t>
            </w:r>
            <w:r w:rsidR="000D6912" w:rsidRPr="00B514AB">
              <w:rPr>
                <w:sz w:val="20"/>
              </w:rPr>
              <w:t>erificaçã</w:t>
            </w:r>
            <w:r w:rsidR="00190F02" w:rsidRPr="00B514AB">
              <w:rPr>
                <w:sz w:val="20"/>
              </w:rPr>
              <w:t xml:space="preserve">o, </w:t>
            </w:r>
            <w:r w:rsidR="000D6912" w:rsidRPr="00B514AB">
              <w:rPr>
                <w:sz w:val="20"/>
              </w:rPr>
              <w:t>validação</w:t>
            </w:r>
            <w:r w:rsidR="00190F02" w:rsidRPr="00B514AB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0FA1156" w:rsidR="00D3574E" w:rsidRDefault="00791ED9" w:rsidP="005C785F">
      <w:pPr>
        <w:pStyle w:val="TF-TEXTO"/>
      </w:pPr>
      <w:r w:rsidRPr="00791ED9">
        <w:t xml:space="preserve">Esta seção aborda os conceitos de maior relevância para o trabalho proposto e está organizada da seguinte forma: a subseção </w:t>
      </w:r>
      <w:r>
        <w:fldChar w:fldCharType="begin"/>
      </w:r>
      <w:r>
        <w:instrText xml:space="preserve"> REF _Ref119835651 \r \h </w:instrText>
      </w:r>
      <w:r>
        <w:fldChar w:fldCharType="separate"/>
      </w:r>
      <w:r w:rsidR="00751BBE">
        <w:t>5.1</w:t>
      </w:r>
      <w:r>
        <w:fldChar w:fldCharType="end"/>
      </w:r>
      <w:r>
        <w:t xml:space="preserve"> traz o tema referente ao </w:t>
      </w:r>
      <w:r w:rsidR="008A6139">
        <w:t>relacionamento com o fornecedor</w:t>
      </w:r>
      <w:r>
        <w:t>; a subseção</w:t>
      </w:r>
      <w:r w:rsidR="00190F02">
        <w:t xml:space="preserve"> </w:t>
      </w:r>
      <w:r>
        <w:fldChar w:fldCharType="begin"/>
      </w:r>
      <w:r>
        <w:instrText xml:space="preserve"> REF _Ref119835948 \r \h </w:instrText>
      </w:r>
      <w:r>
        <w:fldChar w:fldCharType="separate"/>
      </w:r>
      <w:r w:rsidR="00751BBE">
        <w:t>5.2</w:t>
      </w:r>
      <w:r>
        <w:fldChar w:fldCharType="end"/>
      </w:r>
      <w:r>
        <w:t xml:space="preserve"> aborda a </w:t>
      </w:r>
      <w:r w:rsidR="00B94D93">
        <w:t>h</w:t>
      </w:r>
      <w:r w:rsidR="00B15660">
        <w:t>iper automação</w:t>
      </w:r>
      <w:r>
        <w:t xml:space="preserve">; e por fim, a subseção </w:t>
      </w:r>
      <w:r>
        <w:fldChar w:fldCharType="begin"/>
      </w:r>
      <w:r>
        <w:instrText xml:space="preserve"> REF _Ref119835977 \r \h </w:instrText>
      </w:r>
      <w:r>
        <w:fldChar w:fldCharType="separate"/>
      </w:r>
      <w:r w:rsidR="00751BBE">
        <w:t>5.3</w:t>
      </w:r>
      <w:r>
        <w:fldChar w:fldCharType="end"/>
      </w:r>
      <w:r>
        <w:t xml:space="preserve"> traz </w:t>
      </w:r>
      <w:r w:rsidR="009732F2">
        <w:t xml:space="preserve">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5025F116" w14:textId="5438E36F" w:rsidR="006D0566" w:rsidRDefault="006D0566" w:rsidP="00ED0101">
      <w:pPr>
        <w:pStyle w:val="Ttulo2"/>
      </w:pPr>
      <w:bookmarkStart w:id="57" w:name="_Ref119835651"/>
      <w:r>
        <w:t>RELACIONAMENTO COM O FORNECEDOR</w:t>
      </w:r>
      <w:bookmarkEnd w:id="57"/>
    </w:p>
    <w:p w14:paraId="7D37A5D0" w14:textId="77777777" w:rsidR="005C785F" w:rsidRDefault="006D0566" w:rsidP="00791ED9">
      <w:pPr>
        <w:pStyle w:val="TF-TEXTO"/>
      </w:pPr>
      <w:r w:rsidRPr="00791ED9">
        <w:t>P</w:t>
      </w:r>
      <w:r w:rsidR="001A5045" w:rsidRPr="00791ED9">
        <w:t>ara</w:t>
      </w:r>
      <w:r w:rsidR="001A5045">
        <w:t xml:space="preserve">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 w:rsidR="001A5045">
        <w:t>como</w:t>
      </w:r>
      <w:r w:rsidR="005C785F">
        <w:t xml:space="preserve"> </w:t>
      </w:r>
      <w:r w:rsidR="008F3009">
        <w:t>e</w:t>
      </w:r>
      <w:r w:rsidR="005C785F">
        <w:t>scolher</w:t>
      </w:r>
      <w:r w:rsidR="00642717">
        <w:t xml:space="preserve"> um fornecedor adequado </w:t>
      </w:r>
      <w:r w:rsidR="005C785F">
        <w:t xml:space="preserve">trazer </w:t>
      </w:r>
      <w:r w:rsidR="00642717">
        <w:t>contribuição para o desenvolvimento de uma organização.</w:t>
      </w:r>
      <w:r w:rsidR="007709F0">
        <w:t xml:space="preserve"> </w:t>
      </w:r>
      <w:r w:rsidR="005C785F">
        <w:t>Nesse sentido, s</w:t>
      </w:r>
      <w:r w:rsidR="007709F0">
        <w:t xml:space="preserve">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</w:p>
    <w:p w14:paraId="7AE4F022" w14:textId="70DF2450" w:rsidR="003E6D4C" w:rsidRDefault="00EF39DE" w:rsidP="00791ED9">
      <w:pPr>
        <w:pStyle w:val="TF-TEXTO"/>
      </w:pPr>
      <w:r>
        <w:t>Mancini (2022) afirma que s</w:t>
      </w:r>
      <w:r w:rsidRPr="00EF39DE">
        <w:t xml:space="preserve">omente com um fluxo bem </w:t>
      </w:r>
      <w:r>
        <w:t>definido</w:t>
      </w:r>
      <w:r w:rsidRPr="00EF39DE">
        <w:t xml:space="preserve"> será possível integrar e gerenciar os diferentes agentes envolvidos no processo, da produção à distribuição dos </w:t>
      </w:r>
      <w:r w:rsidRPr="00EF39DE">
        <w:lastRenderedPageBreak/>
        <w:t>produtos.</w:t>
      </w:r>
      <w:r w:rsidRPr="00EF39DE" w:rsidDel="00EF39DE">
        <w:t xml:space="preserve"> </w:t>
      </w:r>
      <w:r>
        <w:t xml:space="preserve">Segundo </w:t>
      </w:r>
      <w:r w:rsidRPr="008659F5">
        <w:t>Andrade, Alves e Silva (2021)</w:t>
      </w:r>
      <w:r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>;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6B6B0600" w14:textId="01535089" w:rsidR="00FE6754" w:rsidRDefault="00FE6754" w:rsidP="001A5045">
      <w:pPr>
        <w:pStyle w:val="TF-TEXTO"/>
      </w:pPr>
      <w:r w:rsidRPr="00D93A87">
        <w:t>Kosmann (2018)</w:t>
      </w:r>
      <w:r>
        <w:t xml:space="preserve"> aborda o relacionamento com fornecedores sob uma ótica de como o tamanho organizacional das empresas envolvidas na negociação, tem impacto sobre o acordo comercial e suas diretrizes. O termo conhecido como Dignidade Organizacional é explorado </w:t>
      </w:r>
      <w:r w:rsidRPr="00D93A87">
        <w:t xml:space="preserve">por Margolis (1997) </w:t>
      </w:r>
      <w:r>
        <w:t xml:space="preserve">como um relacionamento entre fornecedor e cliente é afetado não somente por termos econômicos, mas também como ética, contribuição à comunidade e dignidade. </w:t>
      </w:r>
      <w:r w:rsidR="00DE11F5" w:rsidRPr="0085211B">
        <w:t>Valença (2021)</w:t>
      </w:r>
      <w:r w:rsidR="001652B5" w:rsidRPr="0085211B">
        <w:t xml:space="preserve"> </w:t>
      </w:r>
      <w:r w:rsidR="0006609A" w:rsidRPr="0085211B">
        <w:t>evidencia</w:t>
      </w:r>
      <w:r w:rsidR="00306244" w:rsidRPr="0085211B">
        <w:t xml:space="preserve"> a importância dos acordos extraeconômicos </w:t>
      </w:r>
      <w:r w:rsidR="00BF2CC3" w:rsidRPr="0085211B">
        <w:t>pois</w:t>
      </w:r>
      <w:r w:rsidR="00306244" w:rsidRPr="0085211B">
        <w:t xml:space="preserve"> podem</w:t>
      </w:r>
      <w:r w:rsidR="001652B5" w:rsidRPr="0085211B">
        <w:t xml:space="preserve"> </w:t>
      </w:r>
      <w:r w:rsidR="00306244" w:rsidRPr="0085211B">
        <w:t>afetar</w:t>
      </w:r>
      <w:r w:rsidR="001652B5" w:rsidRPr="0085211B">
        <w:t xml:space="preserve"> o quadro de colaboradores </w:t>
      </w:r>
      <w:r w:rsidR="00BF2CC3" w:rsidRPr="0085211B">
        <w:t>com</w:t>
      </w:r>
      <w:r w:rsidR="001652B5" w:rsidRPr="0085211B">
        <w:t xml:space="preserve"> cobrança</w:t>
      </w:r>
      <w:r w:rsidR="0085211B">
        <w:t>s</w:t>
      </w:r>
      <w:r w:rsidR="001652B5" w:rsidRPr="0085211B">
        <w:t xml:space="preserve"> </w:t>
      </w:r>
      <w:r w:rsidR="00BF2CC3" w:rsidRPr="0085211B">
        <w:t>excessivas</w:t>
      </w:r>
      <w:r w:rsidR="001652B5" w:rsidRPr="0085211B">
        <w:t xml:space="preserve">, gerando </w:t>
      </w:r>
      <w:r w:rsidR="00BF2CC3" w:rsidRPr="0085211B">
        <w:rPr>
          <w:iCs/>
        </w:rPr>
        <w:t>estresse</w:t>
      </w:r>
      <w:r w:rsidR="00BF2CC3" w:rsidRPr="0085211B">
        <w:t xml:space="preserve"> </w:t>
      </w:r>
      <w:r w:rsidR="00535743" w:rsidRPr="0085211B">
        <w:t>para os envolvidos</w:t>
      </w:r>
      <w:r w:rsidR="001652B5" w:rsidRPr="0085211B">
        <w:t xml:space="preserve"> diret</w:t>
      </w:r>
      <w:r w:rsidR="00535743" w:rsidRPr="0085211B">
        <w:t>os</w:t>
      </w:r>
      <w:r w:rsidR="001652B5" w:rsidRPr="0085211B">
        <w:t xml:space="preserve"> e indiret</w:t>
      </w:r>
      <w:r w:rsidR="00535743" w:rsidRPr="0085211B">
        <w:t>os</w:t>
      </w:r>
      <w:r w:rsidR="001652B5" w:rsidRPr="0085211B">
        <w:t xml:space="preserve"> do relacionamento entre as organizações.</w:t>
      </w:r>
    </w:p>
    <w:p w14:paraId="18CDFFA9" w14:textId="06D9B734" w:rsidR="001652B5" w:rsidRDefault="00373E2A" w:rsidP="001A5045">
      <w:pPr>
        <w:pStyle w:val="TF-TEXTO"/>
      </w:pPr>
      <w:r w:rsidRPr="00D93F34">
        <w:t>Grangeiro</w:t>
      </w:r>
      <w:r w:rsidR="00D93F34">
        <w:t xml:space="preserve"> </w:t>
      </w:r>
      <w:r w:rsidR="00D93F34" w:rsidRPr="00416E6C">
        <w:rPr>
          <w:i/>
          <w:iCs/>
        </w:rPr>
        <w:t>et al.</w:t>
      </w:r>
      <w:r w:rsidR="00D93F34">
        <w:t xml:space="preserve"> (2022)</w:t>
      </w:r>
      <w:r>
        <w:t xml:space="preserve"> apresenta</w:t>
      </w:r>
      <w:r w:rsidR="0011222E">
        <w:t>m</w:t>
      </w:r>
      <w:r>
        <w:t xml:space="preserve"> a preocupação das organizações com as possibilidades de acontecimentos inesperados que possam gerar impactos negativos para suas operações. Acontece que nem todos os riscos operacionais e de mercado estão sob controle total das organizações e por isso devem ser mitigados. </w:t>
      </w:r>
      <w:r w:rsidRPr="003D6BB6">
        <w:t>Vivaldini (2020)</w:t>
      </w:r>
      <w:r w:rsidR="0011222E">
        <w:t xml:space="preserve"> ainda coloca que</w:t>
      </w:r>
      <w:r w:rsidRPr="003D6BB6">
        <w:t xml:space="preserve"> a globalização possibilita a troca de informações e tecnologias, motiva</w:t>
      </w:r>
      <w:r w:rsidR="001715F7" w:rsidRPr="005C785F">
        <w:t>ndo</w:t>
      </w:r>
      <w:r w:rsidRPr="003D6BB6">
        <w:t xml:space="preserve"> as organizações a modificarem suas estratégias</w:t>
      </w:r>
      <w:r w:rsidR="0011222E">
        <w:t>,</w:t>
      </w:r>
      <w:r w:rsidRPr="003D6BB6">
        <w:t xml:space="preserve"> com o intuito de mitigar riscos e transformá-los em vantagem competitiva.</w:t>
      </w:r>
      <w:r w:rsidRPr="00C54D73">
        <w:t xml:space="preserve"> </w:t>
      </w:r>
      <w:r w:rsidR="00FC0DC3" w:rsidRPr="0075460D">
        <w:t xml:space="preserve">Lopes </w:t>
      </w:r>
      <w:r w:rsidR="00FC0DC3" w:rsidRPr="0075460D">
        <w:rPr>
          <w:i/>
          <w:iCs/>
        </w:rPr>
        <w:t>et al</w:t>
      </w:r>
      <w:r w:rsidR="00C14232">
        <w:rPr>
          <w:i/>
          <w:iCs/>
        </w:rPr>
        <w:t>.</w:t>
      </w:r>
      <w:r w:rsidRPr="0075460D">
        <w:t xml:space="preserve"> (2021) complementa</w:t>
      </w:r>
      <w:r w:rsidR="0011222E">
        <w:t>m</w:t>
      </w:r>
      <w:r w:rsidRPr="0075460D">
        <w:t xml:space="preserve"> que risco operacional é resultado de uma série de variáveis, como fraudes</w:t>
      </w:r>
      <w:r w:rsidR="0028513C" w:rsidRPr="005C785F">
        <w:t xml:space="preserve"> e</w:t>
      </w:r>
      <w:r w:rsidRPr="0075460D">
        <w:t xml:space="preserve"> erros decorrentes de eventos externos</w:t>
      </w:r>
      <w:r w:rsidR="0028513C" w:rsidRPr="005C785F">
        <w:t>,</w:t>
      </w:r>
      <w:r w:rsidRPr="0075460D">
        <w:t xml:space="preserve"> este último pode</w:t>
      </w:r>
      <w:r w:rsidR="0028513C" w:rsidRPr="005C785F">
        <w:t>ndo</w:t>
      </w:r>
      <w:r w:rsidRPr="0075460D">
        <w:t xml:space="preserve"> impactar as organizações por conta de ações decorrentes de seus parceiros de negócio.</w:t>
      </w:r>
      <w:r>
        <w:t xml:space="preserve"> Por </w:t>
      </w:r>
      <w:r w:rsidR="00981D3F">
        <w:t>isso</w:t>
      </w:r>
      <w:r w:rsidR="00FF10E9">
        <w:t xml:space="preserve"> </w:t>
      </w:r>
      <w:r>
        <w:t>é importante que as organizações conheçam e tenha</w:t>
      </w:r>
      <w:r w:rsidR="0011222E">
        <w:t>m</w:t>
      </w:r>
      <w:r>
        <w:t xml:space="preserve"> total </w:t>
      </w:r>
      <w:r w:rsidR="0017045D">
        <w:t>plenitude</w:t>
      </w:r>
      <w:r>
        <w:t xml:space="preserve"> de quem são os seus fornecedores e clientes, </w:t>
      </w:r>
      <w:r w:rsidR="0011222E">
        <w:t xml:space="preserve">devido que </w:t>
      </w:r>
      <w:r>
        <w:t xml:space="preserve">pode impactar </w:t>
      </w:r>
      <w:r w:rsidR="0011222E">
        <w:t xml:space="preserve">em </w:t>
      </w:r>
      <w:r w:rsidR="0017045D">
        <w:t xml:space="preserve">suas operações </w:t>
      </w:r>
      <w:r w:rsidR="0017045D" w:rsidRPr="00847C6F">
        <w:t>(BUHLER, 2021).</w:t>
      </w:r>
      <w:r>
        <w:t xml:space="preserve"> </w:t>
      </w:r>
    </w:p>
    <w:p w14:paraId="3608B4B9" w14:textId="28BE34C2" w:rsidR="00791ED9" w:rsidRDefault="00791ED9" w:rsidP="00ED0101">
      <w:pPr>
        <w:pStyle w:val="Ttulo2"/>
      </w:pPr>
      <w:bookmarkStart w:id="58" w:name="_Ref119835948"/>
      <w:r>
        <w:t>HIPER AUTOMAÇÃO</w:t>
      </w:r>
      <w:bookmarkEnd w:id="58"/>
    </w:p>
    <w:p w14:paraId="0709DACD" w14:textId="23FAC5E7" w:rsidR="00791ED9" w:rsidRDefault="00791ED9" w:rsidP="00791ED9">
      <w:pPr>
        <w:pStyle w:val="TF-TEXTO"/>
      </w:pPr>
      <w:r>
        <w:t xml:space="preserve">Para </w:t>
      </w:r>
      <w:r w:rsidRPr="00C37F60">
        <w:t>Automationanywhere (2022),</w:t>
      </w:r>
      <w:r>
        <w:t xml:space="preserve"> a hiper automação é </w:t>
      </w:r>
      <w:r w:rsidRPr="00686FC2">
        <w:t xml:space="preserve">a extensão da automação de processos de negócios além dos limites dos processos individuais. </w:t>
      </w:r>
      <w:r>
        <w:t>Ao combinar</w:t>
      </w:r>
      <w:r w:rsidRPr="00686FC2">
        <w:t xml:space="preserve"> </w:t>
      </w:r>
      <w:r>
        <w:t>demais tecnologias</w:t>
      </w:r>
      <w:r w:rsidRPr="00686FC2">
        <w:t xml:space="preserve"> com RPA, a hiper automação permite a automação de qualquer tarefa repetitiva executada por usuários</w:t>
      </w:r>
      <w:r>
        <w:t xml:space="preserve"> das áreas de negócio. Para Muniz </w:t>
      </w:r>
      <w:r w:rsidRPr="00416E6C">
        <w:rPr>
          <w:i/>
          <w:iCs/>
        </w:rPr>
        <w:t>et al.</w:t>
      </w:r>
      <w:r>
        <w:t xml:space="preserve"> (2022</w:t>
      </w:r>
      <w:r w:rsidR="009A63EA">
        <w:t>a</w:t>
      </w:r>
      <w:r>
        <w:t xml:space="preserve">), por meio de tecnologias alinhadas à automação de processos nasceu a Automação Robótica de Processos (RPA), sendo uma forma de reduzir custos na terceirização de processos de negócios. Nesse sentido, segundo </w:t>
      </w:r>
      <w:r w:rsidRPr="00835A49">
        <w:t>Gartner (</w:t>
      </w:r>
      <w:r>
        <w:t>2022b</w:t>
      </w:r>
      <w:r w:rsidRPr="00835A49">
        <w:t>)</w:t>
      </w:r>
      <w:r w:rsidRPr="0061021A">
        <w:t>,</w:t>
      </w:r>
      <w:r>
        <w:t xml:space="preserve"> a hiper automação é uma postura orientada para negócios que organizações utilizam para identificar e automatizar processos de negócios e de Tecnologia da Informação (TI).</w:t>
      </w:r>
    </w:p>
    <w:p w14:paraId="78E179C4" w14:textId="77777777" w:rsidR="00967994" w:rsidRDefault="00C14232" w:rsidP="00791ED9">
      <w:pPr>
        <w:pStyle w:val="TF-TEXTO"/>
      </w:pPr>
      <w:r w:rsidRPr="005D4669">
        <w:lastRenderedPageBreak/>
        <w:t>M</w:t>
      </w:r>
      <w:r w:rsidR="009A63EA" w:rsidRPr="005D4669">
        <w:t>uniz</w:t>
      </w:r>
      <w:r w:rsidRPr="005D4669">
        <w:t xml:space="preserve"> </w:t>
      </w:r>
      <w:r w:rsidRPr="005D4669">
        <w:rPr>
          <w:i/>
          <w:iCs/>
        </w:rPr>
        <w:t>et al</w:t>
      </w:r>
      <w:r w:rsidRPr="005D4669">
        <w:t xml:space="preserve">. (2022b) aborda que devido ao movimento acelerado de crescimento e volatilidade, os modelos operacionais das empresas não dão conta de responder com velocidade às demandas nesse novo contexto. Por isso a transformação digital por meio da hiper automação é o caminho para as organizações realizar a reinvenção dos negócios com o uso das tecnologias. Na jornada da hiper automação </w:t>
      </w:r>
      <w:r w:rsidR="009A63EA" w:rsidRPr="005D4669">
        <w:t>são implementadas novas tecnologias para simplificar processos</w:t>
      </w:r>
      <w:r w:rsidR="00967994">
        <w:t xml:space="preserve">, devido que </w:t>
      </w:r>
      <w:r w:rsidR="00F36EB1" w:rsidRPr="005D4669">
        <w:t>as áreas de negócio são cada vez mais automatizadas para tornar o negócio mais eficiente e performático</w:t>
      </w:r>
      <w:r w:rsidR="00967994">
        <w:t xml:space="preserve"> (</w:t>
      </w:r>
      <w:r w:rsidR="00967994" w:rsidRPr="005D4669">
        <w:t xml:space="preserve">WESTERMAN </w:t>
      </w:r>
      <w:r w:rsidR="00967994" w:rsidRPr="005D4669">
        <w:rPr>
          <w:i/>
          <w:iCs/>
        </w:rPr>
        <w:t>et al.</w:t>
      </w:r>
      <w:r w:rsidR="00967994" w:rsidRPr="00967994">
        <w:t>,</w:t>
      </w:r>
      <w:r w:rsidR="00967994">
        <w:rPr>
          <w:i/>
          <w:iCs/>
        </w:rPr>
        <w:t xml:space="preserve"> </w:t>
      </w:r>
      <w:r w:rsidR="00967994" w:rsidRPr="005D4669">
        <w:t>2014)</w:t>
      </w:r>
      <w:r w:rsidR="00F36EB1" w:rsidRPr="005D4669">
        <w:t>.</w:t>
      </w:r>
      <w:r w:rsidR="00377B79" w:rsidRPr="005D4669">
        <w:t xml:space="preserve"> </w:t>
      </w:r>
    </w:p>
    <w:p w14:paraId="10232BC1" w14:textId="5D23FACE" w:rsidR="00C14232" w:rsidRPr="009A63EA" w:rsidRDefault="00377B79" w:rsidP="00791ED9">
      <w:pPr>
        <w:pStyle w:val="TF-TEXTO"/>
      </w:pPr>
      <w:r w:rsidRPr="005D4669">
        <w:t xml:space="preserve">Para </w:t>
      </w:r>
      <w:r w:rsidRPr="005C785F">
        <w:t>Muniz</w:t>
      </w:r>
      <w:r w:rsidRPr="00CC04AE">
        <w:t xml:space="preserve"> </w:t>
      </w:r>
      <w:r w:rsidRPr="00CC04AE">
        <w:rPr>
          <w:i/>
          <w:iCs/>
        </w:rPr>
        <w:t>et al</w:t>
      </w:r>
      <w:r w:rsidRPr="00CC04AE">
        <w:t xml:space="preserve">. </w:t>
      </w:r>
      <w:r>
        <w:t>(</w:t>
      </w:r>
      <w:r w:rsidRPr="00CC04AE">
        <w:t>2022</w:t>
      </w:r>
      <w:r w:rsidR="004011FA">
        <w:t>a</w:t>
      </w:r>
      <w:r>
        <w:t>), a</w:t>
      </w:r>
      <w:r w:rsidRPr="00377B79">
        <w:t xml:space="preserve"> chegada da era pós-digital vem transformando o relacionamento entre pessoas, entre pessoas e organizações, e</w:t>
      </w:r>
      <w:r>
        <w:t xml:space="preserve"> de organizações</w:t>
      </w:r>
      <w:r w:rsidRPr="00377B79">
        <w:t xml:space="preserve"> </w:t>
      </w:r>
      <w:r>
        <w:t xml:space="preserve">para </w:t>
      </w:r>
      <w:r w:rsidRPr="00377B79">
        <w:t xml:space="preserve">organizações. A velocidade nunca </w:t>
      </w:r>
      <w:r w:rsidR="004011FA">
        <w:t xml:space="preserve">foi </w:t>
      </w:r>
      <w:r w:rsidRPr="00377B79">
        <w:t xml:space="preserve">tão rápida como agora, provoca uma avalanche de riscos e oportunidades para empresas </w:t>
      </w:r>
      <w:r w:rsidR="004011FA">
        <w:t>e quem consegue se adaptar melhor e em menos tempo tem vantagem competitiva</w:t>
      </w:r>
      <w:r w:rsidR="0011222E">
        <w:t xml:space="preserve"> (MUNIZ </w:t>
      </w:r>
      <w:r w:rsidR="0011222E" w:rsidRPr="0011222E">
        <w:rPr>
          <w:i/>
          <w:iCs/>
        </w:rPr>
        <w:t>et al</w:t>
      </w:r>
      <w:r w:rsidR="0011222E">
        <w:t>., 2022a)</w:t>
      </w:r>
      <w:r w:rsidRPr="00377B79">
        <w:t>.</w:t>
      </w:r>
      <w:r w:rsidR="00814756">
        <w:t xml:space="preserve"> </w:t>
      </w:r>
      <w:r w:rsidR="00B25E85">
        <w:t xml:space="preserve">Muniz </w:t>
      </w:r>
      <w:r w:rsidR="00B25E85">
        <w:rPr>
          <w:i/>
          <w:iCs/>
        </w:rPr>
        <w:t xml:space="preserve">et al. </w:t>
      </w:r>
      <w:r w:rsidR="00B25E85">
        <w:t>(202</w:t>
      </w:r>
      <w:r w:rsidR="00360D86">
        <w:t>2b</w:t>
      </w:r>
      <w:r w:rsidR="00B25E85">
        <w:t>) descrevem que esta transformação deve ser ágil e não se trata apenas de tecnologia, e sim uma nova cultura onde a organização deve ser mais colaborativa, adaptativa e integrada.</w:t>
      </w:r>
    </w:p>
    <w:p w14:paraId="288C5AC3" w14:textId="31260900" w:rsidR="00791ED9" w:rsidRDefault="004B62C3" w:rsidP="00ED0101">
      <w:pPr>
        <w:pStyle w:val="Ttulo2"/>
      </w:pPr>
      <w:bookmarkStart w:id="59" w:name="_Ref119835977"/>
      <w:r>
        <w:t xml:space="preserve">MAPEAMENTO DE PROCESSOS DE NEGÓCIO UTILIZANDO </w:t>
      </w:r>
      <w:r w:rsidR="00791ED9" w:rsidRPr="00791ED9">
        <w:t xml:space="preserve">BPM e as etapas AS IS/TO BE </w:t>
      </w:r>
      <w:bookmarkEnd w:id="59"/>
    </w:p>
    <w:p w14:paraId="0CEADB89" w14:textId="07F099B2" w:rsidR="0034283B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</w:t>
      </w:r>
      <w:r w:rsidR="004A3D3D">
        <w:t>s</w:t>
      </w:r>
      <w:r w:rsidR="001A5045" w:rsidRPr="00487189">
        <w:t>, alinhados com os objetivos estratégicos de uma organização</w:t>
      </w:r>
      <w:r w:rsidR="001A5045">
        <w:t xml:space="preserve">. No 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</w:t>
      </w:r>
    </w:p>
    <w:p w14:paraId="39A8A087" w14:textId="13E127A4" w:rsidR="001A5045" w:rsidRDefault="004869CE" w:rsidP="001A5045">
      <w:pPr>
        <w:pStyle w:val="TF-TEXTO"/>
      </w:pPr>
      <w:r>
        <w:t xml:space="preserve">Pereira </w:t>
      </w:r>
      <w:r>
        <w:rPr>
          <w:i/>
          <w:iCs/>
        </w:rPr>
        <w:t xml:space="preserve">et al </w:t>
      </w:r>
      <w:r>
        <w:t xml:space="preserve">(2021) descrevem o BPM, como primordial no mundo empresarial porque faz com que a organização tenha uma visão macro do seu processo de negócio devidos as etapas que realizam o mapeamento antes e depois da automação do projeto. </w:t>
      </w:r>
      <w:r w:rsidR="001A5045">
        <w:t xml:space="preserve">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</w:t>
      </w:r>
      <w:r w:rsidR="000A0E88">
        <w:t>.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</w:t>
      </w:r>
      <w:r w:rsidR="0034283B">
        <w:t xml:space="preserve"> (OLIVEIRA, 2018)</w:t>
      </w:r>
      <w:r w:rsidR="004A6666">
        <w:t xml:space="preserve">. </w:t>
      </w:r>
    </w:p>
    <w:p w14:paraId="029161A8" w14:textId="7A2C79B0" w:rsidR="00B35B4F" w:rsidRDefault="00D07CBE" w:rsidP="001A5045">
      <w:pPr>
        <w:pStyle w:val="TF-TEXTO"/>
      </w:pPr>
      <w:r w:rsidRPr="00043AEA">
        <w:lastRenderedPageBreak/>
        <w:t xml:space="preserve">De </w:t>
      </w:r>
      <w:r w:rsidR="00B35B4F" w:rsidRPr="00043AEA">
        <w:t xml:space="preserve">Castilho (2019) cita que os processos de negócio agregam atividades interdependentes e colaborativas, </w:t>
      </w:r>
      <w:r w:rsidR="00043AEA">
        <w:t xml:space="preserve">com o </w:t>
      </w:r>
      <w:r w:rsidR="00B35B4F" w:rsidRPr="00043AEA">
        <w:t xml:space="preserve">objetivo </w:t>
      </w:r>
      <w:r w:rsidR="00043AEA">
        <w:t xml:space="preserve">de cumprir metas </w:t>
      </w:r>
      <w:r w:rsidR="00B35B4F" w:rsidRPr="00043AEA">
        <w:t>estratégic</w:t>
      </w:r>
      <w:r w:rsidR="00043AEA">
        <w:t>a</w:t>
      </w:r>
      <w:r w:rsidR="00B35B4F" w:rsidRPr="00043AEA">
        <w:t>s de curto à longo prazo</w:t>
      </w:r>
      <w:r w:rsidR="00D57D87">
        <w:t xml:space="preserve">. </w:t>
      </w:r>
      <w:r w:rsidR="00592F40" w:rsidRPr="001E3429">
        <w:t>A prática de BPM ganhou importância, pela consciência de que processos de negócio são necessários para avaliar a conformidade de acordos e para limitar o compartilhamento de informações e dados, bem como para basear abordagens, modelos e sistemas de avaliação de desempenho do negócio (</w:t>
      </w:r>
      <w:r w:rsidR="00791ED9" w:rsidRPr="001E3429">
        <w:t xml:space="preserve">LAURAS </w:t>
      </w:r>
      <w:r w:rsidR="00592F40" w:rsidRPr="005C785F">
        <w:rPr>
          <w:i/>
          <w:iCs/>
        </w:rPr>
        <w:t>et al</w:t>
      </w:r>
      <w:r w:rsidR="00592F40" w:rsidRPr="001E3429">
        <w:t>., 2011).</w:t>
      </w:r>
      <w:r w:rsidR="008B0B32">
        <w:t xml:space="preserve"> O mercado de BPM vem crescendo ano pós ano, impulsionado pelos benefícios tangíveis e devido à necessidade de integrar recursos sofisticados de gestão de negócios e serviços distribuídos, em redes de parceiros e clientes (GRAND VIEW RESEARCH, 2016).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60" w:name="_Toc351015602"/>
      <w:bookmarkEnd w:id="36"/>
      <w:bookmarkEnd w:id="37"/>
      <w:bookmarkEnd w:id="38"/>
      <w:bookmarkEnd w:id="39"/>
      <w:bookmarkEnd w:id="40"/>
      <w:bookmarkEnd w:id="41"/>
      <w:bookmarkEnd w:id="42"/>
      <w:r w:rsidRPr="00835A49">
        <w:t>Referências</w:t>
      </w:r>
      <w:bookmarkEnd w:id="60"/>
    </w:p>
    <w:p w14:paraId="6DAD24B2" w14:textId="46D369F4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CBOK</w:t>
      </w:r>
      <w:r w:rsidRPr="005C785F">
        <w:rPr>
          <w:b/>
          <w:bCs/>
          <w:szCs w:val="24"/>
        </w:rPr>
        <w:t>: Guia para o Gerenciamento de Processos de Negócio</w:t>
      </w:r>
      <w:r w:rsidRPr="00106E12">
        <w:rPr>
          <w:szCs w:val="24"/>
        </w:rPr>
        <w:t>. Corpo Comum do Conhecimento – ABPMP BPM CBOK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>of Business Process Management Professionals, 2013.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5C785F">
        <w:rPr>
          <w:b/>
          <w:bCs/>
          <w:szCs w:val="24"/>
        </w:rPr>
        <w:t>A</w:t>
      </w:r>
      <w:r w:rsidRPr="006A1808">
        <w:rPr>
          <w:b/>
          <w:bCs/>
          <w:szCs w:val="24"/>
        </w:rPr>
        <w:t xml:space="preserve"> gestão da cadeia de abastecimento</w:t>
      </w:r>
      <w:r w:rsidRPr="0034283B">
        <w:rPr>
          <w:szCs w:val="24"/>
        </w:rPr>
        <w:t>: um estudo sobre os fornecedores</w:t>
      </w:r>
      <w:r w:rsidRPr="00E42617">
        <w:rPr>
          <w:szCs w:val="24"/>
        </w:rPr>
        <w:t>. 2021, 23 f. Trabalho de Conclusão de Curso (Técnico em Logística). Etec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Hyperautomation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79A3EBEC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Jaderson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09EBF09" w14:textId="0008E52C" w:rsidR="001F49F8" w:rsidRDefault="001F49F8" w:rsidP="00441C32">
      <w:pPr>
        <w:pStyle w:val="TF-refernciasITEM"/>
        <w:rPr>
          <w:szCs w:val="24"/>
        </w:rPr>
      </w:pPr>
      <w:r>
        <w:rPr>
          <w:szCs w:val="24"/>
        </w:rPr>
        <w:t xml:space="preserve">BUHLER, </w:t>
      </w:r>
      <w:r>
        <w:t xml:space="preserve">Oscar Dirceu. </w:t>
      </w:r>
      <w:r w:rsidRPr="001F49F8">
        <w:rPr>
          <w:b/>
          <w:bCs/>
        </w:rPr>
        <w:t>Gestão da Cadeia de Suprimento</w:t>
      </w:r>
      <w:r>
        <w:rPr>
          <w:b/>
          <w:bCs/>
        </w:rPr>
        <w:t xml:space="preserve">. </w:t>
      </w:r>
      <w:r w:rsidRPr="001F49F8">
        <w:t>Paraná</w:t>
      </w:r>
      <w:r>
        <w:t>: Unespar, 2021.</w:t>
      </w:r>
    </w:p>
    <w:p w14:paraId="202FB6DA" w14:textId="77777777" w:rsidR="00AE3798" w:rsidRPr="0033453A" w:rsidRDefault="00AE3798" w:rsidP="00AE3798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Cidinei. </w:t>
      </w:r>
      <w:r w:rsidRPr="0033453A">
        <w:rPr>
          <w:b/>
          <w:bCs/>
          <w:szCs w:val="24"/>
        </w:rPr>
        <w:t>Entrevista referente a empresa em questão</w:t>
      </w:r>
      <w:r w:rsidRPr="0033453A">
        <w:rPr>
          <w:szCs w:val="24"/>
        </w:rPr>
        <w:t>. Entrevistador: Marcos Vinicius Venturi . Blumenau. 2022. Entrevista feita por meio de conversação – não publicada.</w:t>
      </w:r>
    </w:p>
    <w:p w14:paraId="22226D6E" w14:textId="77777777" w:rsidR="00814756" w:rsidRDefault="00814756" w:rsidP="00493DFD">
      <w:pPr>
        <w:pStyle w:val="TF-refernciasITEM"/>
      </w:pPr>
      <w:r>
        <w:t>C</w:t>
      </w:r>
      <w:r w:rsidRPr="00814756">
        <w:t>HAVES, Paulo Sérgio Dias</w:t>
      </w:r>
      <w:r w:rsidRPr="00814756">
        <w:rPr>
          <w:b/>
          <w:bCs/>
        </w:rPr>
        <w:t>. A importância do BPM e sua integração com a área da tecnologia da informação</w:t>
      </w:r>
      <w:r w:rsidRPr="00814756">
        <w:t xml:space="preserve">. 2018. 45 f. Trabalho de Conclusão de Curso (Especialista em Gestão da Tecnologia da Informação e Comunicação) - Universidade Tecnológica Federal do Paraná (UTFPR), Curitiba, 2018. </w:t>
      </w:r>
    </w:p>
    <w:p w14:paraId="37C548AF" w14:textId="2FCE8DCB" w:rsidR="00814756" w:rsidRDefault="00814756" w:rsidP="00493DFD">
      <w:pPr>
        <w:pStyle w:val="TF-refernciasITEM"/>
        <w:rPr>
          <w:szCs w:val="24"/>
        </w:rPr>
      </w:pPr>
      <w:r w:rsidRPr="00814756">
        <w:rPr>
          <w:szCs w:val="24"/>
        </w:rPr>
        <w:t xml:space="preserve">CHRISTENSEN, Clayton M. </w:t>
      </w:r>
      <w:r w:rsidRPr="00814756">
        <w:rPr>
          <w:b/>
          <w:bCs/>
          <w:szCs w:val="24"/>
        </w:rPr>
        <w:t>O dilema da inovação: quando as novas tecnologias levam empresas ao fracasso</w:t>
      </w:r>
      <w:r w:rsidRPr="00814756">
        <w:rPr>
          <w:szCs w:val="24"/>
        </w:rPr>
        <w:t>. M. Books Editora, 2019.</w:t>
      </w:r>
    </w:p>
    <w:p w14:paraId="42527755" w14:textId="4D7E7E07" w:rsidR="00D07CBE" w:rsidRDefault="00D07CBE" w:rsidP="00493DFD">
      <w:pPr>
        <w:pStyle w:val="TF-refernciasITEM"/>
        <w:rPr>
          <w:szCs w:val="24"/>
        </w:rPr>
      </w:pPr>
      <w:r w:rsidRPr="00D07CBE">
        <w:rPr>
          <w:szCs w:val="24"/>
        </w:rPr>
        <w:t xml:space="preserve">DE CASTILHO, Bonnemasou Moreira; MARCOS, Fernando. </w:t>
      </w:r>
      <w:r w:rsidRPr="0034283B">
        <w:rPr>
          <w:b/>
          <w:bCs/>
          <w:szCs w:val="24"/>
        </w:rPr>
        <w:t>PRODESTAE</w:t>
      </w:r>
      <w:r w:rsidRPr="00BA4981">
        <w:rPr>
          <w:b/>
          <w:bCs/>
          <w:szCs w:val="24"/>
        </w:rPr>
        <w:t>: Proposição de um modelo de avaliação dos benefícios de Business Process Management, baseado em Benefits Management</w:t>
      </w:r>
      <w:r w:rsidRPr="0034283B">
        <w:rPr>
          <w:szCs w:val="24"/>
        </w:rPr>
        <w:t>.</w:t>
      </w:r>
      <w:r w:rsidRPr="00D07CBE">
        <w:rPr>
          <w:szCs w:val="24"/>
        </w:rPr>
        <w:t xml:space="preserve"> 2019. Tese de Doutorado. UNINOVE.</w:t>
      </w:r>
    </w:p>
    <w:p w14:paraId="52EBB65C" w14:textId="174FD0BF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Alairton. </w:t>
      </w:r>
      <w:r w:rsidRPr="00E42617">
        <w:rPr>
          <w:b/>
          <w:bCs/>
          <w:szCs w:val="24"/>
        </w:rPr>
        <w:t xml:space="preserve">Utilização dos conceitos de </w:t>
      </w:r>
      <w:r w:rsidR="0034283B" w:rsidRPr="00E42617">
        <w:rPr>
          <w:b/>
          <w:bCs/>
          <w:szCs w:val="24"/>
        </w:rPr>
        <w:t xml:space="preserve">low code </w:t>
      </w:r>
      <w:r w:rsidRPr="00E42617">
        <w:rPr>
          <w:b/>
          <w:bCs/>
          <w:szCs w:val="24"/>
        </w:rPr>
        <w:t xml:space="preserve">e </w:t>
      </w:r>
      <w:r w:rsidR="0034283B" w:rsidRPr="00E42617">
        <w:rPr>
          <w:b/>
          <w:bCs/>
          <w:szCs w:val="24"/>
        </w:rPr>
        <w:t xml:space="preserve">no code </w:t>
      </w:r>
      <w:r w:rsidRPr="00E42617">
        <w:rPr>
          <w:b/>
          <w:bCs/>
          <w:szCs w:val="24"/>
        </w:rPr>
        <w:t>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FIA, </w:t>
      </w:r>
      <w:r w:rsidR="00312DE3" w:rsidRPr="00E42617">
        <w:rPr>
          <w:szCs w:val="24"/>
        </w:rPr>
        <w:t>Business School</w:t>
      </w:r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Robotic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="00D261AB" w:rsidRPr="0033453A">
        <w:rPr>
          <w:b/>
          <w:bCs/>
          <w:szCs w:val="24"/>
        </w:rPr>
        <w:t>Hyperautomation</w:t>
      </w:r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0F89D612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>Integridade de Dados(Data Integrity)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35E620DE" w14:textId="74648EEC" w:rsidR="00856F24" w:rsidRDefault="00856F24" w:rsidP="00441C32">
      <w:pPr>
        <w:pStyle w:val="TF-refernciasITEM"/>
        <w:rPr>
          <w:szCs w:val="24"/>
        </w:rPr>
      </w:pPr>
      <w:bookmarkStart w:id="61" w:name="_Hlk120279168"/>
      <w:r w:rsidRPr="00BF2CC3">
        <w:rPr>
          <w:lang w:val="en-US"/>
        </w:rPr>
        <w:t>GRAND VIEW RESEARCH</w:t>
      </w:r>
      <w:bookmarkEnd w:id="61"/>
      <w:r w:rsidRPr="00BF2CC3">
        <w:rPr>
          <w:lang w:val="en-US"/>
        </w:rPr>
        <w:t xml:space="preserve">. </w:t>
      </w:r>
      <w:r w:rsidRPr="00BF2CC3">
        <w:rPr>
          <w:b/>
          <w:bCs/>
          <w:lang w:val="en-US"/>
        </w:rPr>
        <w:t>Market Research Report</w:t>
      </w:r>
      <w:r w:rsidRPr="00BF2CC3">
        <w:rPr>
          <w:lang w:val="en-US"/>
        </w:rPr>
        <w:t>, Grand View Resear</w:t>
      </w:r>
      <w:r w:rsidR="00D02CAA" w:rsidRPr="00BF2CC3">
        <w:rPr>
          <w:lang w:val="en-US"/>
        </w:rPr>
        <w:t>ch, 201</w:t>
      </w:r>
      <w:r w:rsidR="00176A2F" w:rsidRPr="00BF2CC3">
        <w:rPr>
          <w:lang w:val="en-US"/>
        </w:rPr>
        <w:t>6</w:t>
      </w:r>
      <w:r w:rsidR="00D02CAA" w:rsidRPr="00BF2CC3">
        <w:rPr>
          <w:lang w:val="en-US"/>
        </w:rPr>
        <w:t xml:space="preserve">. </w:t>
      </w:r>
      <w:r w:rsidR="00D02CAA">
        <w:t xml:space="preserve">Disponível em: </w:t>
      </w:r>
      <w:r w:rsidRPr="00D02CAA">
        <w:t>https://www.grandviewresearch.com/industry-analysis/Businessprocess-Management-bpm-market</w:t>
      </w:r>
      <w:r>
        <w:t xml:space="preserve">. </w:t>
      </w:r>
      <w:r w:rsidRPr="00E42617">
        <w:rPr>
          <w:szCs w:val="24"/>
        </w:rPr>
        <w:t>Acesso em: 2</w:t>
      </w:r>
      <w:r>
        <w:rPr>
          <w:szCs w:val="24"/>
        </w:rPr>
        <w:t>5</w:t>
      </w:r>
      <w:r w:rsidRPr="0033453A">
        <w:rPr>
          <w:szCs w:val="24"/>
        </w:rPr>
        <w:t xml:space="preserve"> </w:t>
      </w:r>
      <w:r>
        <w:rPr>
          <w:szCs w:val="24"/>
        </w:rPr>
        <w:t>nov</w:t>
      </w:r>
      <w:r w:rsidRPr="0033453A">
        <w:rPr>
          <w:szCs w:val="24"/>
        </w:rPr>
        <w:t xml:space="preserve">. </w:t>
      </w:r>
      <w:r w:rsidRPr="00E42617">
        <w:rPr>
          <w:szCs w:val="24"/>
        </w:rPr>
        <w:t xml:space="preserve">2022. </w:t>
      </w:r>
    </w:p>
    <w:p w14:paraId="151974EC" w14:textId="6A17472C" w:rsidR="00D93F34" w:rsidRPr="00E42617" w:rsidRDefault="00D93F34" w:rsidP="00441C32">
      <w:pPr>
        <w:pStyle w:val="TF-refernciasITEM"/>
        <w:rPr>
          <w:szCs w:val="24"/>
        </w:rPr>
      </w:pPr>
      <w:r w:rsidRPr="00D93F34">
        <w:rPr>
          <w:szCs w:val="24"/>
        </w:rPr>
        <w:t>GRANGEIRO</w:t>
      </w:r>
      <w:r>
        <w:rPr>
          <w:szCs w:val="24"/>
        </w:rPr>
        <w:t>,</w:t>
      </w:r>
      <w:r w:rsidRPr="00D93F34">
        <w:rPr>
          <w:szCs w:val="24"/>
        </w:rPr>
        <w:t xml:space="preserve"> Sarah Lays Saraiva</w:t>
      </w:r>
      <w:r>
        <w:rPr>
          <w:szCs w:val="24"/>
        </w:rPr>
        <w:t xml:space="preserve"> </w:t>
      </w:r>
      <w:r w:rsidRPr="00D93F34">
        <w:rPr>
          <w:i/>
          <w:iCs/>
          <w:szCs w:val="24"/>
        </w:rPr>
        <w:t>et al</w:t>
      </w:r>
      <w:r w:rsidRPr="00D93F34">
        <w:rPr>
          <w:szCs w:val="24"/>
        </w:rPr>
        <w:t xml:space="preserve">. </w:t>
      </w:r>
      <w:r w:rsidR="00744A3F" w:rsidRPr="00744A3F">
        <w:rPr>
          <w:b/>
          <w:bCs/>
          <w:szCs w:val="24"/>
        </w:rPr>
        <w:t>Evidenciação de Riscos em Empresas Brasileiras de Capital Aberto</w:t>
      </w:r>
      <w:r w:rsidR="00744A3F" w:rsidRPr="0034283B">
        <w:rPr>
          <w:szCs w:val="24"/>
        </w:rPr>
        <w:t>: uma Análise da Gestão de Risco nos Setores de Infraestrutura</w:t>
      </w:r>
      <w:r w:rsidRPr="0034283B">
        <w:rPr>
          <w:szCs w:val="24"/>
        </w:rPr>
        <w:t>.</w:t>
      </w:r>
      <w:r w:rsidR="00744A3F">
        <w:rPr>
          <w:szCs w:val="24"/>
        </w:rPr>
        <w:t xml:space="preserve"> </w:t>
      </w:r>
      <w:r w:rsidR="00744A3F">
        <w:t>Programa de Pós-G</w:t>
      </w:r>
      <w:r w:rsidR="00E129E5">
        <w:t>r</w:t>
      </w:r>
      <w:r w:rsidR="00744A3F">
        <w:t>aduação em Administração e Controladoria - Universidade Federal do Ceará, Ceará, 2022.</w:t>
      </w:r>
    </w:p>
    <w:p w14:paraId="04810097" w14:textId="7B22F3F2" w:rsidR="001927B7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72ADB23C" w14:textId="22E28231" w:rsidR="00A71B93" w:rsidRPr="005C785F" w:rsidRDefault="00A71B93" w:rsidP="00E2713D">
      <w:pPr>
        <w:pStyle w:val="TF-refernciasITEM"/>
        <w:rPr>
          <w:szCs w:val="24"/>
        </w:rPr>
      </w:pPr>
      <w:r w:rsidRPr="00A71B93">
        <w:rPr>
          <w:szCs w:val="24"/>
          <w:lang w:val="en-US"/>
        </w:rPr>
        <w:t>KOSMANN, Guilherme</w:t>
      </w:r>
      <w:r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</w:rPr>
        <w:t>Dignidade organizacional na relação entre fornecedor e cliente, em contexto business to business</w:t>
      </w:r>
      <w:r w:rsidRPr="005C785F">
        <w:rPr>
          <w:szCs w:val="24"/>
        </w:rPr>
        <w:t>. 2018.</w:t>
      </w:r>
      <w:r w:rsidR="00963479" w:rsidRPr="005C785F">
        <w:rPr>
          <w:szCs w:val="24"/>
        </w:rPr>
        <w:t xml:space="preserve"> Programa de Pós-Graduação em Administração de Empresas - </w:t>
      </w:r>
      <w:r w:rsidR="00963479">
        <w:t>Universidade Presbiteriana Mackenzie, São Paulo, 2022.</w:t>
      </w:r>
    </w:p>
    <w:p w14:paraId="4D962CBD" w14:textId="77777777" w:rsidR="00264BF4" w:rsidRPr="00BF2CC3" w:rsidRDefault="009915B2" w:rsidP="00E2713D">
      <w:pPr>
        <w:pStyle w:val="TF-refernciasITEM"/>
        <w:rPr>
          <w:lang w:val="en-US"/>
        </w:rPr>
      </w:pPr>
      <w:r w:rsidRPr="005C785F">
        <w:rPr>
          <w:lang w:val="en-US"/>
        </w:rPr>
        <w:t xml:space="preserve">LAURAS, </w:t>
      </w:r>
      <w:r w:rsidR="00264BF4" w:rsidRPr="00264BF4">
        <w:rPr>
          <w:lang w:val="en-US"/>
        </w:rPr>
        <w:t>Matthieu</w:t>
      </w:r>
      <w:r w:rsidR="00264BF4">
        <w:rPr>
          <w:lang w:val="en-US"/>
        </w:rPr>
        <w:t xml:space="preserve"> </w:t>
      </w:r>
      <w:r w:rsidR="00264BF4">
        <w:rPr>
          <w:i/>
          <w:iCs/>
          <w:lang w:val="en-US"/>
        </w:rPr>
        <w:t>et al</w:t>
      </w:r>
      <w:r w:rsidRPr="005C785F">
        <w:rPr>
          <w:lang w:val="en-US"/>
        </w:rPr>
        <w:t xml:space="preserve">. </w:t>
      </w:r>
      <w:r w:rsidRPr="00264BF4">
        <w:rPr>
          <w:b/>
          <w:bCs/>
          <w:lang w:val="en-US"/>
        </w:rPr>
        <w:t>A business process oriented method to design supply chain performance measurement systems</w:t>
      </w:r>
      <w:r w:rsidRPr="005C785F">
        <w:rPr>
          <w:b/>
          <w:bCs/>
          <w:lang w:val="en-US"/>
        </w:rPr>
        <w:t xml:space="preserve">. </w:t>
      </w:r>
      <w:r w:rsidRPr="00BF2CC3">
        <w:rPr>
          <w:lang w:val="en-US"/>
        </w:rPr>
        <w:t xml:space="preserve">International Journal of Business Performance Management, </w:t>
      </w:r>
      <w:r w:rsidR="00264BF4" w:rsidRPr="00BF2CC3">
        <w:rPr>
          <w:lang w:val="en-US"/>
        </w:rPr>
        <w:t xml:space="preserve">Inderscience, 2011, 12 (4), p.354-376. </w:t>
      </w:r>
    </w:p>
    <w:p w14:paraId="215DE39F" w14:textId="4ADE9685" w:rsidR="00FC0DC3" w:rsidRPr="005C785F" w:rsidRDefault="00FC0DC3" w:rsidP="00E2713D">
      <w:pPr>
        <w:pStyle w:val="TF-refernciasITEM"/>
        <w:rPr>
          <w:szCs w:val="24"/>
        </w:rPr>
      </w:pPr>
      <w:r w:rsidRPr="00BF2CC3">
        <w:rPr>
          <w:lang w:val="en-US"/>
        </w:rPr>
        <w:t>LOPES, I</w:t>
      </w:r>
      <w:r w:rsidR="00EE245A" w:rsidRPr="00BF2CC3">
        <w:rPr>
          <w:lang w:val="en-US"/>
        </w:rPr>
        <w:t>ago</w:t>
      </w:r>
      <w:r w:rsidRPr="00BF2CC3">
        <w:rPr>
          <w:lang w:val="en-US"/>
        </w:rPr>
        <w:t xml:space="preserve"> F</w:t>
      </w:r>
      <w:r w:rsidR="00EE245A" w:rsidRPr="00BF2CC3">
        <w:rPr>
          <w:lang w:val="en-US"/>
        </w:rPr>
        <w:t xml:space="preserve">ranca </w:t>
      </w:r>
      <w:r w:rsidR="00EE245A" w:rsidRPr="00BF2CC3">
        <w:rPr>
          <w:i/>
          <w:iCs/>
          <w:lang w:val="en-US"/>
        </w:rPr>
        <w:t>et al</w:t>
      </w:r>
      <w:r w:rsidRPr="00BF2CC3">
        <w:rPr>
          <w:lang w:val="en-US"/>
        </w:rPr>
        <w:t xml:space="preserve">. </w:t>
      </w:r>
      <w:r w:rsidRPr="00FC0DC3">
        <w:rPr>
          <w:b/>
          <w:bCs/>
        </w:rPr>
        <w:t>Associação da evidenciação do gerenciamento de riscos com governança corporativa e desempenho em empresas com ADRs</w:t>
      </w:r>
      <w:r>
        <w:t>. Revista Evidenciação Contábil &amp; Finanças, João Pessoa, v. 9, n. 1, p. 5-21, abr. 2021.</w:t>
      </w:r>
    </w:p>
    <w:p w14:paraId="55F4D5C7" w14:textId="3F2E29DC" w:rsidR="00DA79FE" w:rsidRPr="005C785F" w:rsidRDefault="00DA79FE" w:rsidP="00441C32">
      <w:pPr>
        <w:pStyle w:val="TF-refernciasITEM"/>
        <w:rPr>
          <w:szCs w:val="24"/>
          <w:lang w:val="en-US"/>
        </w:rPr>
      </w:pPr>
      <w:r w:rsidRPr="005C785F">
        <w:rPr>
          <w:szCs w:val="24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 xml:space="preserve">https://www.ecommercebrasil.com.br/artigos/cadeia-de-abastecimento. </w:t>
      </w:r>
      <w:r w:rsidR="0072282D" w:rsidRPr="005C785F">
        <w:rPr>
          <w:szCs w:val="24"/>
          <w:lang w:val="en-US"/>
        </w:rPr>
        <w:t>Acesso em: 26 set</w:t>
      </w:r>
      <w:r w:rsidR="00D261AB" w:rsidRPr="005C785F">
        <w:rPr>
          <w:szCs w:val="24"/>
          <w:lang w:val="en-US"/>
        </w:rPr>
        <w:t xml:space="preserve">. </w:t>
      </w:r>
      <w:r w:rsidR="0072282D" w:rsidRPr="005C785F">
        <w:rPr>
          <w:szCs w:val="24"/>
          <w:lang w:val="en-US"/>
        </w:rPr>
        <w:t>2022.</w:t>
      </w:r>
    </w:p>
    <w:p w14:paraId="2658420A" w14:textId="3BDC82FB" w:rsidR="00D93A87" w:rsidRDefault="00D93A87" w:rsidP="00441C32">
      <w:pPr>
        <w:pStyle w:val="TF-refernciasITEM"/>
        <w:rPr>
          <w:szCs w:val="24"/>
        </w:rPr>
      </w:pPr>
      <w:r w:rsidRPr="005C785F">
        <w:rPr>
          <w:lang w:val="en-US"/>
        </w:rPr>
        <w:t xml:space="preserve">MARGOLIS, J.D. </w:t>
      </w:r>
      <w:r w:rsidRPr="005C785F">
        <w:rPr>
          <w:b/>
          <w:bCs/>
          <w:lang w:val="en-US"/>
        </w:rPr>
        <w:t>Dignity in balance: philosophical and practical dimensions of promoting ethics in organizations</w:t>
      </w:r>
      <w:r w:rsidRPr="005C785F">
        <w:rPr>
          <w:lang w:val="en-US"/>
        </w:rPr>
        <w:t xml:space="preserve">, 307 p. Tese (Doutorado em Filosofia). </w:t>
      </w:r>
      <w:r>
        <w:t>Harvard University. Massachusetts. 1997</w:t>
      </w:r>
    </w:p>
    <w:p w14:paraId="6A1DEF04" w14:textId="6CBAFDAE" w:rsidR="008210A3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5CA2EFD3" w14:textId="436C3890" w:rsidR="0081420B" w:rsidRPr="00E42617" w:rsidRDefault="0081420B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</w:t>
      </w:r>
      <w:r>
        <w:rPr>
          <w:b/>
          <w:bCs/>
          <w:szCs w:val="24"/>
        </w:rPr>
        <w:t>Transformação digital no Brasil</w:t>
      </w:r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Brasport, 2022.</w:t>
      </w:r>
    </w:p>
    <w:p w14:paraId="49BEF577" w14:textId="45ABEE30" w:rsidR="002C6004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OLIVEIRA, Andressa Luiza Bortolaso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6FDD8578" w14:textId="295E5FCC" w:rsidR="00B00610" w:rsidRPr="00E42617" w:rsidRDefault="00B00610" w:rsidP="00441C32">
      <w:pPr>
        <w:pStyle w:val="TF-refernciasITEM"/>
        <w:rPr>
          <w:szCs w:val="24"/>
        </w:rPr>
      </w:pPr>
      <w:r w:rsidRPr="00B00610">
        <w:rPr>
          <w:szCs w:val="24"/>
        </w:rPr>
        <w:t>PEREIRA, Frederico Cesar Mafra</w:t>
      </w:r>
      <w:r>
        <w:rPr>
          <w:i/>
          <w:iCs/>
          <w:szCs w:val="24"/>
        </w:rPr>
        <w:t xml:space="preserve"> et </w:t>
      </w:r>
      <w:r w:rsidRPr="00B00610">
        <w:rPr>
          <w:szCs w:val="24"/>
        </w:rPr>
        <w:t>al</w:t>
      </w:r>
      <w:r>
        <w:rPr>
          <w:szCs w:val="24"/>
        </w:rPr>
        <w:t xml:space="preserve">. </w:t>
      </w:r>
      <w:r w:rsidRPr="00B00610">
        <w:rPr>
          <w:b/>
          <w:bCs/>
          <w:szCs w:val="24"/>
        </w:rPr>
        <w:t>Integração entre gestão do conhecimento e business process management: perspectivas de profissionais em BPM</w:t>
      </w:r>
      <w:r w:rsidRPr="00B00610">
        <w:rPr>
          <w:szCs w:val="24"/>
        </w:rPr>
        <w:t>. Perspectivas em Ciência da Informação. 2020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D14BBA9" w:rsidR="009C5136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5F70284C" w14:textId="0849CF46" w:rsidR="00D93A87" w:rsidRDefault="00D93A87" w:rsidP="008015A2">
      <w:pPr>
        <w:pStyle w:val="TF-refernciasITEM"/>
        <w:rPr>
          <w:szCs w:val="24"/>
        </w:rPr>
      </w:pPr>
      <w:r>
        <w:t xml:space="preserve">VALENÇA, JBM. </w:t>
      </w:r>
      <w:r w:rsidRPr="00D93A87">
        <w:rPr>
          <w:b/>
          <w:bCs/>
        </w:rPr>
        <w:t xml:space="preserve">Mentoria na </w:t>
      </w:r>
      <w:r w:rsidR="00B22A71" w:rsidRPr="00D93A87">
        <w:rPr>
          <w:b/>
          <w:bCs/>
        </w:rPr>
        <w:t>relação</w:t>
      </w:r>
      <w:r w:rsidRPr="00D93A87">
        <w:rPr>
          <w:b/>
          <w:bCs/>
        </w:rPr>
        <w:t xml:space="preserve"> entre estresse e dignidade organizacional em uma </w:t>
      </w:r>
      <w:r w:rsidR="00B22A71" w:rsidRPr="00D93A87">
        <w:rPr>
          <w:b/>
          <w:bCs/>
        </w:rPr>
        <w:t>instituição</w:t>
      </w:r>
      <w:r w:rsidRPr="00D93A87">
        <w:rPr>
          <w:b/>
          <w:bCs/>
        </w:rPr>
        <w:t xml:space="preserve"> financeira</w:t>
      </w:r>
      <w:r>
        <w:t>. Dissertação de mestrado profissional em Gestão Empresarial na Faculdade de Boa Viagem. Recife, 2014.</w:t>
      </w:r>
    </w:p>
    <w:p w14:paraId="5C42629F" w14:textId="756922C0" w:rsidR="00123769" w:rsidRPr="00E42617" w:rsidRDefault="00123769" w:rsidP="008015A2">
      <w:pPr>
        <w:pStyle w:val="TF-refernciasITEM"/>
        <w:rPr>
          <w:szCs w:val="24"/>
        </w:rPr>
      </w:pPr>
      <w:r>
        <w:t xml:space="preserve">VIVALDINI, M. </w:t>
      </w:r>
      <w:r w:rsidRPr="00123769">
        <w:rPr>
          <w:b/>
          <w:bCs/>
        </w:rPr>
        <w:t>Gestão Colaborativa e Gestão de Risco: um estudo sobre capacidades complementares</w:t>
      </w:r>
      <w:r>
        <w:t>. Revista Gestão &amp; Conexões, Vitória, v. 9, n. 2, p. 120-144, ago. 2020.</w:t>
      </w:r>
    </w:p>
    <w:p w14:paraId="1AEF922A" w14:textId="4CCA7226" w:rsidR="00777364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sensoriada: a sociedade da transformação digital. </w:t>
      </w:r>
      <w:r w:rsidRPr="00BF2CC3">
        <w:rPr>
          <w:b/>
          <w:bCs/>
          <w:szCs w:val="24"/>
          <w:lang w:val="en-US"/>
        </w:rPr>
        <w:t>Estudos Avançados [online]</w:t>
      </w:r>
      <w:r w:rsidRPr="00BF2CC3">
        <w:rPr>
          <w:szCs w:val="24"/>
          <w:lang w:val="en-US"/>
        </w:rPr>
        <w:t>.</w:t>
      </w:r>
      <w:r w:rsidR="000B4396" w:rsidRPr="00BF2CC3">
        <w:rPr>
          <w:szCs w:val="24"/>
          <w:lang w:val="en-US"/>
        </w:rPr>
        <w:t xml:space="preserve"> </w:t>
      </w:r>
      <w:r w:rsidR="000B4396" w:rsidRPr="0033453A">
        <w:rPr>
          <w:szCs w:val="24"/>
          <w:lang w:val="en-US"/>
        </w:rPr>
        <w:t>[S.l.],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p w14:paraId="0D8A06E1" w14:textId="086C1650" w:rsidR="007F3EA2" w:rsidRDefault="006951E7" w:rsidP="00882B9B">
      <w:pPr>
        <w:pStyle w:val="TF-refernciasITEM"/>
        <w:rPr>
          <w:szCs w:val="24"/>
          <w:lang w:val="en-US"/>
        </w:rPr>
      </w:pPr>
      <w:r w:rsidRPr="006951E7">
        <w:rPr>
          <w:szCs w:val="24"/>
          <w:lang w:val="en-US"/>
        </w:rPr>
        <w:t>WESTERMAN, George</w:t>
      </w:r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et al</w:t>
      </w:r>
      <w:r w:rsidRPr="006951E7"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  <w:lang w:val="en-US"/>
        </w:rPr>
        <w:t>Leading digital</w:t>
      </w:r>
      <w:r w:rsidRPr="0034283B">
        <w:rPr>
          <w:szCs w:val="24"/>
          <w:lang w:val="en-US"/>
        </w:rPr>
        <w:t>: Turning technology into business transformation. Harvard</w:t>
      </w:r>
      <w:r w:rsidRPr="006951E7">
        <w:rPr>
          <w:szCs w:val="24"/>
          <w:lang w:val="en-US"/>
        </w:rPr>
        <w:t xml:space="preserve"> Business Press, 2014.</w:t>
      </w:r>
    </w:p>
    <w:p w14:paraId="35A09E94" w14:textId="4BE2E608" w:rsidR="007F3EA2" w:rsidRDefault="007F3EA2" w:rsidP="00167FDB">
      <w:pPr>
        <w:keepNext w:val="0"/>
        <w:keepLines w:val="0"/>
        <w:rPr>
          <w:lang w:val="en-US"/>
        </w:rPr>
      </w:pPr>
    </w:p>
    <w:sectPr w:rsidR="007F3EA2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596E" w14:textId="77777777" w:rsidR="00B745BE" w:rsidRDefault="00B745BE">
      <w:r>
        <w:separator/>
      </w:r>
    </w:p>
  </w:endnote>
  <w:endnote w:type="continuationSeparator" w:id="0">
    <w:p w14:paraId="2EF398E0" w14:textId="77777777" w:rsidR="00B745BE" w:rsidRDefault="00B745BE">
      <w:r>
        <w:continuationSeparator/>
      </w:r>
    </w:p>
  </w:endnote>
  <w:endnote w:type="continuationNotice" w:id="1">
    <w:p w14:paraId="7B3467D0" w14:textId="77777777" w:rsidR="00B745BE" w:rsidRDefault="00B745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2049" w14:textId="77777777" w:rsidR="00B745BE" w:rsidRDefault="00B745BE">
      <w:r>
        <w:separator/>
      </w:r>
    </w:p>
  </w:footnote>
  <w:footnote w:type="continuationSeparator" w:id="0">
    <w:p w14:paraId="0281901C" w14:textId="77777777" w:rsidR="00B745BE" w:rsidRDefault="00B745BE">
      <w:r>
        <w:continuationSeparator/>
      </w:r>
    </w:p>
  </w:footnote>
  <w:footnote w:type="continuationNotice" w:id="1">
    <w:p w14:paraId="000F0178" w14:textId="77777777" w:rsidR="00B745BE" w:rsidRDefault="00B745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F269C7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5E56"/>
    <w:rsid w:val="00006EA5"/>
    <w:rsid w:val="000070E1"/>
    <w:rsid w:val="0000741F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27A90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4C7"/>
    <w:rsid w:val="00036A28"/>
    <w:rsid w:val="00036E5B"/>
    <w:rsid w:val="000407AC"/>
    <w:rsid w:val="00040A7F"/>
    <w:rsid w:val="000415A2"/>
    <w:rsid w:val="00041693"/>
    <w:rsid w:val="00042A80"/>
    <w:rsid w:val="000431A8"/>
    <w:rsid w:val="00043AEA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B2C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09A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0E88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569"/>
    <w:rsid w:val="000C6669"/>
    <w:rsid w:val="000C6A6E"/>
    <w:rsid w:val="000C74AE"/>
    <w:rsid w:val="000C763F"/>
    <w:rsid w:val="000C7654"/>
    <w:rsid w:val="000C7C96"/>
    <w:rsid w:val="000D1023"/>
    <w:rsid w:val="000D1294"/>
    <w:rsid w:val="000D17DA"/>
    <w:rsid w:val="000D1DB3"/>
    <w:rsid w:val="000D2A7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47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22E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769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226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2B5"/>
    <w:rsid w:val="0016560C"/>
    <w:rsid w:val="00165803"/>
    <w:rsid w:val="001659AD"/>
    <w:rsid w:val="00165B1E"/>
    <w:rsid w:val="0016650B"/>
    <w:rsid w:val="001676BA"/>
    <w:rsid w:val="00167837"/>
    <w:rsid w:val="00167FDB"/>
    <w:rsid w:val="0017004C"/>
    <w:rsid w:val="0017045D"/>
    <w:rsid w:val="00170486"/>
    <w:rsid w:val="00170FCD"/>
    <w:rsid w:val="00171330"/>
    <w:rsid w:val="001714F7"/>
    <w:rsid w:val="001715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6A2F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139F"/>
    <w:rsid w:val="00191DB1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69F6"/>
    <w:rsid w:val="0019728B"/>
    <w:rsid w:val="001A12CE"/>
    <w:rsid w:val="001A19DC"/>
    <w:rsid w:val="001A4235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1FB4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429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9F8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418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426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BF4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513C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4246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C3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4E11"/>
    <w:rsid w:val="0030624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677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83B"/>
    <w:rsid w:val="00342965"/>
    <w:rsid w:val="00342A32"/>
    <w:rsid w:val="003430EB"/>
    <w:rsid w:val="00343F5D"/>
    <w:rsid w:val="00343F71"/>
    <w:rsid w:val="00344233"/>
    <w:rsid w:val="00344540"/>
    <w:rsid w:val="00345055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D86"/>
    <w:rsid w:val="00360F1E"/>
    <w:rsid w:val="0036191B"/>
    <w:rsid w:val="00361C8F"/>
    <w:rsid w:val="00362067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3E2A"/>
    <w:rsid w:val="003750FC"/>
    <w:rsid w:val="003752A6"/>
    <w:rsid w:val="0037547C"/>
    <w:rsid w:val="00375ADA"/>
    <w:rsid w:val="00375EB4"/>
    <w:rsid w:val="003763DE"/>
    <w:rsid w:val="003767DD"/>
    <w:rsid w:val="00377B79"/>
    <w:rsid w:val="00377DA7"/>
    <w:rsid w:val="0038065A"/>
    <w:rsid w:val="003815C6"/>
    <w:rsid w:val="00383087"/>
    <w:rsid w:val="00383898"/>
    <w:rsid w:val="00383EC9"/>
    <w:rsid w:val="00385764"/>
    <w:rsid w:val="003859D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1C61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0CD7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A00"/>
    <w:rsid w:val="003C6FAB"/>
    <w:rsid w:val="003C7704"/>
    <w:rsid w:val="003D0531"/>
    <w:rsid w:val="003D0609"/>
    <w:rsid w:val="003D196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5C0"/>
    <w:rsid w:val="003D591C"/>
    <w:rsid w:val="003D5A8E"/>
    <w:rsid w:val="003D5CD9"/>
    <w:rsid w:val="003D60A9"/>
    <w:rsid w:val="003D6567"/>
    <w:rsid w:val="003D65E7"/>
    <w:rsid w:val="003D6BB6"/>
    <w:rsid w:val="003E21FD"/>
    <w:rsid w:val="003E357C"/>
    <w:rsid w:val="003E384D"/>
    <w:rsid w:val="003E3DC3"/>
    <w:rsid w:val="003E49D4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597"/>
    <w:rsid w:val="003F4841"/>
    <w:rsid w:val="003F5F25"/>
    <w:rsid w:val="003F6149"/>
    <w:rsid w:val="003F6646"/>
    <w:rsid w:val="003F679B"/>
    <w:rsid w:val="003F7D3F"/>
    <w:rsid w:val="0040033D"/>
    <w:rsid w:val="00400983"/>
    <w:rsid w:val="004011FA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3FE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02A4"/>
    <w:rsid w:val="004810EE"/>
    <w:rsid w:val="00481303"/>
    <w:rsid w:val="0048251A"/>
    <w:rsid w:val="004829E3"/>
    <w:rsid w:val="0048576D"/>
    <w:rsid w:val="00485F61"/>
    <w:rsid w:val="00485F88"/>
    <w:rsid w:val="004869CE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0389"/>
    <w:rsid w:val="004A16DC"/>
    <w:rsid w:val="004A1EAD"/>
    <w:rsid w:val="004A255F"/>
    <w:rsid w:val="004A34B7"/>
    <w:rsid w:val="004A34F3"/>
    <w:rsid w:val="004A3D3D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2C3"/>
    <w:rsid w:val="004B6B8F"/>
    <w:rsid w:val="004B7033"/>
    <w:rsid w:val="004B7511"/>
    <w:rsid w:val="004C014A"/>
    <w:rsid w:val="004C1395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0C15"/>
    <w:rsid w:val="004D18EB"/>
    <w:rsid w:val="004D2D13"/>
    <w:rsid w:val="004D303C"/>
    <w:rsid w:val="004D340F"/>
    <w:rsid w:val="004D40BB"/>
    <w:rsid w:val="004D410E"/>
    <w:rsid w:val="004D4BD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1A79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5D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094"/>
    <w:rsid w:val="00532645"/>
    <w:rsid w:val="00534C0B"/>
    <w:rsid w:val="00535743"/>
    <w:rsid w:val="00535E07"/>
    <w:rsid w:val="00536336"/>
    <w:rsid w:val="00537F71"/>
    <w:rsid w:val="00540D62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1E6D"/>
    <w:rsid w:val="00563EE9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0B21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2F40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8D4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C599A"/>
    <w:rsid w:val="005C785F"/>
    <w:rsid w:val="005D03BA"/>
    <w:rsid w:val="005D1798"/>
    <w:rsid w:val="005D20D3"/>
    <w:rsid w:val="005D2C33"/>
    <w:rsid w:val="005D3387"/>
    <w:rsid w:val="005D3C20"/>
    <w:rsid w:val="005D4669"/>
    <w:rsid w:val="005D4F28"/>
    <w:rsid w:val="005D53F6"/>
    <w:rsid w:val="005D5A2A"/>
    <w:rsid w:val="005E0B45"/>
    <w:rsid w:val="005E11AE"/>
    <w:rsid w:val="005E1304"/>
    <w:rsid w:val="005E1575"/>
    <w:rsid w:val="005E2579"/>
    <w:rsid w:val="005E35F3"/>
    <w:rsid w:val="005E3DD0"/>
    <w:rsid w:val="005E400D"/>
    <w:rsid w:val="005E4D1A"/>
    <w:rsid w:val="005E53FE"/>
    <w:rsid w:val="005E56DB"/>
    <w:rsid w:val="005E57C9"/>
    <w:rsid w:val="005E5CCC"/>
    <w:rsid w:val="005E5E25"/>
    <w:rsid w:val="005E608C"/>
    <w:rsid w:val="005E60D4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6EA9"/>
    <w:rsid w:val="005F759A"/>
    <w:rsid w:val="0060060C"/>
    <w:rsid w:val="00600BE1"/>
    <w:rsid w:val="00600C87"/>
    <w:rsid w:val="00601322"/>
    <w:rsid w:val="0060340E"/>
    <w:rsid w:val="00604ED4"/>
    <w:rsid w:val="0060515D"/>
    <w:rsid w:val="00605AB6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259"/>
    <w:rsid w:val="00622AE4"/>
    <w:rsid w:val="006230E4"/>
    <w:rsid w:val="0062386A"/>
    <w:rsid w:val="006247C1"/>
    <w:rsid w:val="00624BC1"/>
    <w:rsid w:val="00624C40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83"/>
    <w:rsid w:val="006466FF"/>
    <w:rsid w:val="00646808"/>
    <w:rsid w:val="00646A5F"/>
    <w:rsid w:val="00646F6D"/>
    <w:rsid w:val="0064711B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49D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2F4B"/>
    <w:rsid w:val="0069472E"/>
    <w:rsid w:val="00694A70"/>
    <w:rsid w:val="006951E7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808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1909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566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3869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3F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095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1863"/>
    <w:rsid w:val="00741EC3"/>
    <w:rsid w:val="00742D5D"/>
    <w:rsid w:val="00743501"/>
    <w:rsid w:val="007441F8"/>
    <w:rsid w:val="00744211"/>
    <w:rsid w:val="00744A3F"/>
    <w:rsid w:val="007454B7"/>
    <w:rsid w:val="00745A1D"/>
    <w:rsid w:val="007474B4"/>
    <w:rsid w:val="007476C8"/>
    <w:rsid w:val="0074788B"/>
    <w:rsid w:val="00751A74"/>
    <w:rsid w:val="00751BBE"/>
    <w:rsid w:val="00752C32"/>
    <w:rsid w:val="0075460D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1ED9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2DF5"/>
    <w:rsid w:val="007A3E7C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22A"/>
    <w:rsid w:val="007C4B78"/>
    <w:rsid w:val="007C60CF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2FF2"/>
    <w:rsid w:val="007F3C94"/>
    <w:rsid w:val="007F3EA2"/>
    <w:rsid w:val="007F403E"/>
    <w:rsid w:val="007F46BB"/>
    <w:rsid w:val="007F49DA"/>
    <w:rsid w:val="007F5D56"/>
    <w:rsid w:val="007F6497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420B"/>
    <w:rsid w:val="00814756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2C1"/>
    <w:rsid w:val="00843D1E"/>
    <w:rsid w:val="00844056"/>
    <w:rsid w:val="008442B7"/>
    <w:rsid w:val="00844D28"/>
    <w:rsid w:val="008458C8"/>
    <w:rsid w:val="00846F4A"/>
    <w:rsid w:val="008473F0"/>
    <w:rsid w:val="00847C6F"/>
    <w:rsid w:val="00847D37"/>
    <w:rsid w:val="00847F81"/>
    <w:rsid w:val="0085001D"/>
    <w:rsid w:val="008504B8"/>
    <w:rsid w:val="00850A45"/>
    <w:rsid w:val="00850F31"/>
    <w:rsid w:val="008516CD"/>
    <w:rsid w:val="00851DF6"/>
    <w:rsid w:val="0085211B"/>
    <w:rsid w:val="00853F62"/>
    <w:rsid w:val="008546E4"/>
    <w:rsid w:val="0085513D"/>
    <w:rsid w:val="00855377"/>
    <w:rsid w:val="00855576"/>
    <w:rsid w:val="0085596F"/>
    <w:rsid w:val="00856EE3"/>
    <w:rsid w:val="00856F24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9CF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0B32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7A"/>
    <w:rsid w:val="008B58AF"/>
    <w:rsid w:val="008B682C"/>
    <w:rsid w:val="008B7583"/>
    <w:rsid w:val="008B77BD"/>
    <w:rsid w:val="008B781F"/>
    <w:rsid w:val="008B7832"/>
    <w:rsid w:val="008B784C"/>
    <w:rsid w:val="008C0069"/>
    <w:rsid w:val="008C02A7"/>
    <w:rsid w:val="008C0D03"/>
    <w:rsid w:val="008C0E5A"/>
    <w:rsid w:val="008C1495"/>
    <w:rsid w:val="008C1BBB"/>
    <w:rsid w:val="008C1DCD"/>
    <w:rsid w:val="008C2A2A"/>
    <w:rsid w:val="008C4E63"/>
    <w:rsid w:val="008C5C79"/>
    <w:rsid w:val="008C5E2A"/>
    <w:rsid w:val="008C621E"/>
    <w:rsid w:val="008C683F"/>
    <w:rsid w:val="008C77A1"/>
    <w:rsid w:val="008C7DC4"/>
    <w:rsid w:val="008D03A3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0C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405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16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273A8"/>
    <w:rsid w:val="00930907"/>
    <w:rsid w:val="00930A33"/>
    <w:rsid w:val="00931224"/>
    <w:rsid w:val="00931632"/>
    <w:rsid w:val="00932978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5B13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479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994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97D"/>
    <w:rsid w:val="00975A61"/>
    <w:rsid w:val="00977702"/>
    <w:rsid w:val="009806DE"/>
    <w:rsid w:val="00980E73"/>
    <w:rsid w:val="0098126F"/>
    <w:rsid w:val="00981579"/>
    <w:rsid w:val="0098180D"/>
    <w:rsid w:val="00981C92"/>
    <w:rsid w:val="00981D3F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5B2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3EA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50B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4E0B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C32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6D8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0EC5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3050"/>
    <w:rsid w:val="00A63102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0979"/>
    <w:rsid w:val="00A71157"/>
    <w:rsid w:val="00A71643"/>
    <w:rsid w:val="00A719B3"/>
    <w:rsid w:val="00A71B93"/>
    <w:rsid w:val="00A72F5B"/>
    <w:rsid w:val="00A74D5B"/>
    <w:rsid w:val="00A7508A"/>
    <w:rsid w:val="00A75E4E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10FC"/>
    <w:rsid w:val="00A92B78"/>
    <w:rsid w:val="00A9428D"/>
    <w:rsid w:val="00A94932"/>
    <w:rsid w:val="00A95299"/>
    <w:rsid w:val="00A95421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379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610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904"/>
    <w:rsid w:val="00B15D86"/>
    <w:rsid w:val="00B16258"/>
    <w:rsid w:val="00B163B1"/>
    <w:rsid w:val="00B172A3"/>
    <w:rsid w:val="00B17EEE"/>
    <w:rsid w:val="00B20021"/>
    <w:rsid w:val="00B20265"/>
    <w:rsid w:val="00B20FDE"/>
    <w:rsid w:val="00B21381"/>
    <w:rsid w:val="00B22129"/>
    <w:rsid w:val="00B22A71"/>
    <w:rsid w:val="00B23B61"/>
    <w:rsid w:val="00B23E28"/>
    <w:rsid w:val="00B23ECD"/>
    <w:rsid w:val="00B24650"/>
    <w:rsid w:val="00B25E85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B4F"/>
    <w:rsid w:val="00B35D78"/>
    <w:rsid w:val="00B363E6"/>
    <w:rsid w:val="00B367C0"/>
    <w:rsid w:val="00B36827"/>
    <w:rsid w:val="00B36E4A"/>
    <w:rsid w:val="00B3737D"/>
    <w:rsid w:val="00B377B0"/>
    <w:rsid w:val="00B40CA4"/>
    <w:rsid w:val="00B4194D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4A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325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2302"/>
    <w:rsid w:val="00B74499"/>
    <w:rsid w:val="00B745BE"/>
    <w:rsid w:val="00B74916"/>
    <w:rsid w:val="00B762BF"/>
    <w:rsid w:val="00B76528"/>
    <w:rsid w:val="00B77BFD"/>
    <w:rsid w:val="00B8054D"/>
    <w:rsid w:val="00B823A7"/>
    <w:rsid w:val="00B824A3"/>
    <w:rsid w:val="00B837B0"/>
    <w:rsid w:val="00B83E72"/>
    <w:rsid w:val="00B8441E"/>
    <w:rsid w:val="00B84832"/>
    <w:rsid w:val="00B84B67"/>
    <w:rsid w:val="00B84CB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981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92E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544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2CC3"/>
    <w:rsid w:val="00BF3D25"/>
    <w:rsid w:val="00BF427D"/>
    <w:rsid w:val="00BF4880"/>
    <w:rsid w:val="00BF65B7"/>
    <w:rsid w:val="00BF65C2"/>
    <w:rsid w:val="00BF6696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4232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5E71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01C"/>
    <w:rsid w:val="00C521E0"/>
    <w:rsid w:val="00C52520"/>
    <w:rsid w:val="00C52A74"/>
    <w:rsid w:val="00C52E81"/>
    <w:rsid w:val="00C52F6C"/>
    <w:rsid w:val="00C532E5"/>
    <w:rsid w:val="00C548ED"/>
    <w:rsid w:val="00C54D73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805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6A5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32E4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D2B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1BBB"/>
    <w:rsid w:val="00CF21AF"/>
    <w:rsid w:val="00CF2685"/>
    <w:rsid w:val="00CF26B7"/>
    <w:rsid w:val="00CF35A1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2CAA"/>
    <w:rsid w:val="00D041BD"/>
    <w:rsid w:val="00D052EA"/>
    <w:rsid w:val="00D058C2"/>
    <w:rsid w:val="00D05DBF"/>
    <w:rsid w:val="00D06432"/>
    <w:rsid w:val="00D0769A"/>
    <w:rsid w:val="00D07CBE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5E60"/>
    <w:rsid w:val="00D261AB"/>
    <w:rsid w:val="00D26B7F"/>
    <w:rsid w:val="00D27FCD"/>
    <w:rsid w:val="00D30339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037"/>
    <w:rsid w:val="00D54B45"/>
    <w:rsid w:val="00D55975"/>
    <w:rsid w:val="00D563F4"/>
    <w:rsid w:val="00D568FF"/>
    <w:rsid w:val="00D57D87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02C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5FC2"/>
    <w:rsid w:val="00D86500"/>
    <w:rsid w:val="00D87C77"/>
    <w:rsid w:val="00D90E0D"/>
    <w:rsid w:val="00D91719"/>
    <w:rsid w:val="00D91BF9"/>
    <w:rsid w:val="00D926F1"/>
    <w:rsid w:val="00D931EB"/>
    <w:rsid w:val="00D936AD"/>
    <w:rsid w:val="00D93A87"/>
    <w:rsid w:val="00D93F34"/>
    <w:rsid w:val="00D940D8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1FFF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2AF"/>
    <w:rsid w:val="00DD062D"/>
    <w:rsid w:val="00DD0AEC"/>
    <w:rsid w:val="00DD100B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1F5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9E5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1B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549D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051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36E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101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45A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4753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D51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36EB1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5A14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92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0DC3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579"/>
    <w:rsid w:val="00FD299A"/>
    <w:rsid w:val="00FD40C1"/>
    <w:rsid w:val="00FD490A"/>
    <w:rsid w:val="00FD4FA4"/>
    <w:rsid w:val="00FD4FFF"/>
    <w:rsid w:val="00FD5BA8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EA4"/>
    <w:rsid w:val="00FE5F97"/>
    <w:rsid w:val="00FE6754"/>
    <w:rsid w:val="00FE747D"/>
    <w:rsid w:val="00FF085B"/>
    <w:rsid w:val="00FF0925"/>
    <w:rsid w:val="00FF0DF1"/>
    <w:rsid w:val="00FF10E9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D0101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D0101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16</Pages>
  <Words>6607</Words>
  <Characters>35684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785</cp:revision>
  <cp:lastPrinted>2022-11-27T23:13:00Z</cp:lastPrinted>
  <dcterms:created xsi:type="dcterms:W3CDTF">2022-06-24T13:02:00Z</dcterms:created>
  <dcterms:modified xsi:type="dcterms:W3CDTF">2022-12-15T17:35:00Z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