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24782697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CE319C">
              <w:rPr>
                <w:rStyle w:val="Nmerodepgina"/>
              </w:rPr>
              <w:t xml:space="preserve">X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</w:t>
      </w:r>
      <w:proofErr w:type="spellStart"/>
      <w:r>
        <w:t>Hoppe</w:t>
      </w:r>
      <w:proofErr w:type="spellEnd"/>
      <w:r>
        <w:t xml:space="preserve">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78449F12" w:rsidR="00A20936" w:rsidRDefault="00A20936" w:rsidP="00A20936">
      <w:pPr>
        <w:pStyle w:val="TF-TEXTO"/>
      </w:pPr>
      <w:r>
        <w:t xml:space="preserve">O contexto educacional do brasileiro ainda é desafiador,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>), a precariedade da infraestrutura das escolas é um obstáculo para a qualidade da educação no país. A infraestrutura precária dificulta a inclusão de tecnologia e de atividades extracurriculares nas escolas, também a falta de investimento em reformas e manutenção de prédios escolares resulta em problemas estruturais, como salas superlotadas, falta de acessibilidade, pouca ventilação, dentre outros.</w:t>
      </w:r>
    </w:p>
    <w:p w14:paraId="35EC1D89" w14:textId="1409E6B5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escolar, para tanto é fundamental o investimento em políticas públicas que ampliem a oferta de vagas, como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237F9CB0" w:rsidR="009D7878" w:rsidRDefault="009D7878" w:rsidP="00A20936">
      <w:pPr>
        <w:pStyle w:val="TF-TEXTO"/>
        <w:rPr>
          <w:rStyle w:val="fs-5"/>
        </w:rPr>
      </w:pPr>
      <w:r>
        <w:rPr>
          <w:rStyle w:val="fs-5"/>
        </w:rPr>
        <w:t xml:space="preserve">No que se refere aos números totais de matrículas, </w:t>
      </w:r>
      <w:r w:rsidR="002600C7">
        <w:rPr>
          <w:rStyle w:val="fs-5"/>
        </w:rPr>
        <w:t xml:space="preserve">segundo </w:t>
      </w:r>
      <w:r w:rsidR="0063229B">
        <w:t>Instituto Nacional de Estudos e Pesquisas Educacionais</w:t>
      </w:r>
      <w:r w:rsidR="00526A26">
        <w:rPr>
          <w:rStyle w:val="fs-5"/>
        </w:rPr>
        <w:t xml:space="preserve"> </w:t>
      </w:r>
      <w:r w:rsidR="0063229B">
        <w:rPr>
          <w:rStyle w:val="fs-5"/>
        </w:rPr>
        <w:t>(</w:t>
      </w:r>
      <w:r w:rsidR="00526A26">
        <w:rPr>
          <w:rStyle w:val="fs-5"/>
        </w:rPr>
        <w:t>2022)</w:t>
      </w:r>
      <w:r w:rsidR="002600C7">
        <w:rPr>
          <w:rStyle w:val="fs-5"/>
        </w:rPr>
        <w:t xml:space="preserve">, </w:t>
      </w:r>
      <w:r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>
        <w:rPr>
          <w:rStyle w:val="fs-5"/>
        </w:rPr>
        <w:t>.</w:t>
      </w:r>
      <w:r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59CE10D7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Dentre as técnicas de análise de séries temporais, destacam-se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4EF37417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(</w:t>
      </w:r>
      <w:r w:rsidR="001B0245">
        <w:t>GARTNER</w:t>
      </w:r>
      <w:r w:rsidR="00B13EA5">
        <w:t>, 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00C449B2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 xml:space="preserve">municipal de </w:t>
      </w:r>
      <w:r>
        <w:t>escolas</w:t>
      </w:r>
      <w:r w:rsidR="00902C75">
        <w:t xml:space="preserve"> e</w:t>
      </w:r>
      <w:r>
        <w:t xml:space="preserve"> professores</w:t>
      </w:r>
      <w:r w:rsidR="00B9071A">
        <w:t xml:space="preserve"> do ensino médio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66DF85DE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 em conjunto com séries temporais pode contribuir para projeções precisas da demanda municipal de escolas e professores no ensino médio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t xml:space="preserve">identificar as variáveis relevantes para a predição da demanda de matrículas, como o número de </w:t>
      </w:r>
      <w:r>
        <w:lastRenderedPageBreak/>
        <w:t xml:space="preserve">alunos ingressantes no ensino fundamental e o índice de natalidade; </w:t>
      </w:r>
    </w:p>
    <w:p w14:paraId="5CDEF606" w14:textId="77777777" w:rsidR="00907988" w:rsidRDefault="00907988" w:rsidP="00907988">
      <w:pPr>
        <w:pStyle w:val="TF-ALNEA"/>
      </w:pPr>
      <w:r>
        <w:t xml:space="preserve">aplicar técnicas de análise de séries temporais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61C5A62C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>
        <w:t>s</w:t>
      </w:r>
      <w:r w:rsidR="00B322E9">
        <w:t>er</w:t>
      </w:r>
      <w:r>
        <w:t xml:space="preserve">ão apresentados três trabalhos que </w:t>
      </w:r>
      <w:r w:rsidR="00B322E9">
        <w:t>possuem</w:t>
      </w:r>
      <w:r>
        <w:t xml:space="preserve"> semelhanças com o trabalho proposta.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para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43F5D6CA" w:rsidR="00925004" w:rsidRDefault="00E612B3" w:rsidP="00E612B3">
      <w:pPr>
        <w:pStyle w:val="TF-TEXTO"/>
      </w:pPr>
      <w:r w:rsidRPr="00E612B3">
        <w:t>Piva (2021) desenvolveu um modelo utilizando a arquitetura de rede neural multicamadas visando prever a demanda da educação infantil em um município brasileiro</w:t>
      </w:r>
      <w:r>
        <w:t xml:space="preserve"> de 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da mesma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232699A0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e, que houve decréscimo no orçamento destinado a melhorias e ampliação do atendimento da educação infantil.</w:t>
      </w:r>
    </w:p>
    <w:p w14:paraId="2FF81530" w14:textId="038298A8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 efeitos externos não podem ser previstos pelas séries temporais disponíveis atualmente, como a gestão da educação municipal sofre com influências externas. Tendo o trabalho abordado em apenas um município e a utilizam de apenas uma arquitetura de rede neural</w:t>
      </w:r>
      <w:r w:rsidR="00E821E5">
        <w:t>,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e,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3138A4A6" w:rsidR="00027067" w:rsidRPr="00027067" w:rsidRDefault="00027067" w:rsidP="00027067">
      <w:pPr>
        <w:pStyle w:val="TF-TEXTO"/>
      </w:pPr>
      <w:bookmarkStart w:id="25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IES. Sendo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5AFD34D7" w:rsidR="00027067" w:rsidRPr="00027067" w:rsidRDefault="00027067" w:rsidP="00027067">
      <w:pPr>
        <w:pStyle w:val="TF-TEXTO"/>
      </w:pPr>
      <w:r w:rsidRPr="00027067">
        <w:t xml:space="preserve">Segundo Pandolfi </w:t>
      </w:r>
      <w:r w:rsidRPr="00027067">
        <w:rPr>
          <w:i/>
          <w:iCs/>
        </w:rPr>
        <w:t>et al</w:t>
      </w:r>
      <w:r w:rsidRPr="00027067">
        <w:t>. (2014), 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0C2807BE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(2014), aplicaram o teste de </w:t>
      </w:r>
      <w:proofErr w:type="spellStart"/>
      <w:r w:rsidRPr="00027067">
        <w:t>Kolmogorov</w:t>
      </w:r>
      <w:proofErr w:type="spellEnd"/>
      <w:r w:rsidRPr="00027067">
        <w:t xml:space="preserve">-Smirnov, 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cenário sem crise</w:t>
      </w:r>
      <w:r w:rsidR="00A974CF" w:rsidRPr="00C90EE1">
        <w:t>.</w:t>
      </w:r>
    </w:p>
    <w:p w14:paraId="3948E493" w14:textId="061A6984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no qual no primeiro histograma</w:t>
      </w:r>
      <w:r w:rsidR="00373234">
        <w:t xml:space="preserve"> (item a)</w:t>
      </w:r>
      <w:r w:rsidRPr="00027067">
        <w:t xml:space="preserve"> têm-se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6" w:name="_Ref13490720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bookmarkEnd w:id="26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2CFFC73B" w:rsidR="008F5705" w:rsidRDefault="00027067" w:rsidP="00027067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 xml:space="preserve">. (2014) observaram que no primeiro semestre a média de matrículas foi de 544,7 com desvio padrão de 42,46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5"/>
    </w:p>
    <w:p w14:paraId="510D6DBD" w14:textId="49A88454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Séries Temporais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desenvolvidos,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6F2C96D8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3D5C19">
        <w:t xml:space="preserve"> </w:t>
      </w:r>
      <w:proofErr w:type="spellStart"/>
      <w:r w:rsidR="003D5C19">
        <w:t>AutoRegressive</w:t>
      </w:r>
      <w:proofErr w:type="spellEnd"/>
      <w:r w:rsidR="003D5C19">
        <w:t xml:space="preserve"> </w:t>
      </w:r>
      <w:proofErr w:type="spellStart"/>
      <w:r w:rsidR="003D5C19">
        <w:t>Integrated</w:t>
      </w:r>
      <w:proofErr w:type="spellEnd"/>
      <w:r w:rsidR="003D5C19">
        <w:t xml:space="preserve"> Moving </w:t>
      </w:r>
      <w:proofErr w:type="spellStart"/>
      <w:r w:rsidR="003D5C19">
        <w:t>Average</w:t>
      </w:r>
      <w:proofErr w:type="spellEnd"/>
      <w:r w:rsidR="003D69B5">
        <w:t xml:space="preserve"> </w:t>
      </w:r>
      <w:r w:rsidR="003D5C19">
        <w:t>(</w:t>
      </w:r>
      <w:r w:rsidR="003D69B5">
        <w:t>ARIMA</w:t>
      </w:r>
      <w:r w:rsidR="003D5C19">
        <w:t>)</w:t>
      </w:r>
      <w:r w:rsidR="003D69B5">
        <w:t xml:space="preserve">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27" w:name="_Ref13481947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7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5" w:name="_Ref13490724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bookmarkEnd w:id="35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5F35C140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ensinos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1CF2C493" w:rsidR="008C5FE1" w:rsidRPr="008C5FE1" w:rsidRDefault="008C5FE1" w:rsidP="008C5FE1">
      <w:pPr>
        <w:pStyle w:val="TF-TEXTO"/>
      </w:pPr>
      <w:r>
        <w:t>Nest</w:t>
      </w:r>
      <w:r w:rsidR="00693508">
        <w:t xml:space="preserve">a seção será </w:t>
      </w:r>
      <w:r>
        <w:t>apresentad</w:t>
      </w:r>
      <w:r w:rsidR="00693508">
        <w:t>a</w:t>
      </w:r>
      <w:r>
        <w:t xml:space="preserve"> a justificativa para o desenvolvimento do trabalho, onde é apresentado 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3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4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1843"/>
        <w:gridCol w:w="2126"/>
        <w:gridCol w:w="1973"/>
      </w:tblGrid>
      <w:tr w:rsidR="00DC665E" w14:paraId="4DC82DAE" w14:textId="77777777" w:rsidTr="00E30638">
        <w:trPr>
          <w:trHeight w:val="567"/>
        </w:trPr>
        <w:tc>
          <w:tcPr>
            <w:tcW w:w="3006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4D97FD72" w14:textId="42A15CEC" w:rsidR="006B076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>. 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E30638">
        <w:tc>
          <w:tcPr>
            <w:tcW w:w="3006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E30638">
        <w:tc>
          <w:tcPr>
            <w:tcW w:w="3006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E30638">
        <w:tc>
          <w:tcPr>
            <w:tcW w:w="3006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3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7246B78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Instituição de Ensino Superior (IES).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310F5D02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Instituição de Ensino Superior (IES),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222C8355" w:rsidR="00A8569B" w:rsidRDefault="00A8569B" w:rsidP="00457648">
      <w:pPr>
        <w:pStyle w:val="TF-TEXTO"/>
      </w:pPr>
      <w:r>
        <w:t xml:space="preserve">Diante do contexto </w:t>
      </w:r>
      <w:r w:rsidR="00807946">
        <w:t xml:space="preserve">acima, este trabalho torna-se </w:t>
      </w:r>
      <w:r w:rsidR="006B50DB">
        <w:t>relevante</w:t>
      </w:r>
      <w:r w:rsidR="00807946">
        <w:t xml:space="preserve"> pois</w:t>
      </w:r>
      <w:r w:rsidR="004C0A73">
        <w:t xml:space="preserve"> </w:t>
      </w:r>
      <w:r w:rsidR="00170325">
        <w:t>disponibilizará</w:t>
      </w:r>
      <w:r w:rsidR="004C0A73">
        <w:t xml:space="preserve"> uma</w:t>
      </w:r>
      <w:r w:rsidR="00807946">
        <w:t xml:space="preserve"> compreensão mais aprofundada dos fatores que influenciam a demanda por instituições de ensino. Além disso, el</w:t>
      </w:r>
      <w:r w:rsidR="009212E8">
        <w:t>e</w:t>
      </w:r>
      <w:r w:rsidR="00807946">
        <w:t xml:space="preserve"> </w:t>
      </w:r>
      <w:r w:rsidR="004C0A73">
        <w:t xml:space="preserve">também </w:t>
      </w:r>
      <w:r w:rsidR="00807946">
        <w:t>possibilita</w:t>
      </w:r>
      <w:r w:rsidR="00024B7E">
        <w:t>rá</w:t>
      </w:r>
      <w:r w:rsidR="00807946">
        <w:t xml:space="preserve"> a identificação de desafios e oportunidades para melhorar a qualidade da educação, bem como o desenvolvimento de estratégias educacionais mais eficazes tanto para o governo quanto para as instituições privada</w:t>
      </w:r>
      <w:r w:rsidR="006B50DB">
        <w:t>s.</w:t>
      </w:r>
    </w:p>
    <w:p w14:paraId="272A0AA0" w14:textId="3B7EA06C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informadas sobre a alocação de recursos, a expansão de escolas existentes ou a construção de novas instituições de ensino.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6BFEAD3A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período de tempo</w:t>
      </w:r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>média absoluta dos erros (MAE) e a raiz quadrada do erro 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lastRenderedPageBreak/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4D05F062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C6018C">
        <w:t>i</w:t>
      </w:r>
      <w:r w:rsidR="001C76E8" w:rsidRPr="004F1DC0">
        <w:t>nicialmente será utilizado o modelo ARIMA</w:t>
      </w:r>
      <w:r w:rsidR="00C6018C">
        <w:t xml:space="preserve">. Porém, serão realizadas </w:t>
      </w:r>
      <w:r w:rsidR="005B0764">
        <w:t xml:space="preserve">mais </w:t>
      </w:r>
      <w:r w:rsidR="00C6018C">
        <w:t>pesquisas</w:t>
      </w:r>
      <w:r w:rsidR="001C3F97">
        <w:t xml:space="preserve"> para identificar outros </w:t>
      </w:r>
      <w:r w:rsidR="005B0764">
        <w:t>modelos preditivos;</w:t>
      </w:r>
    </w:p>
    <w:p w14:paraId="2DAAFF16" w14:textId="499E369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a biblioteca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4F1DC0">
        <w:t>pmdarima</w:t>
      </w:r>
      <w:proofErr w:type="spellEnd"/>
      <w:r w:rsidR="00B60B17" w:rsidRPr="004F1DC0">
        <w:t xml:space="preserve">, </w:t>
      </w:r>
      <w:proofErr w:type="spellStart"/>
      <w:r w:rsidR="00B60B17" w:rsidRPr="004F1DC0">
        <w:t>statsmodels</w:t>
      </w:r>
      <w:proofErr w:type="spellEnd"/>
      <w:r w:rsidRPr="004F1DC0">
        <w:t>;</w:t>
      </w:r>
    </w:p>
    <w:p w14:paraId="1408BDAC" w14:textId="645A6F90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4F1DC0" w:rsidRPr="004F1DC0">
        <w:t>erro médio absoluto (MAE) e o erro médio percentual absoluto (MAPE).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4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04F7C624" w14:textId="77B4C33A" w:rsidR="007B1250" w:rsidRDefault="00143270" w:rsidP="007B1250">
      <w:pPr>
        <w:pStyle w:val="TF-TEXTO"/>
      </w:pPr>
      <w:r>
        <w:t>Est</w:t>
      </w:r>
      <w:r w:rsidR="00185627">
        <w:t xml:space="preserve">a seção </w:t>
      </w:r>
      <w:r>
        <w:t>descreve brevemente sobre os assuntos que fundamentarão o estudo a ser realizado: Sistema educacional, predição</w:t>
      </w:r>
      <w:r w:rsidR="007B1250">
        <w:t xml:space="preserve"> e </w:t>
      </w:r>
      <w:r>
        <w:t>séries temporais.</w:t>
      </w:r>
    </w:p>
    <w:p w14:paraId="6E893D1C" w14:textId="74674C0C" w:rsidR="00054EC2" w:rsidRDefault="00054EC2" w:rsidP="007B1250">
      <w:pPr>
        <w:pStyle w:val="TF-TEXTO"/>
      </w:pPr>
      <w:r>
        <w:t>Segundo Saviani (2010), sistemas educacionais são organizações complexas, instaladas em diferentes países, com o propósito de articular diversas atividades voltadas para a realização dos objetivos educativos das respectivas populações</w:t>
      </w:r>
      <w:r w:rsidR="00AF5911">
        <w:t xml:space="preserve">. Além disso, </w:t>
      </w:r>
      <w:r>
        <w:t xml:space="preserve">o sistema educacional é a unidade dos vários organismos e serviços educacionais intencionalmente reunidos de modo a formar um conjunto coerente que opera eficazmente no processo educativo da população a que se destina. </w:t>
      </w:r>
      <w:r w:rsidR="00A93896">
        <w:t>Neste caso, de acordo com Saviani (201</w:t>
      </w:r>
      <w:r w:rsidR="00514353">
        <w:t>0</w:t>
      </w:r>
      <w:r w:rsidR="00A93896">
        <w:t>), o</w:t>
      </w:r>
      <w:r>
        <w:t xml:space="preserve"> Estado é o responsável da gestão e a regularização do sistema educativo, e deve garantir que o sistema inclua todas as pessoas.</w:t>
      </w:r>
    </w:p>
    <w:p w14:paraId="0596BDB4" w14:textId="611D41DC" w:rsidR="00094434" w:rsidRDefault="000B5E18" w:rsidP="00325D22">
      <w:pPr>
        <w:pStyle w:val="TF-TEXTO"/>
      </w:pPr>
      <w:r>
        <w:t xml:space="preserve">Para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p</w:t>
      </w:r>
      <w:r w:rsidR="00325D22">
        <w:t xml:space="preserve">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De acordo com De </w:t>
      </w:r>
      <w:proofErr w:type="spellStart"/>
      <w:r w:rsidR="00325D22">
        <w:t>Gooijer</w:t>
      </w:r>
      <w:proofErr w:type="spellEnd"/>
      <w:r w:rsidR="00325D22">
        <w:t xml:space="preserve"> e </w:t>
      </w:r>
      <w:proofErr w:type="spellStart"/>
      <w:r w:rsidR="00325D22">
        <w:t>Hyndman</w:t>
      </w:r>
      <w:proofErr w:type="spellEnd"/>
      <w:r w:rsidR="00325D22"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2FF07CF0" w14:textId="7934D44C" w:rsidR="007B1250" w:rsidRPr="007B1250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A análise de séries temporais envolve muitas técnicas, incluindo métodos de previsão baseados em modelos estatísticos, como o modelo ARIMA.</w:t>
      </w:r>
      <w:r w:rsidR="001C4132">
        <w:t xml:space="preserve"> Segundo os autores, ele </w:t>
      </w:r>
      <w:r w:rsidR="007B1250" w:rsidRPr="007B1250">
        <w:t xml:space="preserve">é um modelo estatístico amplamente utilizado para previsão de séries temporais.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</w:t>
      </w:r>
      <w:r w:rsidR="00462961">
        <w:t xml:space="preserve"> também apontam que o</w:t>
      </w:r>
      <w:r w:rsidR="007B1250" w:rsidRPr="007B1250">
        <w:t xml:space="preserve"> ARIMA é um modelo que combina elementos de modelos de regressão (AR - </w:t>
      </w:r>
      <w:proofErr w:type="spellStart"/>
      <w:r w:rsidR="007B1250" w:rsidRPr="007B1250">
        <w:t>Autoregressive</w:t>
      </w:r>
      <w:proofErr w:type="spellEnd"/>
      <w:r w:rsidR="007B1250" w:rsidRPr="007B1250">
        <w:t xml:space="preserve">) e modelos de média móvel (MA - Moving </w:t>
      </w:r>
      <w:proofErr w:type="spellStart"/>
      <w:r w:rsidR="007B1250" w:rsidRPr="007B1250">
        <w:t>Average</w:t>
      </w:r>
      <w:proofErr w:type="spellEnd"/>
      <w:r w:rsidR="007B1250" w:rsidRPr="007B1250">
        <w:t>) com a capacidade de lidar com tendências e sazonalidade presentes em muitas séries temporais.</w:t>
      </w:r>
    </w:p>
    <w:p w14:paraId="5955B5FA" w14:textId="24881F82" w:rsidR="003F0BFC" w:rsidRDefault="00821990" w:rsidP="003824FD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lastRenderedPageBreak/>
        <w:t>Referências</w:t>
      </w:r>
      <w:bookmarkEnd w:id="46"/>
    </w:p>
    <w:p w14:paraId="093ECF99" w14:textId="6A7CD1C1" w:rsidR="009C1E73" w:rsidRPr="00BE68DB" w:rsidRDefault="009C1E73" w:rsidP="009C1E73">
      <w:pPr>
        <w:pStyle w:val="TF-REFERNCIASITEM0"/>
      </w:pPr>
      <w:r w:rsidRPr="00BE68DB">
        <w:t xml:space="preserve">BODEWE, Robert-Jan. </w:t>
      </w:r>
      <w:proofErr w:type="spellStart"/>
      <w:r w:rsidRPr="00B90618">
        <w:rPr>
          <w:b/>
          <w:bCs/>
        </w:rPr>
        <w:t>Modelling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and</w:t>
      </w:r>
      <w:proofErr w:type="spellEnd"/>
      <w:r w:rsidRPr="00B90618">
        <w:rPr>
          <w:b/>
          <w:bCs/>
        </w:rPr>
        <w:t xml:space="preserve"> forecasting </w:t>
      </w:r>
      <w:proofErr w:type="spellStart"/>
      <w:r w:rsidRPr="00B90618">
        <w:rPr>
          <w:b/>
          <w:bCs/>
        </w:rPr>
        <w:t>higher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education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Demand</w:t>
      </w:r>
      <w:proofErr w:type="spellEnd"/>
      <w:r w:rsidRPr="00B90618">
        <w:rPr>
          <w:b/>
          <w:bCs/>
        </w:rPr>
        <w:t xml:space="preserve"> in </w:t>
      </w:r>
      <w:proofErr w:type="spellStart"/>
      <w:r w:rsidRPr="00B90618">
        <w:rPr>
          <w:b/>
          <w:bCs/>
        </w:rPr>
        <w:t>the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netherlands</w:t>
      </w:r>
      <w:proofErr w:type="spellEnd"/>
      <w:r w:rsidRPr="00BE68DB">
        <w:t xml:space="preserve">. 2022. Teste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BE68DB">
        <w:t xml:space="preserve">CRONE, </w:t>
      </w:r>
      <w:proofErr w:type="spellStart"/>
      <w:r w:rsidRPr="00BE68DB">
        <w:t>Sven</w:t>
      </w:r>
      <w:proofErr w:type="spellEnd"/>
      <w:r w:rsidRPr="00BE68DB">
        <w:t xml:space="preserve"> F.; KOURENTZES, </w:t>
      </w:r>
      <w:proofErr w:type="spellStart"/>
      <w:r w:rsidRPr="00BE68DB">
        <w:t>Nikolaos</w:t>
      </w:r>
      <w:proofErr w:type="spellEnd"/>
      <w:r w:rsidRPr="00BE68DB">
        <w:t xml:space="preserve">. </w:t>
      </w:r>
      <w:proofErr w:type="spellStart"/>
      <w:r w:rsidRPr="00BE68DB">
        <w:t>Feature</w:t>
      </w:r>
      <w:proofErr w:type="spellEnd"/>
      <w:r w:rsidRPr="00BE68DB">
        <w:t xml:space="preserve"> </w:t>
      </w:r>
      <w:proofErr w:type="spellStart"/>
      <w:r w:rsidRPr="00BE68DB">
        <w:t>selection</w:t>
      </w:r>
      <w:proofErr w:type="spellEnd"/>
      <w:r w:rsidRPr="00BE68DB">
        <w:t xml:space="preserve"> for time series </w:t>
      </w:r>
      <w:proofErr w:type="spellStart"/>
      <w:r w:rsidRPr="00BE68DB">
        <w:t>prediction</w:t>
      </w:r>
      <w:proofErr w:type="spellEnd"/>
      <w:r w:rsidRPr="00BE68DB">
        <w:t xml:space="preserve"> – a </w:t>
      </w:r>
      <w:proofErr w:type="spellStart"/>
      <w:r w:rsidRPr="00BE68DB">
        <w:t>combined</w:t>
      </w:r>
      <w:proofErr w:type="spellEnd"/>
      <w:r w:rsidRPr="00BE68DB">
        <w:t xml:space="preserve"> </w:t>
      </w:r>
      <w:proofErr w:type="spellStart"/>
      <w:r w:rsidRPr="00BE68DB">
        <w:rPr>
          <w:rFonts w:eastAsia="LNVRMD蠑ｫNimbusRomNo9L-Regu"/>
        </w:rPr>
        <w:t>fi</w:t>
      </w:r>
      <w:r w:rsidRPr="00BE68DB">
        <w:t>lter</w:t>
      </w:r>
      <w:proofErr w:type="spellEnd"/>
      <w:r w:rsidRPr="00BE68DB">
        <w:t xml:space="preserve"> </w:t>
      </w:r>
      <w:proofErr w:type="spellStart"/>
      <w:r w:rsidRPr="00BE68DB">
        <w:t>and</w:t>
      </w:r>
      <w:proofErr w:type="spellEnd"/>
      <w:r w:rsidRPr="00BE68DB">
        <w:t xml:space="preserve"> </w:t>
      </w:r>
      <w:proofErr w:type="spellStart"/>
      <w:r w:rsidRPr="00BE68DB">
        <w:t>wrapper</w:t>
      </w:r>
      <w:proofErr w:type="spellEnd"/>
      <w:r w:rsidRPr="00BE68DB">
        <w:t xml:space="preserve"> approach for neural networks. </w:t>
      </w:r>
      <w:proofErr w:type="spellStart"/>
      <w:r w:rsidRPr="006B33DF">
        <w:rPr>
          <w:b/>
          <w:bCs/>
        </w:rPr>
        <w:t>Neurocomputing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 xml:space="preserve">] v. 73, p. 1923-1936, Jun.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proofErr w:type="spellStart"/>
      <w:r w:rsidRPr="00BE68DB">
        <w:t>Higher</w:t>
      </w:r>
      <w:proofErr w:type="spellEnd"/>
      <w:r w:rsidRPr="00BE68DB">
        <w:t xml:space="preserve"> </w:t>
      </w:r>
      <w:proofErr w:type="spellStart"/>
      <w:r w:rsidRPr="00BE68DB">
        <w:t>Education</w:t>
      </w:r>
      <w:proofErr w:type="spellEnd"/>
      <w:r w:rsidRPr="00BE68DB">
        <w:t xml:space="preserve"> </w:t>
      </w:r>
      <w:proofErr w:type="spellStart"/>
      <w:r w:rsidRPr="00BE68DB">
        <w:t>Institution</w:t>
      </w:r>
      <w:proofErr w:type="spellEnd"/>
      <w:r w:rsidRPr="00BE68DB">
        <w:t xml:space="preserve"> (HEI) </w:t>
      </w:r>
      <w:proofErr w:type="spellStart"/>
      <w:r w:rsidRPr="00BE68DB">
        <w:t>Enrollment</w:t>
      </w:r>
      <w:proofErr w:type="spellEnd"/>
      <w:r w:rsidRPr="00BE68DB">
        <w:t xml:space="preserve"> Forecasting </w:t>
      </w:r>
      <w:proofErr w:type="spellStart"/>
      <w:r w:rsidRPr="00BE68DB">
        <w:t>Using</w:t>
      </w:r>
      <w:proofErr w:type="spellEnd"/>
      <w:r w:rsidRPr="00BE68DB">
        <w:t xml:space="preserve"> Data Mining </w:t>
      </w:r>
      <w:proofErr w:type="spellStart"/>
      <w:r w:rsidRPr="00BE68DB">
        <w:t>Technique</w:t>
      </w:r>
      <w:proofErr w:type="spellEnd"/>
      <w:r w:rsidRPr="00BE68DB">
        <w:t xml:space="preserve">. </w:t>
      </w:r>
      <w:proofErr w:type="spellStart"/>
      <w:r w:rsidRPr="00017A8E">
        <w:rPr>
          <w:b/>
          <w:bCs/>
        </w:rPr>
        <w:t>International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Journal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of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Advanced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Trends</w:t>
      </w:r>
      <w:proofErr w:type="spellEnd"/>
      <w:r w:rsidRPr="00017A8E">
        <w:rPr>
          <w:b/>
          <w:bCs/>
        </w:rPr>
        <w:t xml:space="preserve"> in Computer Science </w:t>
      </w:r>
      <w:proofErr w:type="spellStart"/>
      <w:r w:rsidRPr="00017A8E">
        <w:rPr>
          <w:b/>
          <w:bCs/>
        </w:rPr>
        <w:t>and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Engineering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>], v. 9, n. 2, Mar./Abr. 2020. Disponível em: https://doi.org/10.30534/ijatcse/2020/179922020. Acesso em: 24 mar. 2023.</w:t>
      </w:r>
    </w:p>
    <w:p w14:paraId="596DF5D5" w14:textId="77777777" w:rsidR="001B0245" w:rsidRPr="00BE68DB" w:rsidRDefault="001B0245" w:rsidP="001B0245">
      <w:pPr>
        <w:pStyle w:val="TF-REFERNCIASITEM0"/>
      </w:pPr>
      <w:r>
        <w:t>GARTNER</w:t>
      </w:r>
      <w:r w:rsidRPr="00B13EA5">
        <w:t>. In:</w:t>
      </w:r>
      <w:r>
        <w:t xml:space="preserve"> Gartner </w:t>
      </w:r>
      <w:proofErr w:type="spellStart"/>
      <w:r>
        <w:t>Glossary</w:t>
      </w:r>
      <w:proofErr w:type="spellEnd"/>
      <w:r w:rsidRPr="00B13EA5">
        <w:t>. [</w:t>
      </w:r>
      <w:proofErr w:type="spellStart"/>
      <w:r w:rsidRPr="00B13EA5">
        <w:t>S.</w:t>
      </w:r>
      <w:r>
        <w:t>l</w:t>
      </w:r>
      <w:proofErr w:type="spellEnd"/>
      <w:r w:rsidRPr="00B13EA5">
        <w:t xml:space="preserve">]: </w:t>
      </w:r>
      <w:r>
        <w:t>Gartner</w:t>
      </w:r>
      <w:r w:rsidRPr="00B13EA5">
        <w:t>, 2023. Disponível em: https://www.gartner.com/en/information-technology/glossary/predictive-modeling. Acesso em</w:t>
      </w:r>
      <w:r>
        <w:t>:</w:t>
      </w:r>
      <w:r w:rsidRPr="00B13EA5">
        <w:t xml:space="preserve"> 23 abr. 2023.</w:t>
      </w:r>
    </w:p>
    <w:p w14:paraId="2F012670" w14:textId="70C2B91E" w:rsidR="00B25A09" w:rsidRPr="00BE68DB" w:rsidRDefault="00B25A09" w:rsidP="00BE68DB">
      <w:pPr>
        <w:pStyle w:val="TF-REFERNCIASITEM0"/>
      </w:pPr>
      <w:r w:rsidRPr="00BE68DB">
        <w:t xml:space="preserve">GOOIJER, Jan G.; HYNDMAN, Rob J. </w:t>
      </w:r>
      <w:r w:rsidRPr="00B90618">
        <w:t xml:space="preserve">25 Years </w:t>
      </w:r>
      <w:proofErr w:type="spellStart"/>
      <w:r w:rsidRPr="00B90618">
        <w:t>of</w:t>
      </w:r>
      <w:proofErr w:type="spellEnd"/>
      <w:r w:rsidRPr="00B90618">
        <w:t xml:space="preserve"> Time Series Forecasting. </w:t>
      </w:r>
      <w:proofErr w:type="spellStart"/>
      <w:r w:rsidRPr="00B90618">
        <w:rPr>
          <w:b/>
          <w:bCs/>
        </w:rPr>
        <w:t>International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Journal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of</w:t>
      </w:r>
      <w:proofErr w:type="spellEnd"/>
      <w:r w:rsidRPr="00B90618">
        <w:rPr>
          <w:b/>
          <w:bCs/>
        </w:rPr>
        <w:t xml:space="preserve"> Forecasting</w:t>
      </w:r>
      <w:r w:rsidRPr="00BE68DB">
        <w:t>, Jan. 2006. Disponível em: https://www.robjhyndman.com/papers/ijf25.pdf. Acesso em: 23 abr. 2023.</w:t>
      </w:r>
    </w:p>
    <w:p w14:paraId="5A2C709A" w14:textId="77777777" w:rsidR="00B25A09" w:rsidRDefault="00B25A09" w:rsidP="00BE68DB">
      <w:pPr>
        <w:pStyle w:val="TF-REFERNCIASITEM0"/>
      </w:pPr>
      <w:r w:rsidRPr="00BE68DB">
        <w:t xml:space="preserve">HYNDMAN, Rob J; ATHANASOPOULOS, George. </w:t>
      </w:r>
      <w:r w:rsidRPr="00017A8E">
        <w:rPr>
          <w:b/>
          <w:bCs/>
        </w:rPr>
        <w:t xml:space="preserve">Forecasting: </w:t>
      </w:r>
      <w:proofErr w:type="spellStart"/>
      <w:r w:rsidRPr="00017A8E">
        <w:rPr>
          <w:b/>
          <w:bCs/>
        </w:rPr>
        <w:t>Principles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and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Practice</w:t>
      </w:r>
      <w:proofErr w:type="spellEnd"/>
      <w:r w:rsidRPr="00BE68DB">
        <w:t xml:space="preserve">. 2. ed. [S. l.]: </w:t>
      </w:r>
      <w:proofErr w:type="spellStart"/>
      <w:r w:rsidRPr="00BE68DB">
        <w:t>OTexts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511C2E9C" w14:textId="77777777" w:rsidR="009C1E73" w:rsidRDefault="009C1E73" w:rsidP="009C1E73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[S.I], 2020. Disponível em: https://www.gov.br/inep/pt-br/acesso-a-informacao/dados-abertos/inep-data/consulta-matricula. Acesso em: 13 maio 2023.</w:t>
      </w:r>
    </w:p>
    <w:p w14:paraId="4134FBD3" w14:textId="6FFBE1D1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r w:rsidR="00B66108" w:rsidRPr="00BE68DB">
        <w:t>Maio/Ago</w:t>
      </w:r>
      <w:r w:rsidRPr="00BE68DB">
        <w:t xml:space="preserve">. 2020. </w:t>
      </w:r>
    </w:p>
    <w:p w14:paraId="0D2CA029" w14:textId="7006D4F6" w:rsidR="009C1E73" w:rsidRPr="00BE68DB" w:rsidRDefault="009C1E73" w:rsidP="009C1E73">
      <w:pPr>
        <w:pStyle w:val="TF-REFERNCIASITEM0"/>
      </w:pPr>
      <w:r w:rsidRPr="00BE68DB">
        <w:t xml:space="preserve">NEVES, Alan Vítor Coelho; RIGOTTI, José Irineu Rangel. Projeções de matrículas: análise e validação de métodos aplicados para o sistema educacional brasileiro. In: Anais do XXI Encontro Nacional de Estudos Populacionais, 2018, [S.I].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5187D019" w:rsidR="00B25A09" w:rsidRPr="00BE68DB" w:rsidRDefault="00B25A09" w:rsidP="00BE68DB">
      <w:pPr>
        <w:pStyle w:val="TF-REFERNCIASITEM0"/>
      </w:pPr>
      <w:r w:rsidRPr="00BE68DB">
        <w:t xml:space="preserve">PIVA, Guilhermo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 xml:space="preserve">. 2021. Dissertação (Mestrado em Engenharia de Produção.) - Universidade de Caxias do Sul, [S. l.],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0FAE7FE2" w14:textId="6FEF935D" w:rsidR="00B25A09" w:rsidRPr="00BE68DB" w:rsidRDefault="00B25A09" w:rsidP="00BE68DB">
      <w:pPr>
        <w:pStyle w:val="TF-REFERNCIASITEM0"/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n. 103, p. 90-271, Jun. 2019. Disponível em: https://www.scielo.br/j/ensaio/a/jFQH8xLn3TRvn964X7HCD6f/?lang=pt. Acesso em: 23 abr. 2023.</w:t>
      </w:r>
    </w:p>
    <w:p w14:paraId="5CAD5FD1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10DA" w14:textId="77777777" w:rsidR="004E72EF" w:rsidRDefault="004E72EF">
      <w:r>
        <w:separator/>
      </w:r>
    </w:p>
  </w:endnote>
  <w:endnote w:type="continuationSeparator" w:id="0">
    <w:p w14:paraId="317D26BB" w14:textId="77777777" w:rsidR="004E72EF" w:rsidRDefault="004E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8C0F" w14:textId="77777777" w:rsidR="004E72EF" w:rsidRDefault="004E72EF">
      <w:r>
        <w:separator/>
      </w:r>
    </w:p>
  </w:footnote>
  <w:footnote w:type="continuationSeparator" w:id="0">
    <w:p w14:paraId="23859587" w14:textId="77777777" w:rsidR="004E72EF" w:rsidRDefault="004E7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7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5"/>
  </w:num>
  <w:num w:numId="13" w16cid:durableId="2115395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8"/>
  </w:num>
  <w:num w:numId="16" w16cid:durableId="20989406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8"/>
  </w:num>
  <w:num w:numId="18" w16cid:durableId="127474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4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64FE"/>
    <w:rsid w:val="00121714"/>
    <w:rsid w:val="00125084"/>
    <w:rsid w:val="00125277"/>
    <w:rsid w:val="001315BB"/>
    <w:rsid w:val="001375F7"/>
    <w:rsid w:val="00143270"/>
    <w:rsid w:val="00145D1F"/>
    <w:rsid w:val="001554E9"/>
    <w:rsid w:val="00161020"/>
    <w:rsid w:val="00162BF1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12CEA"/>
    <w:rsid w:val="00315DC3"/>
    <w:rsid w:val="00320BFA"/>
    <w:rsid w:val="0032378D"/>
    <w:rsid w:val="003255B3"/>
    <w:rsid w:val="00325D22"/>
    <w:rsid w:val="00327537"/>
    <w:rsid w:val="003323B0"/>
    <w:rsid w:val="00332A90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64C3"/>
    <w:rsid w:val="00410543"/>
    <w:rsid w:val="00410D18"/>
    <w:rsid w:val="00414AB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B1A"/>
    <w:rsid w:val="0049495C"/>
    <w:rsid w:val="00497EF6"/>
    <w:rsid w:val="004B11D5"/>
    <w:rsid w:val="004B42D8"/>
    <w:rsid w:val="004B45AE"/>
    <w:rsid w:val="004B6B8F"/>
    <w:rsid w:val="004B7511"/>
    <w:rsid w:val="004B7D12"/>
    <w:rsid w:val="004C0A73"/>
    <w:rsid w:val="004C11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6460"/>
    <w:rsid w:val="006B0760"/>
    <w:rsid w:val="006B104E"/>
    <w:rsid w:val="006B33DF"/>
    <w:rsid w:val="006B50DB"/>
    <w:rsid w:val="006B5AEA"/>
    <w:rsid w:val="006B6383"/>
    <w:rsid w:val="006B640D"/>
    <w:rsid w:val="006C61FA"/>
    <w:rsid w:val="006C71D5"/>
    <w:rsid w:val="006D0896"/>
    <w:rsid w:val="006D0D73"/>
    <w:rsid w:val="006D2982"/>
    <w:rsid w:val="006E25D2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8C3"/>
    <w:rsid w:val="008373B4"/>
    <w:rsid w:val="008404C4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212E8"/>
    <w:rsid w:val="00925004"/>
    <w:rsid w:val="009261DE"/>
    <w:rsid w:val="00931632"/>
    <w:rsid w:val="00932C92"/>
    <w:rsid w:val="009353AD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D0C0B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5287"/>
    <w:rsid w:val="00B25A09"/>
    <w:rsid w:val="00B322E9"/>
    <w:rsid w:val="00B42041"/>
    <w:rsid w:val="00B43FBF"/>
    <w:rsid w:val="00B44F11"/>
    <w:rsid w:val="00B47F4E"/>
    <w:rsid w:val="00B51846"/>
    <w:rsid w:val="00B60B17"/>
    <w:rsid w:val="00B62979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E4FFC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A108B"/>
    <w:rsid w:val="00CA55A5"/>
    <w:rsid w:val="00CA6CDB"/>
    <w:rsid w:val="00CB5D0C"/>
    <w:rsid w:val="00CB5E13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23CE"/>
    <w:rsid w:val="00D52A8C"/>
    <w:rsid w:val="00D53CFA"/>
    <w:rsid w:val="00D6225A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7992"/>
    <w:rsid w:val="00EC0104"/>
    <w:rsid w:val="00EC0184"/>
    <w:rsid w:val="00EC2D7A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30D7"/>
    <w:rsid w:val="00F541E6"/>
    <w:rsid w:val="00F54DDE"/>
    <w:rsid w:val="00F62F49"/>
    <w:rsid w:val="00F640BF"/>
    <w:rsid w:val="00F70754"/>
    <w:rsid w:val="00F77926"/>
    <w:rsid w:val="00F83A19"/>
    <w:rsid w:val="00F879A1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4062</Words>
  <Characters>21935</Characters>
  <Application>Microsoft Office Word</Application>
  <DocSecurity>0</DocSecurity>
  <Lines>182</Lines>
  <Paragraphs>51</Paragraphs>
  <ScaleCrop>false</ScaleCrop>
  <Company>Universidade Regional de Blumenau (FURB)</Company>
  <LinksUpToDate>false</LinksUpToDate>
  <CharactersWithSpaces>25946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Rossana Ariadna Schumann Dullius</cp:lastModifiedBy>
  <cp:revision>5</cp:revision>
  <cp:lastPrinted>2023-04-24T01:47:00Z</cp:lastPrinted>
  <dcterms:created xsi:type="dcterms:W3CDTF">2023-05-17T11:35:00Z</dcterms:created>
  <dcterms:modified xsi:type="dcterms:W3CDTF">2023-05-18T01:42:00Z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