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r>
              <w:rPr>
                <w:rStyle w:val="Nmerodepgina"/>
              </w:rPr>
              <w:t xml:space="preserve">( </w:t>
            </w:r>
            <w:r w:rsidR="004B4724">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41EEA2CC"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Eixo de Formação: 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A7BD2FC"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destacar 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 xml:space="preserve">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72362356"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0" w:name="_Hlk163382965"/>
      <w:r w:rsidR="00022E60">
        <w:fldChar w:fldCharType="begin"/>
      </w:r>
      <w:r w:rsidR="00022E60">
        <w:instrText xml:space="preserve"> REF _Ref162680986 \h </w:instrText>
      </w:r>
      <w:r w:rsidR="00022E60">
        <w:fldChar w:fldCharType="separate"/>
      </w:r>
      <w:r w:rsidR="00022E60" w:rsidRPr="006A0073">
        <w:rPr>
          <w:sz w:val="20"/>
        </w:rPr>
        <w:t xml:space="preserve">Figura </w:t>
      </w:r>
      <w:r w:rsidR="00022E60" w:rsidRPr="006A0073">
        <w:rPr>
          <w:noProof/>
          <w:sz w:val="20"/>
        </w:rPr>
        <w:t>1</w:t>
      </w:r>
      <w:r w:rsidR="00022E60">
        <w:fldChar w:fldCharType="end"/>
      </w:r>
      <w:r w:rsidR="00614B94">
        <w:t xml:space="preserve"> (a)</w:t>
      </w:r>
      <w:bookmarkEnd w:id="10"/>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proofErr w:type="spellStart"/>
      <w:r w:rsidR="00614B94">
        <w:t>pdf</w:t>
      </w:r>
      <w:proofErr w:type="spellEnd"/>
      <w:r w:rsidR="00614B94">
        <w:t xml:space="preserve">. Veiga (2024) também tem um controle mínimo de vendas, porém não é sempre faz as devidas anotações, já que a maioria das movimentações está em sua cabeça, ilustrado na </w:t>
      </w:r>
      <w:r w:rsidR="00614B94">
        <w:fldChar w:fldCharType="begin"/>
      </w:r>
      <w:r w:rsidR="00614B94">
        <w:instrText xml:space="preserve"> REF _Ref162680986 \h </w:instrText>
      </w:r>
      <w:r w:rsidR="00614B94">
        <w:fldChar w:fldCharType="separate"/>
      </w:r>
      <w:r w:rsidR="00614B94" w:rsidRPr="006A0073">
        <w:rPr>
          <w:sz w:val="20"/>
        </w:rPr>
        <w:t xml:space="preserve">Figura </w:t>
      </w:r>
      <w:r w:rsidR="00614B94" w:rsidRPr="006A0073">
        <w:rPr>
          <w:noProof/>
          <w:sz w:val="20"/>
        </w:rPr>
        <w:t>1</w:t>
      </w:r>
      <w:r w:rsidR="00614B94">
        <w:fldChar w:fldCharType="end"/>
      </w:r>
      <w:r w:rsidR="00614B94">
        <w:t xml:space="preserve"> (b).</w:t>
      </w:r>
    </w:p>
    <w:p w14:paraId="4F020515" w14:textId="636B68B4"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Default="00614B94" w:rsidP="00F54E29">
      <w:pPr>
        <w:pStyle w:val="TF-FONTE"/>
        <w:spacing w:after="240"/>
        <w:jc w:val="both"/>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1C3A14">
        <w:t xml:space="preserve">Fonte: Veiga </w:t>
      </w:r>
      <w:r w:rsidR="001C3A14">
        <w:t>(</w:t>
      </w:r>
      <w:r w:rsidR="00022E60" w:rsidRPr="001C3A14">
        <w:t>2024</w:t>
      </w:r>
      <w:r w:rsidR="001C3A14">
        <w:t>)</w:t>
      </w:r>
      <w:r w:rsidR="00002359">
        <w:t>.</w:t>
      </w:r>
    </w:p>
    <w:p w14:paraId="57449140" w14:textId="4045DADA" w:rsidR="001C3A14" w:rsidRDefault="00184140" w:rsidP="00CF2B67">
      <w:pPr>
        <w:pStyle w:val="TF-TEXTO"/>
      </w:pPr>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 xml:space="preserve">(2020), os ciclos de BPM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13"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13"/>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14"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5" w:name="_Hlk163292640"/>
      <w:r w:rsidR="000D54C3" w:rsidRPr="000D54C3">
        <w:t>Qual é a melhor estratégia e metodologia para criar um sistema de informação</w:t>
      </w:r>
      <w:r w:rsidR="000D54C3">
        <w:t xml:space="preserve"> eficiente e prático,</w:t>
      </w:r>
      <w:r w:rsidR="000D54C3" w:rsidRPr="000D54C3">
        <w:t xml:space="preserve"> que auxilie a </w:t>
      </w:r>
      <w:proofErr w:type="spellStart"/>
      <w:r w:rsidR="000D54C3" w:rsidRPr="000D54C3">
        <w:t>Ellem</w:t>
      </w:r>
      <w:proofErr w:type="spellEnd"/>
      <w:r w:rsidR="000D54C3" w:rsidRPr="000D54C3">
        <w:t xml:space="preserve"> Veiga em sua gestão?</w:t>
      </w:r>
      <w:bookmarkEnd w:id="15"/>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 xml:space="preserve">TO-BE do BPM, propondo possíveis melhorias para aprimorar o processo; e, por fim, 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w:t>
      </w:r>
      <w:proofErr w:type="spellStart"/>
      <w:r w:rsidR="000F762B">
        <w:t>User</w:t>
      </w:r>
      <w:proofErr w:type="spellEnd"/>
      <w:r w:rsidR="000F762B">
        <w:t xml:space="preserve">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6" w:name="_Toc419598587"/>
      <w:bookmarkEnd w:id="14"/>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7" w:name="_Ref131264473"/>
      <w:r>
        <w:t>Revisão Bibliográfica</w:t>
      </w:r>
      <w:bookmarkEnd w:id="17"/>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18" w:name="_Ref163379937"/>
      <w:r>
        <w:t>Gestão de clientes e fluxo de caixa</w:t>
      </w:r>
      <w:bookmarkEnd w:id="18"/>
    </w:p>
    <w:p w14:paraId="34295996" w14:textId="46FC3CA7" w:rsidR="00216C8F" w:rsidRDefault="00216C8F" w:rsidP="00216C8F">
      <w:pPr>
        <w:pStyle w:val="TF-TEXTO"/>
      </w:pPr>
      <w:bookmarkStart w:id="19"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20" w:name="_Ref131264140"/>
      <w:bookmarkStart w:id="21" w:name="_Ref163379949"/>
      <w:bookmarkEnd w:id="19"/>
      <w:r w:rsidRPr="0056239F">
        <w:rPr>
          <w:lang w:val="en-US"/>
        </w:rPr>
        <w:t>Business Process Management</w:t>
      </w:r>
      <w:bookmarkEnd w:id="20"/>
      <w:r w:rsidR="008E5E0D">
        <w:rPr>
          <w:lang w:val="en-US"/>
        </w:rPr>
        <w:t xml:space="preserve"> </w:t>
      </w:r>
      <w:r w:rsidR="008E5E0D" w:rsidRPr="0056239F">
        <w:rPr>
          <w:lang w:val="en-US"/>
        </w:rPr>
        <w:t xml:space="preserve">e as </w:t>
      </w:r>
      <w:proofErr w:type="spellStart"/>
      <w:r w:rsidR="008E5E0D" w:rsidRPr="0056239F">
        <w:rPr>
          <w:lang w:val="en-US"/>
        </w:rPr>
        <w:t>etapas</w:t>
      </w:r>
      <w:proofErr w:type="spellEnd"/>
      <w:r w:rsidR="008E5E0D" w:rsidRPr="0056239F">
        <w:rPr>
          <w:lang w:val="en-US"/>
        </w:rPr>
        <w:t xml:space="preserve"> AS-IS/TO-BE</w:t>
      </w:r>
      <w:bookmarkEnd w:id="21"/>
    </w:p>
    <w:p w14:paraId="532A4A72" w14:textId="393AAB8E" w:rsidR="009C5853" w:rsidRDefault="009C5853" w:rsidP="009C5853">
      <w:pPr>
        <w:pStyle w:val="TF-TEXTO"/>
      </w:pPr>
      <w:bookmarkStart w:id="22"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23" w:name="_Ref163379962"/>
      <w:bookmarkStart w:id="24" w:name="_Ref131264206"/>
      <w:bookmarkEnd w:id="22"/>
      <w:r>
        <w:t>Prototipação</w:t>
      </w:r>
      <w:bookmarkEnd w:id="23"/>
    </w:p>
    <w:p w14:paraId="4070E5C0" w14:textId="596B21C8" w:rsidR="009C5853" w:rsidRDefault="009C5853" w:rsidP="009C5853">
      <w:pPr>
        <w:pStyle w:val="TF-TEXTO"/>
      </w:pPr>
      <w:r>
        <w:t xml:space="preserve">Um protótipo pode ser definido como um modelo físico real parecido com o </w:t>
      </w:r>
      <w:proofErr w:type="gramStart"/>
      <w:r>
        <w:t>produto final</w:t>
      </w:r>
      <w:proofErr w:type="gramEnd"/>
      <w:r>
        <w:t xml:space="preserve"> (</w:t>
      </w:r>
      <w:proofErr w:type="spellStart"/>
      <w:r>
        <w:t>Wiltgen</w:t>
      </w:r>
      <w:proofErr w:type="spellEnd"/>
      <w:r>
        <w:t xml:space="preserve">, 2019). </w:t>
      </w:r>
      <w:proofErr w:type="spellStart"/>
      <w:r>
        <w:t>Wiltgen</w:t>
      </w:r>
      <w:proofErr w:type="spellEnd"/>
      <w:r>
        <w:t xml:space="preserve"> (2019) esclarece que </w:t>
      </w:r>
      <w:r w:rsidR="00515723">
        <w:t>se pode</w:t>
      </w:r>
      <w:r>
        <w:t xml:space="preserve"> utilizar materiais mais simples para a confecção do protótipo, como caneta e papel e de acordo com a evolução do projeto, deve ser utilizado um material mais próximo do </w:t>
      </w:r>
      <w:proofErr w:type="gramStart"/>
      <w:r>
        <w:t>produto final</w:t>
      </w:r>
      <w:proofErr w:type="gramEnd"/>
      <w:r>
        <w:t>,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Segundo </w:t>
      </w:r>
      <w:r w:rsidRPr="00E52E2A">
        <w:t>C</w:t>
      </w:r>
      <w:r>
        <w:t>astro,</w:t>
      </w:r>
      <w:r w:rsidRPr="00E52E2A">
        <w:t xml:space="preserve"> M</w:t>
      </w:r>
      <w:r>
        <w:t>aciel e</w:t>
      </w:r>
      <w:r w:rsidRPr="00E52E2A">
        <w:t xml:space="preserve"> </w:t>
      </w:r>
      <w:proofErr w:type="spellStart"/>
      <w:r w:rsidRPr="00E52E2A">
        <w:t>M</w:t>
      </w:r>
      <w:r>
        <w:t>aieski</w:t>
      </w:r>
      <w:proofErr w:type="spellEnd"/>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w:t>
      </w:r>
      <w:proofErr w:type="spellStart"/>
      <w:r>
        <w:t>Maieski</w:t>
      </w:r>
      <w:proofErr w:type="spellEnd"/>
      <w:r>
        <w:t xml:space="preserve">,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w:t>
      </w:r>
      <w:proofErr w:type="spellStart"/>
      <w:r>
        <w:t>Maieski</w:t>
      </w:r>
      <w:proofErr w:type="spellEnd"/>
      <w:r>
        <w:t xml:space="preserve">, 2022). </w:t>
      </w:r>
    </w:p>
    <w:p w14:paraId="21D7C452" w14:textId="559047D7" w:rsidR="00586FCC" w:rsidRDefault="008E5E0D" w:rsidP="00452285">
      <w:pPr>
        <w:pStyle w:val="Ttulo3"/>
      </w:pPr>
      <w:bookmarkStart w:id="25" w:name="_Ref163379975"/>
      <w:bookmarkEnd w:id="24"/>
      <w:r>
        <w:t>Interfaces amigáveis</w:t>
      </w:r>
      <w:bookmarkEnd w:id="25"/>
    </w:p>
    <w:p w14:paraId="306748AC" w14:textId="02FB338D" w:rsidR="009C5853" w:rsidRDefault="009F7B3A" w:rsidP="009F7B3A">
      <w:pPr>
        <w:pStyle w:val="TF-TEXTO"/>
        <w:rPr>
          <w:sz w:val="23"/>
          <w:szCs w:val="23"/>
        </w:rPr>
      </w:pPr>
      <w:bookmarkStart w:id="26"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 xml:space="preserve">a todos os usuários é necessário evitar problemas de usabilidade, </w:t>
      </w:r>
      <w:proofErr w:type="spellStart"/>
      <w:r w:rsidR="00BB5A89">
        <w:rPr>
          <w:sz w:val="23"/>
          <w:szCs w:val="23"/>
        </w:rPr>
        <w:t>User</w:t>
      </w:r>
      <w:proofErr w:type="spellEnd"/>
      <w:r w:rsidR="00BB5A89">
        <w:rPr>
          <w:sz w:val="23"/>
          <w:szCs w:val="23"/>
        </w:rPr>
        <w:t xml:space="preserve">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Pr>
          <w:sz w:val="23"/>
          <w:szCs w:val="23"/>
        </w:rPr>
        <w:t xml:space="preserve">. Godoy, Ferreira e </w:t>
      </w:r>
      <w:proofErr w:type="spellStart"/>
      <w:r>
        <w:rPr>
          <w:sz w:val="23"/>
          <w:szCs w:val="23"/>
        </w:rPr>
        <w:t>Cinelli</w:t>
      </w:r>
      <w:proofErr w:type="spellEnd"/>
      <w:r>
        <w:rPr>
          <w:sz w:val="23"/>
          <w:szCs w:val="23"/>
        </w:rPr>
        <w:t xml:space="preserve">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158EB46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 xml:space="preserve">Oliveira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7" w:name="_Ref131264540"/>
      <w:bookmarkEnd w:id="26"/>
      <w:r w:rsidRPr="00FC4A9F">
        <w:t>Correlatos</w:t>
      </w:r>
      <w:bookmarkEnd w:id="27"/>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w:t>
      </w:r>
      <w:r w:rsidR="009243EB">
        <w:t xml:space="preserve">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8"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8"/>
      <w:r>
        <w:t>Dessa forma, foi elaborada a QP: Quais sistemas ou ferramentas que auxiliam empresas de confecção de roupas na gestão de suas atividades?</w:t>
      </w:r>
    </w:p>
    <w:p w14:paraId="7A0B3D08" w14:textId="7DFBCFDE"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acessibilidade seu</w:t>
      </w:r>
      <w:r>
        <w:t xml:space="preserve"> tema principal, além de serem </w:t>
      </w:r>
      <w:r w:rsidR="0047099F">
        <w:t>compatíveis da</w:t>
      </w:r>
      <w:r>
        <w:t xml:space="preserve"> compatibilidade 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apud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29" w:name="_Ref130730716"/>
      <w:bookmarkStart w:id="30" w:name="_Ref131095531"/>
      <w:r>
        <w:t xml:space="preserve">Tabela </w:t>
      </w:r>
      <w:r>
        <w:fldChar w:fldCharType="begin"/>
      </w:r>
      <w:r>
        <w:instrText>SEQ Tabela \* ARABIC</w:instrText>
      </w:r>
      <w:r>
        <w:fldChar w:fldCharType="separate"/>
      </w:r>
      <w:r w:rsidR="00CB69AC">
        <w:rPr>
          <w:noProof/>
        </w:rPr>
        <w:t>1</w:t>
      </w:r>
      <w:r>
        <w:fldChar w:fldCharType="end"/>
      </w:r>
      <w:bookmarkEnd w:id="29"/>
      <w:r>
        <w:t xml:space="preserve"> - </w:t>
      </w:r>
      <w:r w:rsidRPr="00F3448E">
        <w:t>Critérios de Inclusão</w:t>
      </w:r>
      <w:bookmarkEnd w:id="30"/>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23FD3707"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t xml:space="preserve">Tabela </w:t>
      </w:r>
      <w:r>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31" w:name="_Ref130730929"/>
      <w:r>
        <w:t xml:space="preserve">Tabela </w:t>
      </w:r>
      <w:r>
        <w:fldChar w:fldCharType="begin"/>
      </w:r>
      <w:r>
        <w:instrText>SEQ Tabela \* ARABIC</w:instrText>
      </w:r>
      <w:r>
        <w:fldChar w:fldCharType="separate"/>
      </w:r>
      <w:r w:rsidR="00CB69AC">
        <w:rPr>
          <w:noProof/>
        </w:rPr>
        <w:t>2</w:t>
      </w:r>
      <w:r>
        <w:fldChar w:fldCharType="end"/>
      </w:r>
      <w:bookmarkEnd w:id="31"/>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32" w:name="_Ref130731672"/>
      <w:r>
        <w:t xml:space="preserve">Quadro </w:t>
      </w:r>
      <w:r>
        <w:fldChar w:fldCharType="begin"/>
      </w:r>
      <w:r>
        <w:instrText>SEQ Quadro \* ARABIC</w:instrText>
      </w:r>
      <w:r>
        <w:fldChar w:fldCharType="separate"/>
      </w:r>
      <w:r w:rsidR="00CB69AC">
        <w:rPr>
          <w:noProof/>
        </w:rPr>
        <w:t>1</w:t>
      </w:r>
      <w:r>
        <w:fldChar w:fldCharType="end"/>
      </w:r>
      <w:bookmarkEnd w:id="32"/>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CF2B67" w:rsidRDefault="002063F6" w:rsidP="002063F6">
            <w:pPr>
              <w:pStyle w:val="TF-TEXTOQUADRO"/>
              <w:jc w:val="center"/>
              <w:rPr>
                <w:sz w:val="18"/>
                <w:szCs w:val="18"/>
                <w:lang w:val="en-US"/>
              </w:rPr>
            </w:pPr>
          </w:p>
          <w:p w14:paraId="139EC02B" w14:textId="77777777" w:rsidR="002063F6" w:rsidRPr="00CF2B67" w:rsidRDefault="002063F6" w:rsidP="002063F6">
            <w:pPr>
              <w:jc w:val="center"/>
              <w:rPr>
                <w:sz w:val="18"/>
                <w:szCs w:val="18"/>
                <w:lang w:val="en-US"/>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1060F1F8" w:rsidR="008A35C6" w:rsidRPr="00BE7AB9" w:rsidRDefault="00EC5D91" w:rsidP="00EC5D91">
      <w:pPr>
        <w:pStyle w:val="TF-TEXTO"/>
      </w:pPr>
      <w:r w:rsidRPr="00EC5D91">
        <w:t xml:space="preserve">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w:t>
      </w:r>
      <w:r w:rsidRPr="00EC5D91">
        <w:lastRenderedPageBreak/>
        <w:t xml:space="preserve">etc. Além disso, todos os seus módulos são integrados e acessíveis também por dispositivo móvel. Por fim, o </w:t>
      </w:r>
      <w:proofErr w:type="spellStart"/>
      <w:r w:rsidRPr="00EC5D91">
        <w:t>Microvix</w:t>
      </w:r>
      <w:proofErr w:type="spellEnd"/>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16"/>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vendas da empresa </w:t>
      </w:r>
      <w:proofErr w:type="spellStart"/>
      <w:r>
        <w:t>Ellem</w:t>
      </w:r>
      <w:proofErr w:type="spellEnd"/>
      <w:r>
        <w:t xml:space="preserve">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w:t>
      </w:r>
      <w:proofErr w:type="spellStart"/>
      <w:r>
        <w:t>Ellem</w:t>
      </w:r>
      <w:proofErr w:type="spellEnd"/>
      <w:r>
        <w:t xml:space="preserve">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40" w:name="_Toc351015602"/>
      <w:bookmarkEnd w:id="33"/>
      <w:bookmarkEnd w:id="34"/>
      <w:bookmarkEnd w:id="35"/>
      <w:bookmarkEnd w:id="36"/>
      <w:bookmarkEnd w:id="37"/>
      <w:bookmarkEnd w:id="38"/>
      <w:bookmarkEnd w:id="39"/>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4B7F2E55"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funcionais (RNF) e das Regras de Negócio (RN), </w:t>
      </w:r>
      <w:r>
        <w:t>bem como pela</w:t>
      </w:r>
      <w:r w:rsidRPr="007103AA">
        <w:t xml:space="preserve"> elaboração de </w:t>
      </w:r>
      <w:proofErr w:type="spellStart"/>
      <w:r>
        <w:t>U</w:t>
      </w:r>
      <w:r w:rsidRPr="00CF2B67">
        <w:t>ser</w:t>
      </w:r>
      <w:proofErr w:type="spellEnd"/>
      <w:r w:rsidRPr="00CF2B67">
        <w:t xml:space="preserve"> </w:t>
      </w:r>
      <w:r>
        <w:t>C</w:t>
      </w:r>
      <w:r w:rsidRPr="00CF2B67">
        <w:t>ase</w:t>
      </w:r>
      <w:r>
        <w:t xml:space="preserve"> (UC) e de </w:t>
      </w:r>
      <w:r w:rsidRPr="007103AA">
        <w:t xml:space="preserve">diagramas </w:t>
      </w:r>
      <w:r>
        <w:t>d</w:t>
      </w:r>
      <w:r w:rsidRPr="007103AA">
        <w:t xml:space="preserve">a Linguagem de Modelagem Unificada (UML), utilizando a ferramenta </w:t>
      </w:r>
      <w:r>
        <w:t xml:space="preserve">Draw.io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proofErr w:type="spellStart"/>
      <w:r w:rsidRPr="007103AA">
        <w:t>Bizagi</w:t>
      </w:r>
      <w:proofErr w:type="spellEnd"/>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4157A5" w:rsidRPr="004157A5">
        <w:t>.</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40"/>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w:t>
      </w:r>
      <w:proofErr w:type="spellStart"/>
      <w:r w:rsidRPr="00CF2B67">
        <w:t>Nrsystem</w:t>
      </w:r>
      <w:proofErr w:type="spellEnd"/>
      <w:r w:rsidRPr="00CF2B67">
        <w:t xml:space="preserve">.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Erbs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CF2B67">
        <w:t xml:space="preserve">FREITAS, H. R. </w:t>
      </w:r>
      <w:proofErr w:type="spellStart"/>
      <w:r w:rsidRPr="00F65D88">
        <w:rPr>
          <w:b/>
          <w:bCs/>
        </w:rPr>
        <w:t>heRcules</w:t>
      </w:r>
      <w:proofErr w:type="spellEnd"/>
      <w:r w:rsidRPr="00CF2B67">
        <w:t xml:space="preserve">: A </w:t>
      </w:r>
      <w:proofErr w:type="spellStart"/>
      <w:r w:rsidRPr="00CF2B67">
        <w:t>repository</w:t>
      </w:r>
      <w:proofErr w:type="spellEnd"/>
      <w:r w:rsidRPr="00CF2B67">
        <w:t xml:space="preserve"> for </w:t>
      </w:r>
      <w:proofErr w:type="spellStart"/>
      <w:r w:rsidRPr="00CF2B67">
        <w:t>annotated</w:t>
      </w:r>
      <w:proofErr w:type="spellEnd"/>
      <w:r w:rsidRPr="00CF2B67">
        <w:t xml:space="preserve"> R scripts in </w:t>
      </w:r>
      <w:proofErr w:type="spellStart"/>
      <w:r w:rsidRPr="00CF2B67">
        <w:t>Portuguese</w:t>
      </w:r>
      <w:proofErr w:type="spellEnd"/>
      <w:r w:rsidRPr="00CF2B67">
        <w:t xml:space="preserve"> for </w:t>
      </w:r>
      <w:proofErr w:type="spellStart"/>
      <w:r w:rsidRPr="00CF2B67">
        <w:t>scientific</w:t>
      </w:r>
      <w:proofErr w:type="spellEnd"/>
      <w:r w:rsidRPr="00CF2B67">
        <w:t xml:space="preserve"> data </w:t>
      </w:r>
      <w:proofErr w:type="spellStart"/>
      <w:r w:rsidRPr="00CF2B67">
        <w:t>analysis</w:t>
      </w:r>
      <w:proofErr w:type="spellEnd"/>
      <w:r w:rsidRPr="00CF2B67">
        <w:t xml:space="preserve">. 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proofErr w:type="spellStart"/>
      <w:r w:rsidRPr="00CF2B67">
        <w:t>Process</w:t>
      </w:r>
      <w:proofErr w:type="spellEnd"/>
      <w:r w:rsidRPr="00CF2B67">
        <w:t xml:space="preserve"> management: </w:t>
      </w:r>
      <w:proofErr w:type="spellStart"/>
      <w:r w:rsidRPr="00CF2B67">
        <w:t>application</w:t>
      </w:r>
      <w:proofErr w:type="spellEnd"/>
      <w:r w:rsidRPr="00CF2B67">
        <w:t xml:space="preserve"> </w:t>
      </w:r>
      <w:proofErr w:type="spellStart"/>
      <w:r w:rsidRPr="00CF2B67">
        <w:t>of</w:t>
      </w:r>
      <w:proofErr w:type="spellEnd"/>
      <w:r w:rsidRPr="00CF2B67">
        <w:t xml:space="preserve"> </w:t>
      </w:r>
      <w:proofErr w:type="spellStart"/>
      <w:r w:rsidRPr="00CF2B67">
        <w:t>the</w:t>
      </w:r>
      <w:proofErr w:type="spellEnd"/>
      <w:r w:rsidRPr="00CF2B67">
        <w:t xml:space="preserve"> BPM </w:t>
      </w:r>
      <w:proofErr w:type="spellStart"/>
      <w:r w:rsidRPr="00CF2B67">
        <w:t>methodology</w:t>
      </w:r>
      <w:proofErr w:type="spellEnd"/>
      <w:r w:rsidRPr="00CF2B67">
        <w:t xml:space="preserve"> in </w:t>
      </w:r>
      <w:proofErr w:type="spellStart"/>
      <w:r w:rsidRPr="00CF2B67">
        <w:t>an</w:t>
      </w:r>
      <w:proofErr w:type="spellEnd"/>
      <w:r w:rsidRPr="00CF2B67">
        <w:t xml:space="preserve"> </w:t>
      </w:r>
      <w:proofErr w:type="spellStart"/>
      <w:r w:rsidRPr="00CF2B67">
        <w:t>energy</w:t>
      </w:r>
      <w:proofErr w:type="spellEnd"/>
      <w:r w:rsidRPr="00CF2B67">
        <w:t xml:space="preserve"> drink </w:t>
      </w:r>
      <w:proofErr w:type="spellStart"/>
      <w:r w:rsidRPr="00CF2B67">
        <w:t>company</w:t>
      </w:r>
      <w:proofErr w:type="spellEnd"/>
      <w:r w:rsidRPr="00CF2B67">
        <w:t xml:space="preserve">. </w:t>
      </w:r>
      <w:proofErr w:type="spellStart"/>
      <w:r w:rsidRPr="00D04957">
        <w:rPr>
          <w:b/>
          <w:bCs/>
        </w:rPr>
        <w:t>Brazilian</w:t>
      </w:r>
      <w:proofErr w:type="spellEnd"/>
      <w:r w:rsidRPr="00D04957">
        <w:rPr>
          <w:b/>
          <w:bCs/>
        </w:rPr>
        <w:t xml:space="preserve"> </w:t>
      </w:r>
      <w:proofErr w:type="spellStart"/>
      <w:r w:rsidRPr="00D04957">
        <w:rPr>
          <w:b/>
          <w:bCs/>
        </w:rPr>
        <w:t>Journal</w:t>
      </w:r>
      <w:proofErr w:type="spellEnd"/>
      <w:r w:rsidRPr="00D04957">
        <w:rPr>
          <w:b/>
          <w:bCs/>
        </w:rPr>
        <w:t xml:space="preserve"> </w:t>
      </w:r>
      <w:proofErr w:type="spellStart"/>
      <w:r w:rsidRPr="00D04957">
        <w:rPr>
          <w:b/>
          <w:bCs/>
        </w:rPr>
        <w:t>of</w:t>
      </w:r>
      <w:proofErr w:type="spellEnd"/>
      <w:r w:rsidRPr="00D04957">
        <w:rPr>
          <w:b/>
          <w:bCs/>
        </w:rPr>
        <w:t xml:space="preserve"> Business</w:t>
      </w:r>
      <w:r w:rsidRPr="00CF2B67">
        <w:t>, Curitiba, v. 1, n. 3, p. 805-826, 2019. Disponível em: https://ojs.brazilianjournals.com.br/ojs/index.php/BJB/article/view/2966/2922. 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proofErr w:type="spellStart"/>
      <w:r w:rsidRPr="00D04957">
        <w:rPr>
          <w:b/>
          <w:bCs/>
        </w:rPr>
        <w:t>Brazilian</w:t>
      </w:r>
      <w:proofErr w:type="spellEnd"/>
      <w:r w:rsidRPr="00D04957">
        <w:rPr>
          <w:b/>
          <w:bCs/>
        </w:rPr>
        <w:t xml:space="preserve"> </w:t>
      </w:r>
      <w:proofErr w:type="spellStart"/>
      <w:r w:rsidRPr="00D04957">
        <w:rPr>
          <w:b/>
          <w:bCs/>
        </w:rPr>
        <w:t>Journal</w:t>
      </w:r>
      <w:proofErr w:type="spellEnd"/>
      <w:r w:rsidRPr="00D04957">
        <w:rPr>
          <w:b/>
          <w:bCs/>
        </w:rPr>
        <w:t xml:space="preserve"> </w:t>
      </w:r>
      <w:proofErr w:type="spellStart"/>
      <w:r w:rsidRPr="00D04957">
        <w:rPr>
          <w:b/>
          <w:bCs/>
        </w:rPr>
        <w:t>of</w:t>
      </w:r>
      <w:proofErr w:type="spellEnd"/>
      <w:r w:rsidRPr="00D04957">
        <w:rPr>
          <w:b/>
          <w:bCs/>
        </w:rPr>
        <w:t xml:space="preserve"> </w:t>
      </w:r>
      <w:proofErr w:type="spellStart"/>
      <w:r w:rsidRPr="00D04957">
        <w:rPr>
          <w:b/>
          <w:bCs/>
        </w:rPr>
        <w:t>Development</w:t>
      </w:r>
      <w:proofErr w:type="spellEnd"/>
      <w:r w:rsidRPr="005C2F5B">
        <w:t>, [</w:t>
      </w:r>
      <w:r w:rsidRPr="00D04957">
        <w:rPr>
          <w:i/>
          <w:iCs/>
        </w:rPr>
        <w:t>S. l.</w:t>
      </w:r>
      <w:r w:rsidRPr="005C2F5B">
        <w:t>], v. 7, n. 8, p. 79384–79414, 2021. Disponível em: https://ojs.brazilianjournals.com.br/ojs/index.php/BRJD/article/view/34246. 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proofErr w:type="spellStart"/>
      <w:r w:rsidRPr="00CF2B67">
        <w:rPr>
          <w:b/>
          <w:bCs/>
        </w:rPr>
        <w:t>Research</w:t>
      </w:r>
      <w:proofErr w:type="spellEnd"/>
      <w:r w:rsidRPr="00CF2B67">
        <w:rPr>
          <w:b/>
          <w:bCs/>
        </w:rPr>
        <w:t xml:space="preserve">, Society </w:t>
      </w:r>
      <w:proofErr w:type="spellStart"/>
      <w:r w:rsidRPr="00CF2B67">
        <w:rPr>
          <w:b/>
          <w:bCs/>
        </w:rPr>
        <w:t>and</w:t>
      </w:r>
      <w:proofErr w:type="spellEnd"/>
      <w:r w:rsidRPr="00CF2B67">
        <w:rPr>
          <w:b/>
          <w:bCs/>
        </w:rPr>
        <w:t xml:space="preserve"> </w:t>
      </w:r>
      <w:proofErr w:type="spellStart"/>
      <w:r w:rsidRPr="00CF2B67">
        <w:rPr>
          <w:b/>
          <w:bCs/>
        </w:rPr>
        <w:t>Development</w:t>
      </w:r>
      <w:proofErr w:type="spellEnd"/>
      <w:r w:rsidRPr="00CF2B67">
        <w:rPr>
          <w:b/>
          <w:bCs/>
        </w:rPr>
        <w:t>,</w:t>
      </w:r>
      <w:r w:rsidRPr="005C2F5B">
        <w:t xml:space="preserve"> v. 10, n.6, 2021. Disponível em: https://rsdjournal.org/index.php/rsd/article/view/15303/14203. 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proofErr w:type="spellStart"/>
      <w:r w:rsidRPr="00CF2B67">
        <w:rPr>
          <w:b/>
          <w:bCs/>
        </w:rPr>
        <w:t>Brazilian</w:t>
      </w:r>
      <w:proofErr w:type="spellEnd"/>
      <w:r w:rsidRPr="00CF2B67">
        <w:rPr>
          <w:b/>
          <w:bCs/>
        </w:rPr>
        <w:t xml:space="preserve"> </w:t>
      </w:r>
      <w:proofErr w:type="spellStart"/>
      <w:r w:rsidRPr="00CF2B67">
        <w:rPr>
          <w:b/>
          <w:bCs/>
        </w:rPr>
        <w:t>Journal</w:t>
      </w:r>
      <w:proofErr w:type="spellEnd"/>
      <w:r w:rsidRPr="00CF2B67">
        <w:rPr>
          <w:b/>
          <w:bCs/>
        </w:rPr>
        <w:t xml:space="preserve"> </w:t>
      </w:r>
      <w:proofErr w:type="spellStart"/>
      <w:r w:rsidRPr="00CF2B67">
        <w:rPr>
          <w:b/>
          <w:bCs/>
        </w:rPr>
        <w:t>of</w:t>
      </w:r>
      <w:proofErr w:type="spellEnd"/>
      <w:r w:rsidRPr="00CF2B67">
        <w:rPr>
          <w:b/>
          <w:bCs/>
        </w:rPr>
        <w:t xml:space="preserve"> </w:t>
      </w:r>
      <w:proofErr w:type="spellStart"/>
      <w:r w:rsidRPr="00CF2B67">
        <w:rPr>
          <w:b/>
          <w:bCs/>
        </w:rPr>
        <w:t>development</w:t>
      </w:r>
      <w:proofErr w:type="spellEnd"/>
      <w:r w:rsidRPr="005C2F5B">
        <w:t>, Curitiba, v. 7, n. 2, p. 19476-19490, 2021. Disponível em: https://ojs.brazilianjournals.com.br/ojs/index.php/BRJD/article/view/25240/20189. 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Elenir Aparecida Hutter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r w:rsidRPr="005C2F5B">
        <w:t xml:space="preserve">WILTGEN,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 xml:space="preserve">Sua importância no auxílio do </w:t>
      </w:r>
      <w:proofErr w:type="spellStart"/>
      <w:r w:rsidRPr="005C2F5B">
        <w:t>desenvo</w:t>
      </w:r>
      <w:proofErr w:type="spellEnd"/>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1DC0489" w:rsidR="009A7638" w:rsidRDefault="005B399B" w:rsidP="00216C8F">
      <w:pPr>
        <w:keepNext w:val="0"/>
        <w:keepLines w:val="0"/>
        <w:autoSpaceDE w:val="0"/>
        <w:autoSpaceDN w:val="0"/>
        <w:adjustRightInd w:val="0"/>
        <w:rPr>
          <w:szCs w:val="20"/>
        </w:rPr>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FF71" w14:textId="77777777" w:rsidR="00D8475D" w:rsidRDefault="00D8475D">
      <w:r>
        <w:separator/>
      </w:r>
    </w:p>
  </w:endnote>
  <w:endnote w:type="continuationSeparator" w:id="0">
    <w:p w14:paraId="7E01441B" w14:textId="77777777" w:rsidR="00D8475D" w:rsidRDefault="00D8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817D" w14:textId="77777777" w:rsidR="00D8475D" w:rsidRDefault="00D8475D">
      <w:r>
        <w:separator/>
      </w:r>
    </w:p>
  </w:footnote>
  <w:footnote w:type="continuationSeparator" w:id="0">
    <w:p w14:paraId="5190F619" w14:textId="77777777" w:rsidR="00D8475D" w:rsidRDefault="00D84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9"/>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8"/>
  </w:num>
  <w:num w:numId="13" w16cid:durableId="2119831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0"/>
  </w:num>
  <w:num w:numId="16" w16cid:durableId="1025250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0"/>
  </w:num>
  <w:num w:numId="18" w16cid:durableId="12228632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440A"/>
    <w:rsid w:val="008D4DD6"/>
    <w:rsid w:val="008D5522"/>
    <w:rsid w:val="008D5BDD"/>
    <w:rsid w:val="008D6350"/>
    <w:rsid w:val="008D69C5"/>
    <w:rsid w:val="008D7404"/>
    <w:rsid w:val="008D7FBC"/>
    <w:rsid w:val="008E0F86"/>
    <w:rsid w:val="008E1E3D"/>
    <w:rsid w:val="008E267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6877</Words>
  <Characters>37141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2</cp:revision>
  <cp:lastPrinted>2023-06-10T20:38:00Z</cp:lastPrinted>
  <dcterms:created xsi:type="dcterms:W3CDTF">2024-04-16T14:12:00Z</dcterms:created>
  <dcterms:modified xsi:type="dcterms:W3CDTF">2024-04-16T14:12:00Z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