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EDUCATN 600 Handout: </w:t>
      </w:r>
      <w:r>
        <w:rPr>
          <w:b/>
          <w:bCs/>
        </w:rPr>
        <w:t>Research in Teaching and Learning I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Complete this handout as you progress through the module, and then submit it to the Research in Teaching and Learning I Handout Assignment Submission Folder on the EDUCATN 600 Avenue to Learn site.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Scholarly Teaching: Locating the Literature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2-3 discipline-specific teaching journals in your area of study?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Computer Science Journals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- ACM Transactions of Computing Educations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- IEEE Transactions on Learning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- Innovation in Teaching and Learning in Information and Computer Science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teaching topic of interest did you choose? Which keywords did you use in your search?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Experiential Learning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2-3 academic articles on your teaching topic of interest did you locate that may inform your work as a scholarly teacher? </w:t>
      </w:r>
      <w:r>
        <w:rPr>
          <w:i/>
          <w:iCs/>
          <w:lang w:val="en-US"/>
        </w:rPr>
        <w:t>(list their bibliographic references)</w:t>
      </w:r>
      <w:r>
        <w:rPr>
          <w:lang w:val="en-US"/>
        </w:rPr>
        <w:t xml:space="preserve"> </w:t>
        <w:br/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  <w:t>Experiential learning in computing accessibility education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  <w:t>Weishi Shi, Saad Khan, Yasmine El-Glaly, Samuel Malachowsky, Qi Yu, and Daniel E. Krutz. 2020. Experiential learning in computing accessibility education. In Proceedings of the ACM/IEEE 42nd International Conference on Software Engineering: Companion Proceedings (ICSE '20). Association for Computing Machinery, New York, NY, USA, 250–251. DOI:</w:t>
      </w:r>
      <w:hyperlink r:id="rId2">
        <w:r>
          <w:rPr>
            <w:rStyle w:val="InternetLink"/>
          </w:rPr>
          <w:t>https://doi.org/10.1145/3377812.3390901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Assessing collaborative and experiential learning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Mihaela Sabin. 2010. Assessing collaborative and experiential learning. J. Comput. Sci. Coll. 25, 6 (June 2010), 26–33.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Successful Undergraduate-level Experiential Learning Projects: A Stakeholder Perspective</w:t>
      </w:r>
    </w:p>
    <w:p>
      <w:pPr>
        <w:pStyle w:val="ListParagraph"/>
        <w:rPr>
          <w:lang w:val="en-US"/>
        </w:rPr>
      </w:pPr>
      <w:r>
        <w:rPr>
          <w:lang w:val="en-US"/>
        </w:rPr>
        <w:t>Margeret Hall, April Goettle, Connor Carson, Jess Collicott, Kim Dietz, and Kip Smith. 2020. Successful Undergraduate-level Experiential Learning Projects: A Stakeholder Perspective. In Proceedings of the 21st Annual Conference on Information Technology Education (SIGITE '20). Association for Computing Machinery, New York, NY, USA, 106–112. DOI:</w:t>
      </w:r>
      <w:hyperlink r:id="rId4">
        <w:r>
          <w:rPr>
            <w:rStyle w:val="InternetLink"/>
            <w:lang w:val="en-US"/>
          </w:rPr>
          <w:t>https://doi.org/10.1145/3368308.3415387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</w:r>
    </w:p>
    <w:p>
      <w:pPr>
        <w:pStyle w:val="Normal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  <w:t>Principles of Good Practice in SoTL</w:t>
      </w:r>
    </w:p>
    <w:p>
      <w:pPr>
        <w:pStyle w:val="Normal"/>
        <w:rPr>
          <w:rFonts w:cs="Calibri" w:cstheme="minorHAnsi"/>
          <w:i/>
          <w:i/>
          <w:iCs/>
          <w:color w:val="000000"/>
        </w:rPr>
      </w:pPr>
      <w:r>
        <w:rPr>
          <w:rFonts w:cs="Calibri" w:cstheme="minorHAnsi"/>
          <w:i/>
          <w:iCs/>
          <w:color w:val="000000"/>
        </w:rPr>
        <w:t xml:space="preserve">Please respond with 4-6 bullet points for each question. 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Style w:val="Strong"/>
          <w:rFonts w:cs="Calibri" w:cstheme="minorHAnsi"/>
          <w:b w:val="false"/>
          <w:b w:val="false"/>
          <w:bCs w:val="false"/>
          <w:color w:val="000000"/>
        </w:rPr>
      </w:pPr>
      <w:r>
        <w:rPr>
          <w:rStyle w:val="Strong"/>
          <w:rFonts w:cs="Calibri" w:cstheme="minorHAnsi"/>
          <w:b w:val="false"/>
          <w:bCs w:val="false"/>
          <w:color w:val="000000"/>
        </w:rPr>
        <w:t>Which aspects of student learning (or instructor influence on student learning) would you be most interested in inquiring into further? </w:t>
      </w:r>
    </w:p>
    <w:p>
      <w:pPr>
        <w:pStyle w:val="Normal"/>
        <w:numPr>
          <w:ilvl w:val="0"/>
          <w:numId w:val="0"/>
        </w:numPr>
        <w:spacing w:beforeAutospacing="1" w:afterAutospacing="1"/>
        <w:ind w:left="720" w:hanging="0"/>
        <w:rPr>
          <w:rStyle w:val="Strong"/>
          <w:rFonts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/>
          <w:color w:val="000000"/>
        </w:rPr>
        <w:t>H</w:t>
      </w:r>
      <w:r>
        <w:rPr>
          <w:rFonts w:cs="Calibri" w:cstheme="minorHAnsi"/>
          <w:color w:val="000000"/>
        </w:rPr>
        <w:t>ow effective methodoligies like experiential learning are in translating to real world applicability in industry (not just in classroom evaluation)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Style w:val="Strong"/>
          <w:rFonts w:cs="Calibri" w:cstheme="minorHAnsi"/>
          <w:b w:val="false"/>
          <w:b w:val="false"/>
          <w:bCs w:val="false"/>
          <w:color w:val="000000"/>
        </w:rPr>
      </w:pPr>
      <w:r>
        <w:rPr>
          <w:rStyle w:val="Strong"/>
          <w:rFonts w:cs="Calibri" w:cstheme="minorHAnsi"/>
          <w:b w:val="false"/>
          <w:bCs w:val="false"/>
          <w:color w:val="000000"/>
        </w:rPr>
        <w:t>If you were to conduct a SoTL project, which scholarly/local contexts would be most relevant to consider?</w:t>
      </w:r>
    </w:p>
    <w:p>
      <w:pPr>
        <w:pStyle w:val="Normal"/>
        <w:numPr>
          <w:ilvl w:val="0"/>
          <w:numId w:val="0"/>
        </w:numPr>
        <w:spacing w:beforeAutospacing="1" w:afterAutospacing="1"/>
        <w:ind w:left="720" w:hanging="0"/>
        <w:rPr>
          <w:rStyle w:val="Strong"/>
          <w:rFonts w:cs="Calibri" w:cstheme="minorHAnsi"/>
          <w:b w:val="false"/>
          <w:b w:val="false"/>
          <w:bCs w:val="false"/>
          <w:color w:val="000000"/>
        </w:rPr>
      </w:pPr>
      <w:r>
        <w:rPr>
          <w:rStyle w:val="Strong"/>
          <w:rFonts w:cs="Calibri" w:cstheme="minorHAnsi"/>
          <w:b w:val="false"/>
          <w:bCs w:val="false"/>
          <w:color w:val="000000"/>
        </w:rPr>
        <w:t xml:space="preserve">I don’t understand what you mean by local contexts. </w:t>
      </w:r>
      <w:r>
        <w:rPr>
          <w:rStyle w:val="Strong"/>
          <w:rFonts w:cs="Calibri" w:cstheme="minorHAnsi"/>
          <w:b w:val="false"/>
          <w:bCs w:val="false"/>
          <w:color w:val="000000"/>
        </w:rPr>
        <w:t xml:space="preserve">Overall I don’t understand the question. 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Style w:val="Strong"/>
          <w:rFonts w:cs="Calibri" w:cstheme="minorHAnsi"/>
          <w:b w:val="false"/>
          <w:b w:val="false"/>
          <w:bCs w:val="false"/>
          <w:color w:val="000000"/>
        </w:rPr>
      </w:pPr>
      <w:r>
        <w:rPr>
          <w:rStyle w:val="Strong"/>
          <w:rFonts w:cs="Calibri" w:cstheme="minorHAnsi"/>
          <w:b w:val="false"/>
          <w:bCs w:val="false"/>
          <w:color w:val="000000"/>
        </w:rPr>
        <w:t xml:space="preserve">Which methods might be most conducive to a study on the aspects of student learning and/or within the scholarly/local context you've identified above? (e.g. data sources, data collection processes)   </w:t>
      </w:r>
    </w:p>
    <w:p>
      <w:pPr>
        <w:pStyle w:val="Normal"/>
        <w:spacing w:beforeAutospacing="1" w:afterAutospacing="1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 xml:space="preserve">         </w:t>
      </w:r>
      <w:r>
        <w:rPr>
          <w:rFonts w:cs="Calibri" w:cstheme="minorHAnsi"/>
          <w:color w:val="000000"/>
        </w:rPr>
        <w:t>I don’t know what methods to choose from so I don’t know how I’m   expected to answer this question. Did I miss a resource where these methods were outlined?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Style w:val="Strong"/>
          <w:rFonts w:cs="Calibri" w:cstheme="minorHAnsi"/>
          <w:b w:val="false"/>
          <w:b w:val="false"/>
          <w:bCs w:val="false"/>
          <w:color w:val="000000"/>
        </w:rPr>
      </w:pPr>
      <w:r>
        <w:rPr>
          <w:rStyle w:val="Strong"/>
          <w:rFonts w:cs="Calibri" w:cstheme="minorHAnsi"/>
          <w:b w:val="false"/>
          <w:bCs w:val="false"/>
          <w:color w:val="000000"/>
        </w:rPr>
        <w:t>How might you engage students in the inquiry process? </w:t>
      </w:r>
    </w:p>
    <w:p>
      <w:pPr>
        <w:pStyle w:val="Normal"/>
        <w:spacing w:beforeAutospacing="1" w:afterAutospacing="1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ab/>
      </w:r>
      <w:r>
        <w:rPr>
          <w:rFonts w:cs="Calibri" w:cstheme="minorHAnsi"/>
          <w:color w:val="000000"/>
        </w:rPr>
        <w:t>Usually the simplist and most effective way to engage students in an activity is through marks. Make it explicit that you will achieve a certain amount of marks for doing so and most students will engage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lang w:val="en-US"/>
        </w:rPr>
      </w:pPr>
      <w:r>
        <w:rPr>
          <w:rStyle w:val="Strong"/>
          <w:rFonts w:cs="Calibri" w:cstheme="minorHAnsi"/>
          <w:b w:val="false"/>
          <w:bCs w:val="false"/>
          <w:color w:val="000000"/>
        </w:rPr>
        <w:t xml:space="preserve">Where/how might you "go public" with your research results? With whom would you share your findings? Why? </w:t>
      </w:r>
    </w:p>
    <w:p>
      <w:pPr>
        <w:pStyle w:val="Normal"/>
        <w:numPr>
          <w:ilvl w:val="0"/>
          <w:numId w:val="0"/>
        </w:numPr>
        <w:spacing w:beforeAutospacing="1" w:afterAutospacing="1"/>
        <w:ind w:left="720" w:hanging="0"/>
        <w:rPr>
          <w:lang w:val="en-US"/>
        </w:rPr>
      </w:pPr>
      <w:r>
        <w:rPr>
          <w:rStyle w:val="Strong"/>
          <w:rFonts w:cs="Calibri" w:cstheme="minorHAnsi"/>
          <w:b w:val="false"/>
          <w:bCs w:val="false"/>
          <w:color w:val="000000"/>
        </w:rPr>
        <w:t>I assume I would submit to a journel or conference. I already listed some journels in my area above. I have in the past submitted a paper on experiential learning in computing to a conference known as TFP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63137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6202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45/3377812.3390901" TargetMode="External"/><Relationship Id="rId3" Type="http://schemas.openxmlformats.org/officeDocument/2006/relationships/hyperlink" Target="https://doi.org/10.1145/3368308.3415387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LibreOffice/7.0.6.2$Linux_X86_64 LibreOffice_project/00$Build-2</Application>
  <AppVersion>15.0000</AppVersion>
  <Pages>2</Pages>
  <Words>511</Words>
  <Characters>2946</Characters>
  <CharactersWithSpaces>3491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2020-07-24T11:24:00Z</dcterms:created>
  <dc:creator>Alise de Bie</dc:creator>
  <dc:description/>
  <dc:language>en-US</dc:language>
  <cp:lastModifiedBy/>
  <dcterms:modified xsi:type="dcterms:W3CDTF">2021-11-16T19:51:55Z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