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9</w:t>
      </w:r>
      <w:r>
        <w:rPr/>
        <w:t>장 「산업디자인의 국제등록에 관한 헤이그협정」에 따른 국제출원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</w:t>
      </w:r>
      <w:r>
        <w:rPr/>
        <w:t>절 특허청을 통한 국제출원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173</w:t>
      </w:r>
      <w:r>
        <w:rPr/>
        <w:t>조</w:t>
      </w:r>
      <w:r>
        <w:rPr/>
        <w:t>(</w:t>
      </w:r>
      <w:r>
        <w:rPr/>
        <w:t>국제출원</w:t>
      </w:r>
      <w:r>
        <w:rPr/>
        <w:t xml:space="preserve">) </w:t>
      </w:r>
      <w:r>
        <w:rPr/>
        <w:t>「산업디자인의 국제등록에 관한 헤이그협정」</w:t>
      </w:r>
      <w:r>
        <w:rPr/>
        <w:t>(1999</w:t>
      </w:r>
      <w:r>
        <w:rPr/>
        <w:t>년 세계지식재산기구에 의하여 제네바 외교회의에서 채택된 조약을 말하며</w:t>
      </w:r>
      <w:r>
        <w:rPr/>
        <w:t xml:space="preserve">, </w:t>
      </w:r>
      <w:r>
        <w:rPr/>
        <w:t xml:space="preserve">이하 </w:t>
      </w:r>
      <w:r>
        <w:rPr/>
        <w:t>"</w:t>
      </w:r>
      <w:r>
        <w:rPr/>
        <w:t>헤이그협정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제</w:t>
      </w:r>
      <w:r>
        <w:rPr/>
        <w:t>1</w:t>
      </w:r>
      <w:r>
        <w:rPr/>
        <w:t>조</w:t>
      </w:r>
      <w:r>
        <w:rPr/>
        <w:t>(ⅵ)</w:t>
      </w:r>
      <w:r>
        <w:rPr/>
        <w:t>에 따른 국제등록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국제등록</w:t>
      </w:r>
      <w:r>
        <w:rPr/>
        <w:t>"</w:t>
      </w:r>
      <w:r>
        <w:rPr/>
        <w:t>이라 한다</w:t>
      </w:r>
      <w:r>
        <w:rPr/>
        <w:t>)</w:t>
      </w:r>
      <w:r>
        <w:rPr/>
        <w:t>을 위하여 출원을 하려는 자는 특허청을 통하여 헤이그협정 제</w:t>
      </w:r>
      <w:r>
        <w:rPr/>
        <w:t>1</w:t>
      </w:r>
      <w:r>
        <w:rPr/>
        <w:t>조</w:t>
      </w:r>
      <w:r>
        <w:rPr/>
        <w:t>(ⅶ)</w:t>
      </w:r>
      <w:r>
        <w:rPr/>
        <w:t>에 따른 국제출원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특허청을 통한 국제출원</w:t>
      </w:r>
      <w:r>
        <w:rPr/>
        <w:t>"</w:t>
      </w:r>
      <w:r>
        <w:rPr/>
        <w:t>이라 한다</w:t>
      </w:r>
      <w:r>
        <w:rPr/>
        <w:t>)</w:t>
      </w:r>
      <w:r>
        <w:rPr/>
        <w:t>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174</w:t>
      </w:r>
      <w:r>
        <w:rPr/>
        <w:t>조</w:t>
      </w:r>
      <w:r>
        <w:rPr/>
        <w:t>(</w:t>
      </w:r>
      <w:r>
        <w:rPr/>
        <w:t>국제출원을 할 수 있는 자</w:t>
      </w:r>
      <w:r>
        <w:rPr/>
        <w:t xml:space="preserve">) </w:t>
      </w:r>
      <w:r>
        <w:rPr/>
        <w:t>특허청을 통한 국제출원을 할 수 있는 자는 다음 각 호의 어느 하나에 해당하여야 한다</w:t>
      </w:r>
      <w:r>
        <w:rPr/>
        <w:t>. 2</w:t>
      </w:r>
      <w:r>
        <w:rPr/>
        <w:t>인 이상이 공동으로 출원하는 경우에는 각자 모두가 다음 각 호의 어느 하나에 해당하여야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대한민국 국민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대한민국에 주소</w:t>
      </w:r>
      <w:r>
        <w:rPr/>
        <w:t>(</w:t>
      </w:r>
      <w:r>
        <w:rPr/>
        <w:t>법인인 경우에는 영업소를 말한다</w:t>
      </w:r>
      <w:r>
        <w:rPr/>
        <w:t>)</w:t>
      </w:r>
      <w:r>
        <w:rPr/>
        <w:t>가 있는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그 밖에 산업통상자원부령으로 정하는 바에 따라 대한민국에 거소가 있는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175</w:t>
      </w:r>
      <w:r>
        <w:rPr/>
        <w:t>조</w:t>
      </w:r>
      <w:r>
        <w:rPr/>
        <w:t>(</w:t>
      </w:r>
      <w:r>
        <w:rPr/>
        <w:t>국제출원의 절차</w:t>
      </w:r>
      <w:r>
        <w:rPr/>
        <w:t xml:space="preserve">) ① </w:t>
      </w:r>
      <w:r>
        <w:rPr/>
        <w:t>특허청을 통한 국제출원을 하려는 자는 산업통상자원부령으로 정하는 방식에 따라 작성된 국제출원서 및 그 출원에 필요한 서류</w:t>
      </w:r>
      <w:r>
        <w:rPr/>
        <w:t>(</w:t>
      </w:r>
      <w:r>
        <w:rPr/>
        <w:t>헤이그협정의 특정 체약당사자가 요구하는 서류 등을 말한다</w:t>
      </w:r>
      <w:r>
        <w:rPr/>
        <w:t>)</w:t>
      </w:r>
      <w:r>
        <w:rPr/>
        <w:t>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국제출원서에는 다음 각 호의 사항을 적거나 첨부하여야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헤이그협정 제</w:t>
      </w:r>
      <w:r>
        <w:rPr/>
        <w:t>1</w:t>
      </w:r>
      <w:r>
        <w:rPr/>
        <w:t>조</w:t>
      </w:r>
      <w:r>
        <w:rPr/>
        <w:t>(ⅶ)</w:t>
      </w:r>
      <w:r>
        <w:rPr/>
        <w:t>에 따른 국제출원의 취지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특허청을 통한 국제출원을 하려는 자의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 xml:space="preserve">). </w:t>
      </w:r>
      <w:r>
        <w:rPr/>
        <w:t xml:space="preserve">국제출원을 하려는 자가 </w:t>
      </w:r>
      <w:r>
        <w:rPr/>
        <w:t>2</w:t>
      </w:r>
      <w:r>
        <w:rPr/>
        <w:t>인 이상으로서 그 주소가 서로 다르고 대리인이 없는 경우에는 연락을 받을 주소를 추가로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174</w:t>
      </w:r>
      <w:r>
        <w:rPr/>
        <w:t>조 각 호에 관한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디자인을 보호받으려는 국가</w:t>
      </w:r>
      <w:r>
        <w:rPr/>
        <w:t>(</w:t>
      </w:r>
      <w:r>
        <w:rPr/>
        <w:t>헤이그협정 제</w:t>
      </w:r>
      <w:r>
        <w:rPr/>
        <w:t>1</w:t>
      </w:r>
      <w:r>
        <w:rPr/>
        <w:t>조</w:t>
      </w:r>
      <w:r>
        <w:rPr/>
        <w:t>(ⅹⅱ )</w:t>
      </w:r>
      <w:r>
        <w:rPr/>
        <w:t>에 따른 정부 간 기구를 포함하며</w:t>
      </w:r>
      <w:r>
        <w:rPr/>
        <w:t xml:space="preserve">, </w:t>
      </w:r>
      <w:r>
        <w:rPr/>
        <w:t xml:space="preserve">이하 </w:t>
      </w:r>
      <w:r>
        <w:rPr/>
        <w:t>"</w:t>
      </w:r>
      <w:r>
        <w:rPr/>
        <w:t>지정국</w:t>
      </w:r>
      <w:r>
        <w:rPr/>
        <w:t>"</w:t>
      </w:r>
      <w:r>
        <w:rPr/>
        <w:t>이라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도면</w:t>
      </w:r>
      <w:r>
        <w:rPr/>
        <w:t>(</w:t>
      </w:r>
      <w:r>
        <w:rPr/>
        <w:t>사진을 포함한다</w:t>
      </w:r>
      <w:r>
        <w:rPr/>
        <w:t xml:space="preserve">. </w:t>
      </w:r>
      <w:r>
        <w:rPr/>
        <w:t>이하 같다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디자인의 대상이 되는 물품 및 물품류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헤이그협정 제</w:t>
      </w:r>
      <w:r>
        <w:rPr/>
        <w:t>5</w:t>
      </w:r>
      <w:r>
        <w:rPr/>
        <w:t>조</w:t>
      </w:r>
      <w:r>
        <w:rPr/>
        <w:t>(1)(ⅵ)</w:t>
      </w:r>
      <w:r>
        <w:rPr/>
        <w:t>에 따른 수수료의 납부방법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그 밖에 산업통상자원부령으로 정하는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특허청을 통한 국제출원을 하려는 자가 헤이그협정 제</w:t>
      </w:r>
      <w:r>
        <w:rPr/>
        <w:t>5</w:t>
      </w:r>
      <w:r>
        <w:rPr/>
        <w:t>조</w:t>
      </w:r>
      <w:r>
        <w:rPr/>
        <w:t>(5)</w:t>
      </w:r>
      <w:r>
        <w:rPr/>
        <w:t>에 따른 공개연기신청을 하려는 경우에는 국제출원서에 도면을 대신하여 산업통상자원부령으로 정하는 바에 따른 견본을 첨부할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특허청을 통한 국제출원을 하려는 자는 지정국이 요구하는 경우에 다음 각 호의 사항을 국제출원서에 포함하여야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디자인을 창작한 사람의 성명 및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도면 또는 디자인의 특징에 대한 설명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디자인권의 청구범위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176</w:t>
      </w:r>
      <w:r>
        <w:rPr/>
        <w:t>조</w:t>
      </w:r>
      <w:r>
        <w:rPr/>
        <w:t>(</w:t>
      </w:r>
      <w:r>
        <w:rPr/>
        <w:t>국제출원서 등 서류제출의 효력발생시기</w:t>
      </w:r>
      <w:r>
        <w:rPr/>
        <w:t xml:space="preserve">) </w:t>
      </w:r>
      <w:r>
        <w:rPr/>
        <w:t>국제출원서</w:t>
      </w:r>
      <w:r>
        <w:rPr/>
        <w:t xml:space="preserve">, </w:t>
      </w:r>
      <w:r>
        <w:rPr/>
        <w:t>그 출원에 필요한 서류 및 제</w:t>
      </w:r>
      <w:r>
        <w:rPr/>
        <w:t>177</w:t>
      </w:r>
      <w:r>
        <w:rPr/>
        <w:t>조제</w:t>
      </w:r>
      <w:r>
        <w:rPr/>
        <w:t>2</w:t>
      </w:r>
      <w:r>
        <w:rPr/>
        <w:t>항에 따른 서류는 특허청장에게 도달한 날부터 그 효력이 발생한다</w:t>
      </w:r>
      <w:r>
        <w:rPr/>
        <w:t xml:space="preserve">. </w:t>
      </w:r>
      <w:r>
        <w:rPr/>
        <w:t>우편으로 제출된 경우에도 또한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177</w:t>
      </w:r>
      <w:r>
        <w:rPr/>
        <w:t>조</w:t>
      </w:r>
      <w:r>
        <w:rPr/>
        <w:t>(</w:t>
      </w:r>
      <w:r>
        <w:rPr/>
        <w:t>기재사항의 확인 등</w:t>
      </w:r>
      <w:r>
        <w:rPr/>
        <w:t xml:space="preserve">) ① </w:t>
      </w:r>
      <w:r>
        <w:rPr/>
        <w:t>특허청장은 국제출원서가 도달한 날을 국제출원서에 적어 관계 서류와 함께 헤이그협정 제</w:t>
      </w:r>
      <w:r>
        <w:rPr/>
        <w:t>1</w:t>
      </w:r>
      <w:r>
        <w:rPr/>
        <w:t>조</w:t>
      </w:r>
      <w:r>
        <w:rPr/>
        <w:t>(ⅹⅹⅷ)</w:t>
      </w:r>
      <w:r>
        <w:rPr/>
        <w:t>에 따른 국제사무국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국제사무국</w:t>
      </w:r>
      <w:r>
        <w:rPr/>
        <w:t>"</w:t>
      </w:r>
      <w:r>
        <w:rPr/>
        <w:t>이라 한다</w:t>
      </w:r>
      <w:r>
        <w:rPr/>
        <w:t>)</w:t>
      </w:r>
      <w:r>
        <w:rPr/>
        <w:t>에 보내고</w:t>
      </w:r>
      <w:r>
        <w:rPr/>
        <w:t xml:space="preserve">, </w:t>
      </w:r>
      <w:r>
        <w:rPr/>
        <w:t>그 국제출원서 사본을 특허청을 통한 국제출원을 한 자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국제출원인</w:t>
      </w:r>
      <w:r>
        <w:rPr/>
        <w:t>"</w:t>
      </w:r>
      <w:r>
        <w:rPr/>
        <w:t>이라 한다</w:t>
      </w:r>
      <w:r>
        <w:rPr/>
        <w:t>)</w:t>
      </w:r>
      <w:r>
        <w:rPr/>
        <w:t>에게 보내야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특허청장은 국제출원서의 기재사항이 다음 각 호의 어느 하나에 해당하는 경우에는 국제출원인에게 상당한 기간을 정하여 보완에 필요한 서류</w:t>
      </w:r>
      <w:r>
        <w:rPr/>
        <w:t>(</w:t>
      </w:r>
      <w:r>
        <w:rPr/>
        <w:t xml:space="preserve">이하 이 장에서 </w:t>
      </w:r>
      <w:r>
        <w:rPr/>
        <w:t>"</w:t>
      </w:r>
      <w:r>
        <w:rPr/>
        <w:t>대체서류</w:t>
      </w:r>
      <w:r>
        <w:rPr/>
        <w:t>"</w:t>
      </w:r>
      <w:r>
        <w:rPr/>
        <w:t>라 한다</w:t>
      </w:r>
      <w:r>
        <w:rPr/>
        <w:t>)</w:t>
      </w:r>
      <w:r>
        <w:rPr/>
        <w:t>의 제출을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산업통상자원부령으로 정하는 언어로 작성되지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국제출원의 취지가 명확하게 표시되지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특허청을 통한 국제출원을 한 자의 성명 또는 명칭이 적혀 있지 아니하거나 명확하게 적혀있지 아니하여 국제출원인을 특정할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국제출원인</w:t>
      </w:r>
      <w:r>
        <w:rPr/>
        <w:t>(</w:t>
      </w:r>
      <w:r>
        <w:rPr/>
        <w:t>대리인이 디자인에 관한 절차를 밟는 경우에는 그 대리인을 말한다</w:t>
      </w:r>
      <w:r>
        <w:rPr/>
        <w:t>)</w:t>
      </w:r>
      <w:r>
        <w:rPr/>
        <w:t>과 연락을 하기 위한 주소 등이 명확하게 적혀있지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도면 또는 견본이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지정국 표시가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제출명령을 받은 자가 지정기간 내에 대체서류를 제출한 경우에는 그 대체서류가 특허청장에게 도달한 날을 국제출원서가 도달한 날로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178</w:t>
      </w:r>
      <w:r>
        <w:rPr/>
        <w:t>조</w:t>
      </w:r>
      <w:r>
        <w:rPr/>
        <w:t>(</w:t>
      </w:r>
      <w:r>
        <w:rPr/>
        <w:t>송달료의 납부</w:t>
      </w:r>
      <w:r>
        <w:rPr/>
        <w:t xml:space="preserve">) ① </w:t>
      </w:r>
      <w:r>
        <w:rPr/>
        <w:t>특허청을 통한 국제출원을 하려는 자는 특허청장이 국제출원서 및 출원에 필요한 서류를 국제사무국으로 보내는 데에 필요한 금액</w:t>
      </w:r>
      <w:r>
        <w:rPr/>
        <w:t>(</w:t>
      </w:r>
      <w:r>
        <w:rPr/>
        <w:t xml:space="preserve">이하 </w:t>
      </w:r>
      <w:r>
        <w:rPr/>
        <w:t>"</w:t>
      </w:r>
      <w:r>
        <w:rPr/>
        <w:t>송달료</w:t>
      </w:r>
      <w:r>
        <w:rPr/>
        <w:t>"</w:t>
      </w:r>
      <w:r>
        <w:rPr/>
        <w:t>라 한다</w:t>
      </w:r>
      <w:r>
        <w:rPr/>
        <w:t>)</w:t>
      </w:r>
      <w:r>
        <w:rPr/>
        <w:t>을 특허청장에게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송달료</w:t>
      </w:r>
      <w:r>
        <w:rPr/>
        <w:t xml:space="preserve">, </w:t>
      </w:r>
      <w:r>
        <w:rPr/>
        <w:t>그 납부방법ㆍ납부기간</w:t>
      </w:r>
      <w:r>
        <w:rPr/>
        <w:t xml:space="preserve">, </w:t>
      </w:r>
      <w:r>
        <w:rPr/>
        <w:t>그 밖에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특허청을 통한 국제출원을 하려는 자가 송달료를 내지 아니한 경우에는 상당한 기간을 정하여 보정을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3</w:t>
      </w:r>
      <w:r>
        <w:rPr/>
        <w:t>항에 따른 보정명령을 받은 자가 지정된 기간에 송달료를 내지 아니한 경우에는 해당 절차를 무효로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2</w:t>
      </w:r>
      <w:r>
        <w:rPr/>
        <w:t>절 국제디자인등록출원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179</w:t>
      </w:r>
      <w:r>
        <w:rPr/>
        <w:t>조</w:t>
      </w:r>
      <w:r>
        <w:rPr/>
        <w:t>(</w:t>
      </w:r>
      <w:r>
        <w:rPr/>
        <w:t>국제디자인등록출원</w:t>
      </w:r>
      <w:r>
        <w:rPr/>
        <w:t xml:space="preserve">) ① </w:t>
      </w:r>
      <w:r>
        <w:rPr/>
        <w:t>헤이그협정 제</w:t>
      </w:r>
      <w:r>
        <w:rPr/>
        <w:t>1</w:t>
      </w:r>
      <w:r>
        <w:rPr/>
        <w:t>조</w:t>
      </w:r>
      <w:r>
        <w:rPr/>
        <w:t>(ⅵ)</w:t>
      </w:r>
      <w:r>
        <w:rPr/>
        <w:t>에 따른 국제등록으로서 대한민국을 지정국으로 지정한 국제등록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국제디자인등록출원</w:t>
      </w:r>
      <w:r>
        <w:rPr/>
        <w:t>"</w:t>
      </w:r>
      <w:r>
        <w:rPr/>
        <w:t>이라 한다</w:t>
      </w:r>
      <w:r>
        <w:rPr/>
        <w:t>)</w:t>
      </w:r>
      <w:r>
        <w:rPr/>
        <w:t>은 이 법에 따른 디자인등록출원으로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헤이그협정 제</w:t>
      </w:r>
      <w:r>
        <w:rPr/>
        <w:t>10</w:t>
      </w:r>
      <w:r>
        <w:rPr/>
        <w:t>조</w:t>
      </w:r>
      <w:r>
        <w:rPr/>
        <w:t>(2)</w:t>
      </w:r>
      <w:r>
        <w:rPr/>
        <w:t>에 따른 국제등록일은 이 법에 따른 디자인등록출원일로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국제디자인등록출원에 대하여는 헤이그협정 제</w:t>
      </w:r>
      <w:r>
        <w:rPr/>
        <w:t>1</w:t>
      </w:r>
      <w:r>
        <w:rPr/>
        <w:t>조</w:t>
      </w:r>
      <w:r>
        <w:rPr/>
        <w:t>(ⅷ)</w:t>
      </w:r>
      <w:r>
        <w:rPr/>
        <w:t>에 따른 국제등록부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국제등록부</w:t>
      </w:r>
      <w:r>
        <w:rPr/>
        <w:t>"</w:t>
      </w:r>
      <w:r>
        <w:rPr/>
        <w:t>라 한다</w:t>
      </w:r>
      <w:r>
        <w:rPr/>
        <w:t>)</w:t>
      </w:r>
      <w:r>
        <w:rPr/>
        <w:t>에 등재된 국제등록명의인의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 xml:space="preserve">), </w:t>
      </w:r>
      <w:r>
        <w:rPr/>
        <w:t>도면</w:t>
      </w:r>
      <w:r>
        <w:rPr/>
        <w:t xml:space="preserve">, </w:t>
      </w:r>
      <w:r>
        <w:rPr/>
        <w:t>디자인의 대상이 되는 물품</w:t>
      </w:r>
      <w:r>
        <w:rPr/>
        <w:t xml:space="preserve">, </w:t>
      </w:r>
      <w:r>
        <w:rPr/>
        <w:t>물품류</w:t>
      </w:r>
      <w:r>
        <w:rPr/>
        <w:t xml:space="preserve">, </w:t>
      </w:r>
      <w:r>
        <w:rPr/>
        <w:t>디자인을 창작한 사람의 성명 및 주소</w:t>
      </w:r>
      <w:r>
        <w:rPr/>
        <w:t xml:space="preserve">, </w:t>
      </w:r>
      <w:r>
        <w:rPr/>
        <w:t>디자인의 설명은 이 법에 따른 디자인등록출원인의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 xml:space="preserve">), </w:t>
      </w:r>
      <w:r>
        <w:rPr/>
        <w:t>도면</w:t>
      </w:r>
      <w:r>
        <w:rPr/>
        <w:t xml:space="preserve">, </w:t>
      </w:r>
      <w:r>
        <w:rPr/>
        <w:t>디자인의 대상이 되는 물품</w:t>
      </w:r>
      <w:r>
        <w:rPr/>
        <w:t xml:space="preserve">, </w:t>
      </w:r>
      <w:r>
        <w:rPr/>
        <w:t>물품류</w:t>
      </w:r>
      <w:r>
        <w:rPr/>
        <w:t xml:space="preserve">, </w:t>
      </w:r>
      <w:r>
        <w:rPr/>
        <w:t>디자인을 창작한 사람의 성명 및 주소</w:t>
      </w:r>
      <w:r>
        <w:rPr/>
        <w:t xml:space="preserve">, </w:t>
      </w:r>
      <w:r>
        <w:rPr/>
        <w:t>디자인의 설명으로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180</w:t>
      </w:r>
      <w:r>
        <w:rPr/>
        <w:t>조</w:t>
      </w:r>
      <w:r>
        <w:rPr/>
        <w:t>(</w:t>
      </w:r>
      <w:r>
        <w:rPr/>
        <w:t>디자인등록요건의 특례</w:t>
      </w:r>
      <w:r>
        <w:rPr/>
        <w:t xml:space="preserve">) </w:t>
      </w:r>
      <w:r>
        <w:rPr/>
        <w:t>제</w:t>
      </w:r>
      <w:r>
        <w:rPr/>
        <w:t>33</w:t>
      </w:r>
      <w:r>
        <w:rPr/>
        <w:t>조제</w:t>
      </w:r>
      <w:r>
        <w:rPr/>
        <w:t>3</w:t>
      </w:r>
      <w:r>
        <w:rPr/>
        <w:t xml:space="preserve">항을 국제디자인등록출원에 대하여 적용할 때에 </w:t>
      </w:r>
      <w:r>
        <w:rPr/>
        <w:t>"</w:t>
      </w:r>
      <w:r>
        <w:rPr/>
        <w:t>제</w:t>
      </w:r>
      <w:r>
        <w:rPr/>
        <w:t>52</w:t>
      </w:r>
      <w:r>
        <w:rPr/>
        <w:t>조</w:t>
      </w:r>
      <w:r>
        <w:rPr/>
        <w:t xml:space="preserve">, </w:t>
      </w:r>
      <w:r>
        <w:rPr/>
        <w:t>제</w:t>
      </w:r>
      <w:r>
        <w:rPr/>
        <w:t>56</w:t>
      </w:r>
      <w:r>
        <w:rPr/>
        <w:t>조 또는 제</w:t>
      </w:r>
      <w:r>
        <w:rPr/>
        <w:t>90</w:t>
      </w:r>
      <w:r>
        <w:rPr/>
        <w:t>조제</w:t>
      </w:r>
      <w:r>
        <w:rPr/>
        <w:t>3</w:t>
      </w:r>
      <w:r>
        <w:rPr/>
        <w:t>항에 따라 디자인공보</w:t>
      </w:r>
      <w:r>
        <w:rPr/>
        <w:t>"</w:t>
      </w:r>
      <w:r>
        <w:rPr/>
        <w:t xml:space="preserve">는 </w:t>
      </w:r>
      <w:r>
        <w:rPr/>
        <w:t>"</w:t>
      </w:r>
      <w:r>
        <w:rPr/>
        <w:t>헤이그협정 제</w:t>
      </w:r>
      <w:r>
        <w:rPr/>
        <w:t>10</w:t>
      </w:r>
      <w:r>
        <w:rPr/>
        <w:t>조</w:t>
      </w:r>
      <w:r>
        <w:rPr/>
        <w:t>(3)</w:t>
      </w:r>
      <w:r>
        <w:rPr/>
        <w:t>에 따른 국제등록공보</w:t>
      </w:r>
      <w:r>
        <w:rPr/>
        <w:t xml:space="preserve">, </w:t>
      </w:r>
      <w:r>
        <w:rPr/>
        <w:t>제</w:t>
      </w:r>
      <w:r>
        <w:rPr/>
        <w:t>56</w:t>
      </w:r>
      <w:r>
        <w:rPr/>
        <w:t>조 또는 제</w:t>
      </w:r>
      <w:r>
        <w:rPr/>
        <w:t>90</w:t>
      </w:r>
      <w:r>
        <w:rPr/>
        <w:t>조제</w:t>
      </w:r>
      <w:r>
        <w:rPr/>
        <w:t>3</w:t>
      </w:r>
      <w:r>
        <w:rPr/>
        <w:t>항에 따라 디자인공보</w:t>
      </w:r>
      <w:r>
        <w:rPr/>
        <w:t>"</w:t>
      </w:r>
      <w:r>
        <w:rPr/>
        <w:t>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181</w:t>
      </w:r>
      <w:r>
        <w:rPr/>
        <w:t>조</w:t>
      </w:r>
      <w:r>
        <w:rPr/>
        <w:t>(</w:t>
      </w:r>
      <w:r>
        <w:rPr/>
        <w:t>디자인등록출원의 특례</w:t>
      </w:r>
      <w:r>
        <w:rPr/>
        <w:t xml:space="preserve">) ① </w:t>
      </w:r>
      <w:r>
        <w:rPr/>
        <w:t>국제디자인등록출원에 대하여 이 법을 적용할 때에 국제등록공개는 제</w:t>
      </w:r>
      <w:r>
        <w:rPr/>
        <w:t>37</w:t>
      </w:r>
      <w:r>
        <w:rPr/>
        <w:t>조제</w:t>
      </w:r>
      <w:r>
        <w:rPr/>
        <w:t>1</w:t>
      </w:r>
      <w:r>
        <w:rPr/>
        <w:t>항에 따른 디자인등록출원서의 제출로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국제디자인등록출원에 대하여 이 법을 적용할 때에 국제등록부에 등재된 사항과 도면은 제</w:t>
      </w:r>
      <w:r>
        <w:rPr/>
        <w:t>37</w:t>
      </w:r>
      <w:r>
        <w:rPr/>
        <w:t>조제</w:t>
      </w:r>
      <w:r>
        <w:rPr/>
        <w:t>1</w:t>
      </w:r>
      <w:r>
        <w:rPr/>
        <w:t>항 및 제</w:t>
      </w:r>
      <w:r>
        <w:rPr/>
        <w:t>2</w:t>
      </w:r>
      <w:r>
        <w:rPr/>
        <w:t>항에 따른 디자인등록출원서의 기재사항과 도면으로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국제디자인등록출원에 대하여는 제</w:t>
      </w:r>
      <w:r>
        <w:rPr/>
        <w:t>37</w:t>
      </w:r>
      <w:r>
        <w:rPr/>
        <w:t>조제</w:t>
      </w:r>
      <w:r>
        <w:rPr/>
        <w:t>2</w:t>
      </w:r>
      <w:r>
        <w:rPr/>
        <w:t>항제</w:t>
      </w:r>
      <w:r>
        <w:rPr/>
        <w:t>2</w:t>
      </w:r>
      <w:r>
        <w:rPr/>
        <w:t>호 중 창작내용의 요점 및 같은 조 제</w:t>
      </w:r>
      <w:r>
        <w:rPr/>
        <w:t>3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182</w:t>
      </w:r>
      <w:r>
        <w:rPr/>
        <w:t>조</w:t>
      </w:r>
      <w:r>
        <w:rPr/>
        <w:t>(</w:t>
      </w:r>
      <w:r>
        <w:rPr/>
        <w:t>출원일 인정 등의 특례</w:t>
      </w:r>
      <w:r>
        <w:rPr/>
        <w:t xml:space="preserve">) </w:t>
      </w:r>
      <w:r>
        <w:rPr/>
        <w:t>국제디자인등록출원에 대하여는 제</w:t>
      </w:r>
      <w:r>
        <w:rPr/>
        <w:t>38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183</w:t>
      </w:r>
      <w:r>
        <w:rPr/>
        <w:t>조</w:t>
      </w:r>
      <w:r>
        <w:rPr/>
        <w:t>(</w:t>
      </w:r>
      <w:r>
        <w:rPr/>
        <w:t>국제등록의 소멸로 인한 국제디자인등록출원 또는 국제등록디자인권의 취하 등</w:t>
      </w:r>
      <w:r>
        <w:rPr/>
        <w:t xml:space="preserve">) ① </w:t>
      </w:r>
      <w:r>
        <w:rPr/>
        <w:t>헤이그협정 제</w:t>
      </w:r>
      <w:r>
        <w:rPr/>
        <w:t>16</w:t>
      </w:r>
      <w:r>
        <w:rPr/>
        <w:t>조</w:t>
      </w:r>
      <w:r>
        <w:rPr/>
        <w:t>(1)(ⅳ)</w:t>
      </w:r>
      <w:r>
        <w:rPr/>
        <w:t>에 따른 포기 및 같은 협정 제</w:t>
      </w:r>
      <w:r>
        <w:rPr/>
        <w:t>16</w:t>
      </w:r>
      <w:r>
        <w:rPr/>
        <w:t>조</w:t>
      </w:r>
      <w:r>
        <w:rPr/>
        <w:t>(1)(ⅴ)</w:t>
      </w:r>
      <w:r>
        <w:rPr/>
        <w:t>에 따른 감축 등 변경사항의 등재에 따라 국제등록의 전부 또는 일부가 소멸된 경우에는 그 소멸된 범위에서 해당 국제디자인등록출원의 전부 또는 일부가 취하된 것으로 보며</w:t>
      </w:r>
      <w:r>
        <w:rPr/>
        <w:t xml:space="preserve">, </w:t>
      </w:r>
      <w:r>
        <w:rPr/>
        <w:t>국제등록디자인권</w:t>
      </w:r>
      <w:r>
        <w:rPr/>
        <w:t>(</w:t>
      </w:r>
      <w:r>
        <w:rPr/>
        <w:t>국제디자인등록출원인이 제</w:t>
      </w:r>
      <w:r>
        <w:rPr/>
        <w:t>198</w:t>
      </w:r>
      <w:r>
        <w:rPr/>
        <w:t>조제</w:t>
      </w:r>
      <w:r>
        <w:rPr/>
        <w:t>2</w:t>
      </w:r>
      <w:r>
        <w:rPr/>
        <w:t>항에 따라 국내에서 설정등록을 받은 디자인권을 말한다</w:t>
      </w:r>
      <w:r>
        <w:rPr/>
        <w:t xml:space="preserve">. </w:t>
      </w:r>
      <w:r>
        <w:rPr/>
        <w:t>이하 같다</w:t>
      </w:r>
      <w:r>
        <w:rPr/>
        <w:t>)</w:t>
      </w:r>
      <w:r>
        <w:rPr/>
        <w:t>의 전부 또는 일부가 포기된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취하 또는 포기의 효력은 국제등록부에 해당 국제등록의 변경사항이 등재된 날부터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184</w:t>
      </w:r>
      <w:r>
        <w:rPr/>
        <w:t>조</w:t>
      </w:r>
      <w:r>
        <w:rPr/>
        <w:t>(</w:t>
      </w:r>
      <w:r>
        <w:rPr/>
        <w:t>비밀디자인의 특례</w:t>
      </w:r>
      <w:r>
        <w:rPr/>
        <w:t xml:space="preserve">) </w:t>
      </w:r>
      <w:r>
        <w:rPr/>
        <w:t>국제디자인등록출원에 대하여는 제</w:t>
      </w:r>
      <w:r>
        <w:rPr/>
        <w:t>43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185</w:t>
      </w:r>
      <w:r>
        <w:rPr/>
        <w:t>조</w:t>
      </w:r>
      <w:r>
        <w:rPr/>
        <w:t>(</w:t>
      </w:r>
      <w:r>
        <w:rPr/>
        <w:t>국제등록공개의 연기가 신청된 국제디자인등록출원의 열람 등</w:t>
      </w:r>
      <w:r>
        <w:rPr/>
        <w:t xml:space="preserve">) ① </w:t>
      </w:r>
      <w:r>
        <w:rPr/>
        <w:t>특허청장은 헤이그협정 제</w:t>
      </w:r>
      <w:r>
        <w:rPr/>
        <w:t>11</w:t>
      </w:r>
      <w:r>
        <w:rPr/>
        <w:t>조에 따라 국제등록공개의 연기가 신청된 국제디자인등록출원에 대하여 다음 각 호의 어느 하나에 해당하는 경우에는 같은 협정 제</w:t>
      </w:r>
      <w:r>
        <w:rPr/>
        <w:t>10</w:t>
      </w:r>
      <w:r>
        <w:rPr/>
        <w:t>조</w:t>
      </w:r>
      <w:r>
        <w:rPr/>
        <w:t>(5)(a)</w:t>
      </w:r>
      <w:r>
        <w:rPr/>
        <w:t>에 따른 비밀사본의 열람청구에 응하여야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국제디자인등록출원을 한 자</w:t>
      </w:r>
      <w:r>
        <w:rPr/>
        <w:t>(</w:t>
      </w:r>
      <w:r>
        <w:rPr/>
        <w:t xml:space="preserve">이하 이 절에서 </w:t>
      </w:r>
      <w:r>
        <w:rPr/>
        <w:t>"</w:t>
      </w:r>
      <w:r>
        <w:rPr/>
        <w:t>국제디자인등록출원인</w:t>
      </w:r>
      <w:r>
        <w:rPr/>
        <w:t>"</w:t>
      </w:r>
      <w:r>
        <w:rPr/>
        <w:t>이라 한다</w:t>
      </w:r>
      <w:r>
        <w:rPr/>
        <w:t>)</w:t>
      </w:r>
      <w:r>
        <w:rPr/>
        <w:t>의 자격에 관한 행정적 또는 사법적 절차의 진행을 목적으로 분쟁 당사자가 국제디자인등록출원에 대한 열람청구를 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국제등록부에 등재된 국제등록명의인의 동의를 받은 자가 열람청구를 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비밀사본을 열람한 자는 그 열람한 내용을 무단으로 촬영ㆍ복사 등의 방법으로 취득하거나 알게 된 내용을 누설ㆍ도용하여서는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186</w:t>
      </w:r>
      <w:r>
        <w:rPr/>
        <w:t>조</w:t>
      </w:r>
      <w:r>
        <w:rPr/>
        <w:t>(</w:t>
      </w:r>
      <w:r>
        <w:rPr/>
        <w:t>출원보정의 특례</w:t>
      </w:r>
      <w:r>
        <w:rPr/>
        <w:t xml:space="preserve">) ① </w:t>
      </w:r>
      <w:r>
        <w:rPr/>
        <w:t>제</w:t>
      </w:r>
      <w:r>
        <w:rPr/>
        <w:t>48</w:t>
      </w:r>
      <w:r>
        <w:rPr/>
        <w:t>조제</w:t>
      </w:r>
      <w:r>
        <w:rPr/>
        <w:t>1</w:t>
      </w:r>
      <w:r>
        <w:rPr/>
        <w:t xml:space="preserve">항을 국제디자인등록출원에 대하여 적용할 때에 </w:t>
      </w:r>
      <w:r>
        <w:rPr/>
        <w:t>"</w:t>
      </w:r>
      <w:r>
        <w:rPr/>
        <w:t>도면의 기재사항이나 사진 또는 견본</w:t>
      </w:r>
      <w:r>
        <w:rPr/>
        <w:t>"</w:t>
      </w:r>
      <w:r>
        <w:rPr/>
        <w:t xml:space="preserve">은 </w:t>
      </w:r>
      <w:r>
        <w:rPr/>
        <w:t>"</w:t>
      </w:r>
      <w:r>
        <w:rPr/>
        <w:t>도면의 기재사항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국제디자인등록출원에 대하여는 제</w:t>
      </w:r>
      <w:r>
        <w:rPr/>
        <w:t>48</w:t>
      </w:r>
      <w:r>
        <w:rPr/>
        <w:t>조제</w:t>
      </w:r>
      <w:r>
        <w:rPr/>
        <w:t>3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48</w:t>
      </w:r>
      <w:r>
        <w:rPr/>
        <w:t>조제</w:t>
      </w:r>
      <w:r>
        <w:rPr/>
        <w:t>4</w:t>
      </w:r>
      <w:r>
        <w:rPr/>
        <w:t xml:space="preserve">항을 국제디자인등록출원에 대하여 적용할 때에 </w:t>
      </w:r>
      <w:r>
        <w:rPr/>
        <w:t>"</w:t>
      </w:r>
      <w:r>
        <w:rPr/>
        <w:t>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</w:t>
      </w:r>
      <w:r>
        <w:rPr/>
        <w:t>"</w:t>
      </w:r>
      <w:r>
        <w:rPr/>
        <w:t xml:space="preserve">은 </w:t>
      </w:r>
      <w:r>
        <w:rPr/>
        <w:t>"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</w:t>
      </w:r>
      <w:r>
        <w:rPr/>
        <w:t>"</w:t>
      </w:r>
      <w:r>
        <w:rPr/>
        <w:t>으로 하고</w:t>
      </w:r>
      <w:r>
        <w:rPr/>
        <w:t>, "</w:t>
      </w:r>
      <w:r>
        <w:rPr/>
        <w:t>제</w:t>
      </w:r>
      <w:r>
        <w:rPr/>
        <w:t>62</w:t>
      </w:r>
      <w:r>
        <w:rPr/>
        <w:t>조에 따른 디자인등록거절결정</w:t>
      </w:r>
      <w:r>
        <w:rPr/>
        <w:t>"</w:t>
      </w:r>
      <w:r>
        <w:rPr/>
        <w:t xml:space="preserve">은 </w:t>
      </w:r>
      <w:r>
        <w:rPr/>
        <w:t>"</w:t>
      </w:r>
      <w:r>
        <w:rPr/>
        <w:t>헤이그협정 제</w:t>
      </w:r>
      <w:r>
        <w:rPr/>
        <w:t>10</w:t>
      </w:r>
      <w:r>
        <w:rPr/>
        <w:t>조</w:t>
      </w:r>
      <w:r>
        <w:rPr/>
        <w:t>(3)</w:t>
      </w:r>
      <w:r>
        <w:rPr/>
        <w:t>에 따른 국제등록공개가 있은 날부터 제</w:t>
      </w:r>
      <w:r>
        <w:rPr/>
        <w:t>62</w:t>
      </w:r>
      <w:r>
        <w:rPr/>
        <w:t>조에 따른 디자인등록거절결정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48</w:t>
      </w:r>
      <w:r>
        <w:rPr/>
        <w:t>조제</w:t>
      </w:r>
      <w:r>
        <w:rPr/>
        <w:t>5</w:t>
      </w:r>
      <w:r>
        <w:rPr/>
        <w:t xml:space="preserve">항을 국제디자인등록출원에 대하여 적용할 때에 </w:t>
      </w:r>
      <w:r>
        <w:rPr/>
        <w:t>"</w:t>
      </w:r>
      <w:r>
        <w:rPr/>
        <w:t>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</w:t>
      </w:r>
      <w:r>
        <w:rPr/>
        <w:t>"</w:t>
      </w:r>
      <w:r>
        <w:rPr/>
        <w:t xml:space="preserve">은 </w:t>
      </w:r>
      <w:r>
        <w:rPr/>
        <w:t>"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187</w:t>
      </w:r>
      <w:r>
        <w:rPr/>
        <w:t>조</w:t>
      </w:r>
      <w:r>
        <w:rPr/>
        <w:t>(</w:t>
      </w:r>
      <w:r>
        <w:rPr/>
        <w:t>분할출원의 특례</w:t>
      </w:r>
      <w:r>
        <w:rPr/>
        <w:t xml:space="preserve">) ① </w:t>
      </w:r>
      <w:r>
        <w:rPr/>
        <w:t>제</w:t>
      </w:r>
      <w:r>
        <w:rPr/>
        <w:t>50</w:t>
      </w:r>
      <w:r>
        <w:rPr/>
        <w:t>조제</w:t>
      </w:r>
      <w:r>
        <w:rPr/>
        <w:t>1</w:t>
      </w:r>
      <w:r>
        <w:rPr/>
        <w:t xml:space="preserve">항을 국제디자인등록출원에 대하여 적용할 때에 </w:t>
      </w:r>
      <w:r>
        <w:rPr/>
        <w:t>"</w:t>
      </w:r>
      <w:r>
        <w:rPr/>
        <w:t>디자인등록출원의 일부</w:t>
      </w:r>
      <w:r>
        <w:rPr/>
        <w:t>"</w:t>
      </w:r>
      <w:r>
        <w:rPr/>
        <w:t xml:space="preserve">는 </w:t>
      </w:r>
      <w:r>
        <w:rPr/>
        <w:t>"</w:t>
      </w:r>
      <w:r>
        <w:rPr/>
        <w:t>제</w:t>
      </w:r>
      <w:r>
        <w:rPr/>
        <w:t>63</w:t>
      </w:r>
      <w:r>
        <w:rPr/>
        <w:t>조에 따른 거절이유통지를 받은 경우에만 디자인등록출원의 일부</w:t>
      </w:r>
      <w:r>
        <w:rPr/>
        <w:t>"</w:t>
      </w:r>
      <w:r>
        <w:rPr/>
        <w:t>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50</w:t>
      </w:r>
      <w:r>
        <w:rPr/>
        <w:t>조제</w:t>
      </w:r>
      <w:r>
        <w:rPr/>
        <w:t>3</w:t>
      </w:r>
      <w:r>
        <w:rPr/>
        <w:t xml:space="preserve">항을 국제디자인등록출원에 대하여 적용할 때에 </w:t>
      </w:r>
      <w:r>
        <w:rPr/>
        <w:t>"</w:t>
      </w:r>
      <w:r>
        <w:rPr/>
        <w:t>제</w:t>
      </w:r>
      <w:r>
        <w:rPr/>
        <w:t>48</w:t>
      </w:r>
      <w:r>
        <w:rPr/>
        <w:t>조제</w:t>
      </w:r>
      <w:r>
        <w:rPr/>
        <w:t>4</w:t>
      </w:r>
      <w:r>
        <w:rPr/>
        <w:t>항</w:t>
      </w:r>
      <w:r>
        <w:rPr/>
        <w:t>"</w:t>
      </w:r>
      <w:r>
        <w:rPr/>
        <w:t xml:space="preserve">은 </w:t>
      </w:r>
      <w:r>
        <w:rPr/>
        <w:t>"</w:t>
      </w:r>
      <w:r>
        <w:rPr/>
        <w:t>제</w:t>
      </w:r>
      <w:r>
        <w:rPr/>
        <w:t>186</w:t>
      </w:r>
      <w:r>
        <w:rPr/>
        <w:t>조제</w:t>
      </w:r>
      <w:r>
        <w:rPr/>
        <w:t>3</w:t>
      </w:r>
      <w:r>
        <w:rPr/>
        <w:t>항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188</w:t>
      </w:r>
      <w:r>
        <w:rPr/>
        <w:t>조</w:t>
      </w:r>
      <w:r>
        <w:rPr/>
        <w:t>(</w:t>
      </w:r>
      <w:r>
        <w:rPr/>
        <w:t>조약에 따른 우선권 주장의 특례</w:t>
      </w:r>
      <w:r>
        <w:rPr/>
        <w:t xml:space="preserve">) </w:t>
      </w:r>
      <w:r>
        <w:rPr/>
        <w:t>제</w:t>
      </w:r>
      <w:r>
        <w:rPr/>
        <w:t>51</w:t>
      </w:r>
      <w:r>
        <w:rPr/>
        <w:t>조제</w:t>
      </w:r>
      <w:r>
        <w:rPr/>
        <w:t>4</w:t>
      </w:r>
      <w:r>
        <w:rPr/>
        <w:t xml:space="preserve">항을 국제디자인등록출원에 대하여 적용할 때에 </w:t>
      </w:r>
      <w:r>
        <w:rPr/>
        <w:t>"</w:t>
      </w:r>
      <w:r>
        <w:rPr/>
        <w:t>디자인등록출원일</w:t>
      </w:r>
      <w:r>
        <w:rPr/>
        <w:t>"</w:t>
      </w:r>
      <w:r>
        <w:rPr/>
        <w:t xml:space="preserve">은 </w:t>
      </w:r>
      <w:r>
        <w:rPr/>
        <w:t>"</w:t>
      </w:r>
      <w:r>
        <w:rPr/>
        <w:t>헤이그협정 제</w:t>
      </w:r>
      <w:r>
        <w:rPr/>
        <w:t>10</w:t>
      </w:r>
      <w:r>
        <w:rPr/>
        <w:t>조</w:t>
      </w:r>
      <w:r>
        <w:rPr/>
        <w:t>(3)</w:t>
      </w:r>
      <w:r>
        <w:rPr/>
        <w:t>에 따른 국제등록공개가 있은 날</w:t>
      </w:r>
      <w:r>
        <w:rPr/>
        <w:t>"</w:t>
      </w:r>
      <w:r>
        <w:rPr/>
        <w:t>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189</w:t>
      </w:r>
      <w:r>
        <w:rPr/>
        <w:t>조</w:t>
      </w:r>
      <w:r>
        <w:rPr/>
        <w:t>(</w:t>
      </w:r>
      <w:r>
        <w:rPr/>
        <w:t>출원공개의 특례</w:t>
      </w:r>
      <w:r>
        <w:rPr/>
        <w:t xml:space="preserve">) </w:t>
      </w:r>
      <w:r>
        <w:rPr/>
        <w:t>국제디자인등록출원에 대하여는 제</w:t>
      </w:r>
      <w:r>
        <w:rPr/>
        <w:t>52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190</w:t>
      </w:r>
      <w:r>
        <w:rPr/>
        <w:t>조</w:t>
      </w:r>
      <w:r>
        <w:rPr/>
        <w:t>(</w:t>
      </w:r>
      <w:r>
        <w:rPr/>
        <w:t>출원공개 효과의 특례</w:t>
      </w:r>
      <w:r>
        <w:rPr/>
        <w:t xml:space="preserve">) </w:t>
      </w:r>
      <w:r>
        <w:rPr/>
        <w:t>제</w:t>
      </w:r>
      <w:r>
        <w:rPr/>
        <w:t>53</w:t>
      </w:r>
      <w:r>
        <w:rPr/>
        <w:t>조제</w:t>
      </w:r>
      <w:r>
        <w:rPr/>
        <w:t>1</w:t>
      </w:r>
      <w:r>
        <w:rPr/>
        <w:t xml:space="preserve">항을 국제디자인등록출원에 대하여 적용할 때 </w:t>
      </w:r>
      <w:r>
        <w:rPr/>
        <w:t>"</w:t>
      </w:r>
      <w:r>
        <w:rPr/>
        <w:t>제</w:t>
      </w:r>
      <w:r>
        <w:rPr/>
        <w:t>52</w:t>
      </w:r>
      <w:r>
        <w:rPr/>
        <w:t>조에 따른 출원공개</w:t>
      </w:r>
      <w:r>
        <w:rPr/>
        <w:t>"</w:t>
      </w:r>
      <w:r>
        <w:rPr/>
        <w:t xml:space="preserve">는 </w:t>
      </w:r>
      <w:r>
        <w:rPr/>
        <w:t>"</w:t>
      </w:r>
      <w:r>
        <w:rPr/>
        <w:t>헤이그협정 제</w:t>
      </w:r>
      <w:r>
        <w:rPr/>
        <w:t>10</w:t>
      </w:r>
      <w:r>
        <w:rPr/>
        <w:t>조</w:t>
      </w:r>
      <w:r>
        <w:rPr/>
        <w:t>(3)</w:t>
      </w:r>
      <w:r>
        <w:rPr/>
        <w:t>에 따른 국제등록공개</w:t>
      </w:r>
      <w:r>
        <w:rPr/>
        <w:t>"</w:t>
      </w:r>
      <w:r>
        <w:rPr/>
        <w:t>로 하며</w:t>
      </w:r>
      <w:r>
        <w:rPr/>
        <w:t xml:space="preserve">, </w:t>
      </w:r>
      <w:r>
        <w:rPr/>
        <w:t>같은 조 제</w:t>
      </w:r>
      <w:r>
        <w:rPr/>
        <w:t>2</w:t>
      </w:r>
      <w:r>
        <w:rPr/>
        <w:t>항 및 제</w:t>
      </w:r>
      <w:r>
        <w:rPr/>
        <w:t>6</w:t>
      </w:r>
      <w:r>
        <w:rPr/>
        <w:t xml:space="preserve">항을 국제디자인등록출원에 대하여 적용할 때 </w:t>
      </w:r>
      <w:r>
        <w:rPr/>
        <w:t>"</w:t>
      </w:r>
      <w:r>
        <w:rPr/>
        <w:t>제</w:t>
      </w:r>
      <w:r>
        <w:rPr/>
        <w:t>52</w:t>
      </w:r>
      <w:r>
        <w:rPr/>
        <w:t>조에 따라 출원공개된</w:t>
      </w:r>
      <w:r>
        <w:rPr/>
        <w:t>"</w:t>
      </w:r>
      <w:r>
        <w:rPr/>
        <w:t xml:space="preserve">은 각각 </w:t>
      </w:r>
      <w:r>
        <w:rPr/>
        <w:t>"</w:t>
      </w:r>
      <w:r>
        <w:rPr/>
        <w:t>헤이그협정 제</w:t>
      </w:r>
      <w:r>
        <w:rPr/>
        <w:t>10</w:t>
      </w:r>
      <w:r>
        <w:rPr/>
        <w:t>조</w:t>
      </w:r>
      <w:r>
        <w:rPr/>
        <w:t>(3)</w:t>
      </w:r>
      <w:r>
        <w:rPr/>
        <w:t>에 따라 국제등록공개된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191</w:t>
      </w:r>
      <w:r>
        <w:rPr/>
        <w:t>조</w:t>
      </w:r>
      <w:r>
        <w:rPr/>
        <w:t>(</w:t>
      </w:r>
      <w:r>
        <w:rPr/>
        <w:t>디자인등록을 받을 수 있는 권리 승계의 특례</w:t>
      </w:r>
      <w:r>
        <w:rPr/>
        <w:t xml:space="preserve">) ① </w:t>
      </w:r>
      <w:r>
        <w:rPr/>
        <w:t>제</w:t>
      </w:r>
      <w:r>
        <w:rPr/>
        <w:t>57</w:t>
      </w:r>
      <w:r>
        <w:rPr/>
        <w:t>조제</w:t>
      </w:r>
      <w:r>
        <w:rPr/>
        <w:t>3</w:t>
      </w:r>
      <w:r>
        <w:rPr/>
        <w:t xml:space="preserve">항을 국제디자인등록출원에 대하여 적용할 때에 </w:t>
      </w:r>
      <w:r>
        <w:rPr/>
        <w:t>"</w:t>
      </w:r>
      <w:r>
        <w:rPr/>
        <w:t>상속이나 그 밖의 일반승계의 경우를 제외하고는 디자인등록출원인 변경신고</w:t>
      </w:r>
      <w:r>
        <w:rPr/>
        <w:t>"</w:t>
      </w:r>
      <w:r>
        <w:rPr/>
        <w:t xml:space="preserve">는 </w:t>
      </w:r>
      <w:r>
        <w:rPr/>
        <w:t>"</w:t>
      </w:r>
      <w:r>
        <w:rPr/>
        <w:t>국제디자인등록출원인이 국제사무국에 명의변경신고</w:t>
      </w:r>
      <w:r>
        <w:rPr/>
        <w:t>"</w:t>
      </w:r>
      <w:r>
        <w:rPr/>
        <w:t>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국제디자인등록출원에 대하여는 제</w:t>
      </w:r>
      <w:r>
        <w:rPr/>
        <w:t>57</w:t>
      </w:r>
      <w:r>
        <w:rPr/>
        <w:t>조제</w:t>
      </w:r>
      <w:r>
        <w:rPr/>
        <w:t>4</w:t>
      </w:r>
      <w:r>
        <w:rPr/>
        <w:t>항 및 제</w:t>
      </w:r>
      <w:r>
        <w:rPr/>
        <w:t>5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57</w:t>
      </w:r>
      <w:r>
        <w:rPr/>
        <w:t>조제</w:t>
      </w:r>
      <w:r>
        <w:rPr/>
        <w:t>6</w:t>
      </w:r>
      <w:r>
        <w:rPr/>
        <w:t xml:space="preserve">항을 국제디자인등록출원에 대하여 적용할 때에 </w:t>
      </w:r>
      <w:r>
        <w:rPr/>
        <w:t>"</w:t>
      </w:r>
      <w:r>
        <w:rPr/>
        <w:t>제</w:t>
      </w:r>
      <w:r>
        <w:rPr/>
        <w:t>2</w:t>
      </w:r>
      <w:r>
        <w:rPr/>
        <w:t>항 및 제</w:t>
      </w:r>
      <w:r>
        <w:rPr/>
        <w:t>5</w:t>
      </w:r>
      <w:r>
        <w:rPr/>
        <w:t>항</w:t>
      </w:r>
      <w:r>
        <w:rPr/>
        <w:t>"</w:t>
      </w:r>
      <w:r>
        <w:rPr/>
        <w:t xml:space="preserve">은 </w:t>
      </w:r>
      <w:r>
        <w:rPr/>
        <w:t>"</w:t>
      </w:r>
      <w:r>
        <w:rPr/>
        <w:t>제</w:t>
      </w:r>
      <w:r>
        <w:rPr/>
        <w:t>2</w:t>
      </w:r>
      <w:r>
        <w:rPr/>
        <w:t>항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192</w:t>
      </w:r>
      <w:r>
        <w:rPr/>
        <w:t>조</w:t>
      </w:r>
      <w:r>
        <w:rPr/>
        <w:t>(</w:t>
      </w:r>
      <w:r>
        <w:rPr/>
        <w:t>우선심사의 특례</w:t>
      </w:r>
      <w:r>
        <w:rPr/>
        <w:t xml:space="preserve">) </w:t>
      </w:r>
      <w:r>
        <w:rPr/>
        <w:t>제</w:t>
      </w:r>
      <w:r>
        <w:rPr/>
        <w:t>61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 xml:space="preserve">호를 국제디자인등록출원에 대하여 적용할 때에 </w:t>
      </w:r>
      <w:r>
        <w:rPr/>
        <w:t>"</w:t>
      </w:r>
      <w:r>
        <w:rPr/>
        <w:t>제</w:t>
      </w:r>
      <w:r>
        <w:rPr/>
        <w:t>52</w:t>
      </w:r>
      <w:r>
        <w:rPr/>
        <w:t>조에 따른 출원공개</w:t>
      </w:r>
      <w:r>
        <w:rPr/>
        <w:t>"</w:t>
      </w:r>
      <w:r>
        <w:rPr/>
        <w:t xml:space="preserve">는 </w:t>
      </w:r>
      <w:r>
        <w:rPr/>
        <w:t>"</w:t>
      </w:r>
      <w:r>
        <w:rPr/>
        <w:t>헤이그협정 제</w:t>
      </w:r>
      <w:r>
        <w:rPr/>
        <w:t>10</w:t>
      </w:r>
      <w:r>
        <w:rPr/>
        <w:t>조</w:t>
      </w:r>
      <w:r>
        <w:rPr/>
        <w:t>(3)</w:t>
      </w:r>
      <w:r>
        <w:rPr/>
        <w:t>에 따른 국제등록공개</w:t>
      </w:r>
      <w:r>
        <w:rPr/>
        <w:t>"</w:t>
      </w:r>
      <w:r>
        <w:rPr/>
        <w:t>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193</w:t>
      </w:r>
      <w:r>
        <w:rPr/>
        <w:t>조</w:t>
      </w:r>
      <w:r>
        <w:rPr/>
        <w:t>(</w:t>
      </w:r>
      <w:r>
        <w:rPr/>
        <w:t>거절결정의 특례</w:t>
      </w:r>
      <w:r>
        <w:rPr/>
        <w:t xml:space="preserve">) </w:t>
      </w:r>
      <w:r>
        <w:rPr/>
        <w:t>국제디자인등록출원에 대하여는 제</w:t>
      </w:r>
      <w:r>
        <w:rPr/>
        <w:t>62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 중 제</w:t>
      </w:r>
      <w:r>
        <w:rPr/>
        <w:t>37</w:t>
      </w:r>
      <w:r>
        <w:rPr/>
        <w:t>조제</w:t>
      </w:r>
      <w:r>
        <w:rPr/>
        <w:t>4</w:t>
      </w:r>
      <w:r>
        <w:rPr/>
        <w:t>항에 따라 디자인등록을 받을 수 없는 경우는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194</w:t>
      </w:r>
      <w:r>
        <w:rPr/>
        <w:t>조</w:t>
      </w:r>
      <w:r>
        <w:rPr/>
        <w:t>(</w:t>
      </w:r>
      <w:r>
        <w:rPr/>
        <w:t>거절이유통지의 특례</w:t>
      </w:r>
      <w:r>
        <w:rPr/>
        <w:t xml:space="preserve">) </w:t>
      </w:r>
      <w:r>
        <w:rPr/>
        <w:t>제</w:t>
      </w:r>
      <w:r>
        <w:rPr/>
        <w:t>63</w:t>
      </w:r>
      <w:r>
        <w:rPr/>
        <w:t>조제</w:t>
      </w:r>
      <w:r>
        <w:rPr/>
        <w:t>1</w:t>
      </w:r>
      <w:r>
        <w:rPr/>
        <w:t xml:space="preserve">항을 국제디자인등록출원에 대하여 적용할 때에 </w:t>
      </w:r>
      <w:r>
        <w:rPr/>
        <w:t>"</w:t>
      </w:r>
      <w:r>
        <w:rPr/>
        <w:t>디자인등록출원인에게</w:t>
      </w:r>
      <w:r>
        <w:rPr/>
        <w:t>"</w:t>
      </w:r>
      <w:r>
        <w:rPr/>
        <w:t xml:space="preserve">는 </w:t>
      </w:r>
      <w:r>
        <w:rPr/>
        <w:t>"</w:t>
      </w:r>
      <w:r>
        <w:rPr/>
        <w:t>국제사무국을 통하여 국제디자인등록출원인에게</w:t>
      </w:r>
      <w:r>
        <w:rPr/>
        <w:t>"</w:t>
      </w:r>
      <w:r>
        <w:rPr/>
        <w:t>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195</w:t>
      </w:r>
      <w:r>
        <w:rPr/>
        <w:t>조</w:t>
      </w:r>
      <w:r>
        <w:rPr/>
        <w:t>(</w:t>
      </w:r>
      <w:r>
        <w:rPr/>
        <w:t>직권보정의 특례</w:t>
      </w:r>
      <w:r>
        <w:rPr/>
        <w:t xml:space="preserve">) </w:t>
      </w:r>
      <w:r>
        <w:rPr/>
        <w:t>국제디자인등록출원에 대하여는 제</w:t>
      </w:r>
      <w:r>
        <w:rPr/>
        <w:t>66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196</w:t>
      </w:r>
      <w:r>
        <w:rPr/>
        <w:t>조</w:t>
      </w:r>
      <w:r>
        <w:rPr/>
        <w:t>(</w:t>
      </w:r>
      <w:r>
        <w:rPr/>
        <w:t>등록료 및 수수료의 특례</w:t>
      </w:r>
      <w:r>
        <w:rPr/>
        <w:t xml:space="preserve">) ① </w:t>
      </w:r>
      <w:r>
        <w:rPr/>
        <w:t>국제등록디자인권의 존속기간을 헤이그협정 제</w:t>
      </w:r>
      <w:r>
        <w:rPr/>
        <w:t>17</w:t>
      </w:r>
      <w:r>
        <w:rPr/>
        <w:t>조</w:t>
      </w:r>
      <w:r>
        <w:rPr/>
        <w:t>(2)</w:t>
      </w:r>
      <w:r>
        <w:rPr/>
        <w:t>에 따라 갱신하려는 자 또는 국제디자인등록출원인은 산업통상자원부령으로 정하는 물품 및 물품류에 따라 같은 협정 제</w:t>
      </w:r>
      <w:r>
        <w:rPr/>
        <w:t>7</w:t>
      </w:r>
      <w:r>
        <w:rPr/>
        <w:t>조</w:t>
      </w:r>
      <w:r>
        <w:rPr/>
        <w:t>(1)</w:t>
      </w:r>
      <w:r>
        <w:rPr/>
        <w:t>에 따른 표준지정수수료 또는 같은 협정 제</w:t>
      </w:r>
      <w:r>
        <w:rPr/>
        <w:t>7</w:t>
      </w:r>
      <w:r>
        <w:rPr/>
        <w:t>조</w:t>
      </w:r>
      <w:r>
        <w:rPr/>
        <w:t>(2)</w:t>
      </w:r>
      <w:r>
        <w:rPr/>
        <w:t>에 따른 개별지정수수료를 국제사무국에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표준지정수수료 및 개별지정수수료에 관한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국제디자인등록출원이나 국제등록디자인권에 대하여는 제</w:t>
      </w:r>
      <w:r>
        <w:rPr/>
        <w:t>79</w:t>
      </w:r>
      <w:r>
        <w:rPr/>
        <w:t>조부터 제</w:t>
      </w:r>
      <w:r>
        <w:rPr/>
        <w:t>84</w:t>
      </w:r>
      <w:r>
        <w:rPr/>
        <w:t>조까지 및 제</w:t>
      </w:r>
      <w:r>
        <w:rPr/>
        <w:t>86</w:t>
      </w:r>
      <w:r>
        <w:rPr/>
        <w:t>조</w:t>
      </w:r>
      <w:r>
        <w:rPr/>
        <w:t>(</w:t>
      </w:r>
      <w:r>
        <w:rPr/>
        <w:t>제</w:t>
      </w:r>
      <w:r>
        <w:rPr/>
        <w:t>1</w:t>
      </w:r>
      <w:r>
        <w:rPr/>
        <w:t>항제</w:t>
      </w:r>
      <w:r>
        <w:rPr/>
        <w:t>2</w:t>
      </w:r>
      <w:r>
        <w:rPr/>
        <w:t>호에 따른 무효심판청구에 대한 수수료는 제외한다</w:t>
      </w:r>
      <w:r>
        <w:rPr/>
        <w:t>)</w:t>
      </w:r>
      <w:r>
        <w:rPr/>
        <w:t>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197</w:t>
      </w:r>
      <w:r>
        <w:rPr/>
        <w:t>조</w:t>
      </w:r>
      <w:r>
        <w:rPr/>
        <w:t>(</w:t>
      </w:r>
      <w:r>
        <w:rPr/>
        <w:t>등록료 및 수수료 반환의 특례</w:t>
      </w:r>
      <w:r>
        <w:rPr/>
        <w:t xml:space="preserve">) </w:t>
      </w:r>
      <w:r>
        <w:rPr/>
        <w:t>제</w:t>
      </w:r>
      <w:r>
        <w:rPr/>
        <w:t>87</w:t>
      </w:r>
      <w:r>
        <w:rPr/>
        <w:t>조를 국제디자인등록출원에 대하여 적용할 때에 같은 조 제</w:t>
      </w:r>
      <w:r>
        <w:rPr/>
        <w:t>1</w:t>
      </w:r>
      <w:r>
        <w:rPr/>
        <w:t>항제</w:t>
      </w:r>
      <w:r>
        <w:rPr/>
        <w:t>3</w:t>
      </w:r>
      <w:r>
        <w:rPr/>
        <w:t>호는 국제디자인등록출원에 대하여는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198</w:t>
      </w:r>
      <w:r>
        <w:rPr/>
        <w:t>조</w:t>
      </w:r>
      <w:r>
        <w:rPr/>
        <w:t>(</w:t>
      </w:r>
      <w:r>
        <w:rPr/>
        <w:t>디자인권 설정등록의 특례</w:t>
      </w:r>
      <w:r>
        <w:rPr/>
        <w:t xml:space="preserve">) ① </w:t>
      </w:r>
      <w:r>
        <w:rPr/>
        <w:t>국제디자인등록출원에 대하여는 제</w:t>
      </w:r>
      <w:r>
        <w:rPr/>
        <w:t>90</w:t>
      </w:r>
      <w:r>
        <w:rPr/>
        <w:t>조제</w:t>
      </w:r>
      <w:r>
        <w:rPr/>
        <w:t>2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국제디자인등록출원에 대하여 제</w:t>
      </w:r>
      <w:r>
        <w:rPr/>
        <w:t>65</w:t>
      </w:r>
      <w:r>
        <w:rPr/>
        <w:t>조에 따른 디자인등록결정이 있는 경우에는 디자인권을 설정하기 위한 등록을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199</w:t>
      </w:r>
      <w:r>
        <w:rPr/>
        <w:t>조</w:t>
      </w:r>
      <w:r>
        <w:rPr/>
        <w:t>(</w:t>
      </w:r>
      <w:r>
        <w:rPr/>
        <w:t>디자인권 존속기간 등의 특례</w:t>
      </w:r>
      <w:r>
        <w:rPr/>
        <w:t xml:space="preserve">) ① </w:t>
      </w:r>
      <w:r>
        <w:rPr/>
        <w:t>국제등록디자인권은 제</w:t>
      </w:r>
      <w:r>
        <w:rPr/>
        <w:t>198</w:t>
      </w:r>
      <w:r>
        <w:rPr/>
        <w:t>조제</w:t>
      </w:r>
      <w:r>
        <w:rPr/>
        <w:t>2</w:t>
      </w:r>
      <w:r>
        <w:rPr/>
        <w:t>항에 따라 국내에서 설정등록된 날부터 발생하여 헤이그협정 제</w:t>
      </w:r>
      <w:r>
        <w:rPr/>
        <w:t>10</w:t>
      </w:r>
      <w:r>
        <w:rPr/>
        <w:t>조</w:t>
      </w:r>
      <w:r>
        <w:rPr/>
        <w:t>(2)</w:t>
      </w:r>
      <w:r>
        <w:rPr/>
        <w:t>에 따른 국제등록일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국제등록일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 xml:space="preserve">후 </w:t>
      </w:r>
      <w:r>
        <w:rPr/>
        <w:t>5</w:t>
      </w:r>
      <w:r>
        <w:rPr/>
        <w:t>년이 되는 날까지 존속한다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국제등록일 후 </w:t>
      </w:r>
      <w:r>
        <w:rPr/>
        <w:t>5</w:t>
      </w:r>
      <w:r>
        <w:rPr/>
        <w:t>년이 되는 날</w:t>
      </w:r>
      <w:r>
        <w:rPr/>
        <w:t>(</w:t>
      </w:r>
      <w:r>
        <w:rPr/>
        <w:t xml:space="preserve">이하 이 항에서 </w:t>
      </w:r>
      <w:r>
        <w:rPr/>
        <w:t>"</w:t>
      </w:r>
      <w:r>
        <w:rPr/>
        <w:t>국제등록만료일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이후에 등록결정이 되어 제</w:t>
      </w:r>
      <w:r>
        <w:rPr/>
        <w:t>198</w:t>
      </w:r>
      <w:r>
        <w:rPr/>
        <w:t>조제</w:t>
      </w:r>
      <w:r>
        <w:rPr/>
        <w:t>2</w:t>
      </w:r>
      <w:r>
        <w:rPr/>
        <w:t xml:space="preserve">항에 따라 국내에서 설정등록된 경우에는 설정등록된 날부터 발생하여 국제등록만료일 후 </w:t>
      </w:r>
      <w:r>
        <w:rPr/>
        <w:t>5</w:t>
      </w:r>
      <w:r>
        <w:rPr/>
        <w:t>년이 되는 날까지 존속한다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국제등록디자인권의 존속기간은 헤이그협정 제</w:t>
      </w:r>
      <w:r>
        <w:rPr/>
        <w:t>17</w:t>
      </w:r>
      <w:r>
        <w:rPr/>
        <w:t>조</w:t>
      </w:r>
      <w:r>
        <w:rPr/>
        <w:t>(2)</w:t>
      </w:r>
      <w:r>
        <w:rPr/>
        <w:t xml:space="preserve">에 따라 </w:t>
      </w:r>
      <w:r>
        <w:rPr/>
        <w:t>5</w:t>
      </w:r>
      <w:r>
        <w:rPr/>
        <w:t>년마다 갱신할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200</w:t>
      </w:r>
      <w:r>
        <w:rPr/>
        <w:t>조</w:t>
      </w:r>
      <w:r>
        <w:rPr/>
        <w:t>(</w:t>
      </w:r>
      <w:r>
        <w:rPr/>
        <w:t>등록디자인 보호범위의 특례</w:t>
      </w:r>
      <w:r>
        <w:rPr/>
        <w:t xml:space="preserve">) </w:t>
      </w:r>
      <w:r>
        <w:rPr/>
        <w:t>제</w:t>
      </w:r>
      <w:r>
        <w:rPr/>
        <w:t>93</w:t>
      </w:r>
      <w:r>
        <w:rPr/>
        <w:t>조를 국제등록디자인권에 대하여 적용할 때에 해당 국제등록디자인권의 보호범위는 다음 각 호의 구분에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48</w:t>
      </w:r>
      <w:r>
        <w:rPr/>
        <w:t>조에 따른 보정이 없는 경우</w:t>
      </w:r>
      <w:r>
        <w:rPr/>
        <w:t xml:space="preserve">: </w:t>
      </w:r>
      <w:r>
        <w:rPr/>
        <w:t>국제등록부에 등재된 사항</w:t>
      </w:r>
      <w:r>
        <w:rPr/>
        <w:t xml:space="preserve">, </w:t>
      </w:r>
      <w:r>
        <w:rPr/>
        <w:t>도면 및 디자인의 설명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48</w:t>
      </w:r>
      <w:r>
        <w:rPr/>
        <w:t>조에 따른 보정이 있는 경우</w:t>
      </w:r>
      <w:r>
        <w:rPr/>
        <w:t xml:space="preserve">: </w:t>
      </w:r>
      <w:r>
        <w:rPr/>
        <w:t>각각 보정된 디자인등록출원서의 기재사항</w:t>
      </w:r>
      <w:r>
        <w:rPr/>
        <w:t xml:space="preserve">, </w:t>
      </w:r>
      <w:r>
        <w:rPr/>
        <w:t>도면 및 디자인의 설명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201</w:t>
      </w:r>
      <w:r>
        <w:rPr/>
        <w:t>조</w:t>
      </w:r>
      <w:r>
        <w:rPr/>
        <w:t>(</w:t>
      </w:r>
      <w:r>
        <w:rPr/>
        <w:t>디자인권 등록효력의 특례</w:t>
      </w:r>
      <w:r>
        <w:rPr/>
        <w:t xml:space="preserve">) ① </w:t>
      </w:r>
      <w:r>
        <w:rPr/>
        <w:t>국제등록디자인권의 이전</w:t>
      </w:r>
      <w:r>
        <w:rPr/>
        <w:t xml:space="preserve">, </w:t>
      </w:r>
      <w:r>
        <w:rPr/>
        <w:t>포기에 의한 소멸 또는 존속기간의 갱신은 국제등록부에 등재함으로써 효력이 발생한다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특허청장이 국제등록디자인권의 이전이 제</w:t>
      </w:r>
      <w:r>
        <w:rPr/>
        <w:t>96</w:t>
      </w:r>
      <w:r>
        <w:rPr/>
        <w:t>조제</w:t>
      </w:r>
      <w:r>
        <w:rPr/>
        <w:t>1</w:t>
      </w:r>
      <w:r>
        <w:rPr/>
        <w:t>항 단서 또는 같은 조 제</w:t>
      </w:r>
      <w:r>
        <w:rPr/>
        <w:t>2</w:t>
      </w:r>
      <w:r>
        <w:rPr/>
        <w:t>항에 위반되어 효력이 발생하지 아니한다고 국제사무국에 통지한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98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 xml:space="preserve">호를 국제등록디자인권에 대하여 적용할 때에 </w:t>
      </w:r>
      <w:r>
        <w:rPr/>
        <w:t>"</w:t>
      </w:r>
      <w:r>
        <w:rPr/>
        <w:t>이전</w:t>
      </w:r>
      <w:r>
        <w:rPr/>
        <w:t>(</w:t>
      </w:r>
      <w:r>
        <w:rPr/>
        <w:t>상속이나 그 밖의 일반승계에 의한 경우는 제외한다</w:t>
      </w:r>
      <w:r>
        <w:rPr/>
        <w:t xml:space="preserve">), </w:t>
      </w:r>
      <w:r>
        <w:rPr/>
        <w:t>포기에 의한 소멸 또는 처분의 제한</w:t>
      </w:r>
      <w:r>
        <w:rPr/>
        <w:t>"</w:t>
      </w:r>
      <w:r>
        <w:rPr/>
        <w:t xml:space="preserve">은 </w:t>
      </w:r>
      <w:r>
        <w:rPr/>
        <w:t>"</w:t>
      </w:r>
      <w:r>
        <w:rPr/>
        <w:t>처분의 제한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98</w:t>
      </w:r>
      <w:r>
        <w:rPr/>
        <w:t>조제</w:t>
      </w:r>
      <w:r>
        <w:rPr/>
        <w:t>2</w:t>
      </w:r>
      <w:r>
        <w:rPr/>
        <w:t xml:space="preserve">항을 국제등록디자인권에 대하여 적용할 때에 </w:t>
      </w:r>
      <w:r>
        <w:rPr/>
        <w:t>"</w:t>
      </w:r>
      <w:r>
        <w:rPr/>
        <w:t>디자인권ㆍ전용실시권</w:t>
      </w:r>
      <w:r>
        <w:rPr/>
        <w:t>"</w:t>
      </w:r>
      <w:r>
        <w:rPr/>
        <w:t xml:space="preserve">은 </w:t>
      </w:r>
      <w:r>
        <w:rPr/>
        <w:t>"</w:t>
      </w:r>
      <w:r>
        <w:rPr/>
        <w:t>전용실시권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202</w:t>
      </w:r>
      <w:r>
        <w:rPr/>
        <w:t>조</w:t>
      </w:r>
      <w:r>
        <w:rPr/>
        <w:t>(</w:t>
      </w:r>
      <w:r>
        <w:rPr/>
        <w:t>디자인권 포기의 특례</w:t>
      </w:r>
      <w:r>
        <w:rPr/>
        <w:t xml:space="preserve">) ① </w:t>
      </w:r>
      <w:r>
        <w:rPr/>
        <w:t>국제등록디자인권에 대하여는 제</w:t>
      </w:r>
      <w:r>
        <w:rPr/>
        <w:t>106</w:t>
      </w:r>
      <w:r>
        <w:rPr/>
        <w:t>조제</w:t>
      </w:r>
      <w:r>
        <w:rPr/>
        <w:t>1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107</w:t>
      </w:r>
      <w:r>
        <w:rPr/>
        <w:t xml:space="preserve">조를 국제등록디자인권에 대하여 적용할 때에 </w:t>
      </w:r>
      <w:r>
        <w:rPr/>
        <w:t>"</w:t>
      </w:r>
      <w:r>
        <w:rPr/>
        <w:t>디자인권ㆍ전용실시권</w:t>
      </w:r>
      <w:r>
        <w:rPr/>
        <w:t>"</w:t>
      </w:r>
      <w:r>
        <w:rPr/>
        <w:t xml:space="preserve">은 각각 </w:t>
      </w:r>
      <w:r>
        <w:rPr/>
        <w:t>"</w:t>
      </w:r>
      <w:r>
        <w:rPr/>
        <w:t>전용실시권</w:t>
      </w:r>
      <w:r>
        <w:rPr/>
        <w:t>"</w:t>
      </w:r>
      <w:r>
        <w:rPr/>
        <w:t>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203</w:t>
      </w:r>
      <w:r>
        <w:rPr/>
        <w:t>조</w:t>
      </w:r>
      <w:r>
        <w:rPr/>
        <w:t>(</w:t>
      </w:r>
      <w:r>
        <w:rPr/>
        <w:t>국제등록부 경정의 효력 등</w:t>
      </w:r>
      <w:r>
        <w:rPr/>
        <w:t xml:space="preserve">) ① </w:t>
      </w:r>
      <w:r>
        <w:rPr/>
        <w:t>헤이그협정 제</w:t>
      </w:r>
      <w:r>
        <w:rPr/>
        <w:t>1</w:t>
      </w:r>
      <w:r>
        <w:rPr/>
        <w:t>조</w:t>
      </w:r>
      <w:r>
        <w:rPr/>
        <w:t>(ⅷ)</w:t>
      </w:r>
      <w:r>
        <w:rPr/>
        <w:t>에 따른 국제등록부의 경정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경정</w:t>
      </w:r>
      <w:r>
        <w:rPr/>
        <w:t>"</w:t>
      </w:r>
      <w:r>
        <w:rPr/>
        <w:t>이라 한다</w:t>
      </w:r>
      <w:r>
        <w:rPr/>
        <w:t>)</w:t>
      </w:r>
      <w:r>
        <w:rPr/>
        <w:t>이 있는 경우에는 해당 국제디자인등록출원은 경정된 대로 효력을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경정의 효력은 해당 국제디자인등록출원의 국제등록일로 소급하여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경정이 산업통상자원부령으로 정하는 사항에 관한 것으로서 해당 국제디자인등록출원에 대한 등록여부결정이 있은 후에 통지된 경우에 그 등록여부결정은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204</w:t>
      </w:r>
      <w:r>
        <w:rPr/>
        <w:t>조</w:t>
      </w:r>
      <w:r>
        <w:rPr/>
        <w:t>(</w:t>
      </w:r>
      <w:r>
        <w:rPr/>
        <w:t>권리침해에 대한 금지청구권 등의 특례</w:t>
      </w:r>
      <w:r>
        <w:rPr/>
        <w:t xml:space="preserve">) </w:t>
      </w:r>
      <w:r>
        <w:rPr/>
        <w:t>국제등록디자인권에 대하여는 제</w:t>
      </w:r>
      <w:r>
        <w:rPr/>
        <w:t>113</w:t>
      </w:r>
      <w:r>
        <w:rPr/>
        <w:t>조제</w:t>
      </w:r>
      <w:r>
        <w:rPr/>
        <w:t>2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205</w:t>
      </w:r>
      <w:r>
        <w:rPr/>
        <w:t>조</w:t>
      </w:r>
      <w:r>
        <w:rPr/>
        <w:t>(</w:t>
      </w:r>
      <w:r>
        <w:rPr/>
        <w:t>서류의 열람 등의 특례</w:t>
      </w:r>
      <w:r>
        <w:rPr/>
        <w:t xml:space="preserve">) </w:t>
      </w:r>
      <w:r>
        <w:rPr/>
        <w:t>제</w:t>
      </w:r>
      <w:r>
        <w:rPr/>
        <w:t>206</w:t>
      </w:r>
      <w:r>
        <w:rPr/>
        <w:t>조제</w:t>
      </w:r>
      <w:r>
        <w:rPr/>
        <w:t>2</w:t>
      </w:r>
      <w:r>
        <w:rPr/>
        <w:t xml:space="preserve">항을 국제디자인등록출원에 대하여 적용할 때에 </w:t>
      </w:r>
      <w:r>
        <w:rPr/>
        <w:t>"</w:t>
      </w:r>
      <w:r>
        <w:rPr/>
        <w:t>제</w:t>
      </w:r>
      <w:r>
        <w:rPr/>
        <w:t>52</w:t>
      </w:r>
      <w:r>
        <w:rPr/>
        <w:t>조에 따라 출원공개</w:t>
      </w:r>
      <w:r>
        <w:rPr/>
        <w:t>"</w:t>
      </w:r>
      <w:r>
        <w:rPr/>
        <w:t xml:space="preserve">는 </w:t>
      </w:r>
      <w:r>
        <w:rPr/>
        <w:t>"</w:t>
      </w:r>
      <w:r>
        <w:rPr/>
        <w:t>헤이그협정 제</w:t>
      </w:r>
      <w:r>
        <w:rPr/>
        <w:t>10</w:t>
      </w:r>
      <w:r>
        <w:rPr/>
        <w:t>조</w:t>
      </w:r>
      <w:r>
        <w:rPr/>
        <w:t>(3)</w:t>
      </w:r>
      <w:r>
        <w:rPr/>
        <w:t>에 따라 국제등록공개</w:t>
      </w:r>
      <w:r>
        <w:rPr/>
        <w:t>"</w:t>
      </w:r>
      <w:r>
        <w:rPr/>
        <w:t>로 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5651</Words>
  <Characters>5898</Characters>
  <CharactersWithSpaces>7356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2020-07-21T15:30:12Z</dcterms:created>
  <dc:creator/>
  <dc:description/>
  <dc:language>en-US</dc:language>
  <cp:lastModifiedBy/>
  <dcterms:modified xsi:type="dcterms:W3CDTF">2020-07-21T15:30:34Z</dcterms:modified>
  <cp:revision>1</cp:revision>
  <dc:subject/>
  <dc:title/>
</cp:coreProperties>
</file>