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03726" w14:textId="57B2E535" w:rsidR="003E77A2" w:rsidRPr="00112618" w:rsidRDefault="003E77A2">
      <w:pPr>
        <w:rPr>
          <w:rFonts w:ascii="빙그레 메로나체" w:eastAsia="빙그레 메로나체" w:hAnsi="빙그레 메로나체"/>
          <w:sz w:val="24"/>
          <w:szCs w:val="24"/>
        </w:rPr>
      </w:pPr>
      <w:r w:rsidRPr="00112618">
        <w:rPr>
          <w:rFonts w:ascii="빙그레 메로나체" w:eastAsia="빙그레 메로나체" w:hAnsi="빙그레 메로나체" w:hint="eastAsia"/>
          <w:sz w:val="24"/>
          <w:szCs w:val="24"/>
        </w:rPr>
        <w:t>&lt;대법원</w:t>
      </w:r>
      <w:r w:rsidRPr="00112618">
        <w:rPr>
          <w:rFonts w:ascii="빙그레 메로나체" w:eastAsia="빙그레 메로나체" w:hAnsi="빙그레 메로나체"/>
          <w:sz w:val="24"/>
          <w:szCs w:val="24"/>
        </w:rPr>
        <w:t xml:space="preserve"> 2001. 6. 29. 선고 99다23246 판결&gt;</w:t>
      </w:r>
    </w:p>
    <w:p w14:paraId="05101978" w14:textId="2F9C0B24" w:rsidR="003E77A2" w:rsidRDefault="004F20C6">
      <w:pPr>
        <w:rPr>
          <w:rFonts w:ascii="빙그레 메로나체" w:eastAsia="빙그레 메로나체" w:hAnsi="빙그레 메로나체"/>
          <w:sz w:val="24"/>
          <w:szCs w:val="24"/>
        </w:rPr>
      </w:pPr>
      <w:r w:rsidRPr="004F20C6">
        <w:rPr>
          <w:rFonts w:ascii="빙그레 메로나체" w:eastAsia="빙그레 메로나체" w:hAnsi="빙그레 메로나체" w:hint="eastAsia"/>
          <w:sz w:val="24"/>
          <w:szCs w:val="24"/>
        </w:rPr>
        <w:t>컴퓨터프로그램보호법상</w:t>
      </w:r>
      <w:r w:rsidRPr="004F20C6">
        <w:rPr>
          <w:rFonts w:ascii="빙그레 메로나체" w:eastAsia="빙그레 메로나체" w:hAnsi="빙그레 메로나체"/>
          <w:sz w:val="24"/>
          <w:szCs w:val="24"/>
        </w:rPr>
        <w:t xml:space="preserve"> 컴퓨터프로그램은 특정한 결과를 얻기 위하여 컴퓨터 내에서 직접 또는 간접으로 사용되는 일련의 지시·명령으로 표현된 것으로 정의되는바, 신청인들의 이 사건 서체파일의 소스코드는 ① 그것이 비록 다른 응용프로그램의 도움 없이는 바로 실행되지 아니한다고 하여도 컴퓨터 내에서 특정한 모양의 서체의 윤곽선을 크기, 장평, 굵기, 기울기 등을 조절하여 반복적이고 편리하게 출력하도록 특정한 결과를 얻기 위하여 프로그래밍 언어의 일종인 포스트스크립</w:t>
      </w:r>
      <w:r w:rsidRPr="004F20C6">
        <w:rPr>
          <w:rFonts w:ascii="빙그레 메로나체" w:eastAsia="빙그레 메로나체" w:hAnsi="빙그레 메로나체" w:hint="eastAsia"/>
          <w:sz w:val="24"/>
          <w:szCs w:val="24"/>
        </w:rPr>
        <w:t>트</w:t>
      </w:r>
      <w:r w:rsidRPr="004F20C6">
        <w:rPr>
          <w:rFonts w:ascii="빙그레 메로나체" w:eastAsia="빙그레 메로나체" w:hAnsi="빙그레 메로나체"/>
          <w:sz w:val="24"/>
          <w:szCs w:val="24"/>
        </w:rPr>
        <w:t xml:space="preserve"> 언어로 제작된 표현물이고, ② 서체파일 제작 프로그램에서 마우스의 조작으로 서체의 모양을 가감하거나 수정하여 좌표값을 지정하고 이를 이동하거나 연결하여 저장함으로써, 제작자가 특정한 결과를 얻기 위하여 스스로의 알고리즘(algorithm)에 따라 프로그래밍 언어로 직접 코드를 작성하는 보통의 프로그램 제작과정과는 다르다 하여도, 포스트스크립트 언어로 작성되어 사람에게 이해될 수 있고 그 내용도 좌표값과 좌표값을 연결하는 일련의 지시, 명령으로 이루어져 있으므로, 컴퓨터프로그램보호법상의 프로그램에 해당한다.</w:t>
      </w:r>
    </w:p>
    <w:p w14:paraId="10644351" w14:textId="717728BB" w:rsidR="00DF72ED" w:rsidRDefault="00DF72ED">
      <w:pPr>
        <w:rPr>
          <w:rFonts w:ascii="빙그레 메로나체" w:eastAsia="빙그레 메로나체" w:hAnsi="빙그레 메로나체"/>
          <w:sz w:val="24"/>
          <w:szCs w:val="24"/>
        </w:rPr>
      </w:pPr>
    </w:p>
    <w:p w14:paraId="03627184" w14:textId="1A704602" w:rsidR="00DF72ED" w:rsidRDefault="00644824">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644824">
        <w:rPr>
          <w:rFonts w:ascii="빙그레 메로나체" w:eastAsia="빙그레 메로나체" w:hAnsi="빙그레 메로나체" w:hint="eastAsia"/>
          <w:sz w:val="24"/>
          <w:szCs w:val="24"/>
        </w:rPr>
        <w:t>대법원</w:t>
      </w:r>
      <w:r w:rsidRPr="00644824">
        <w:rPr>
          <w:rFonts w:ascii="빙그레 메로나체" w:eastAsia="빙그레 메로나체" w:hAnsi="빙그레 메로나체"/>
          <w:sz w:val="24"/>
          <w:szCs w:val="24"/>
        </w:rPr>
        <w:t xml:space="preserve"> 2012. 6. 14. 선고 2012후597 판결</w:t>
      </w:r>
      <w:r>
        <w:rPr>
          <w:rFonts w:ascii="빙그레 메로나체" w:eastAsia="빙그레 메로나체" w:hAnsi="빙그레 메로나체" w:hint="eastAsia"/>
          <w:sz w:val="24"/>
          <w:szCs w:val="24"/>
        </w:rPr>
        <w:t>&gt;</w:t>
      </w:r>
    </w:p>
    <w:p w14:paraId="603A8BB9" w14:textId="59C9BE1D" w:rsidR="00644824" w:rsidRDefault="00663145">
      <w:pPr>
        <w:rPr>
          <w:rFonts w:ascii="빙그레 메로나체" w:eastAsia="빙그레 메로나체" w:hAnsi="빙그레 메로나체"/>
          <w:sz w:val="24"/>
          <w:szCs w:val="24"/>
        </w:rPr>
      </w:pPr>
      <w:r w:rsidRPr="00663145">
        <w:rPr>
          <w:rFonts w:ascii="빙그레 메로나체" w:eastAsia="빙그레 메로나체" w:hAnsi="빙그레 메로나체"/>
          <w:sz w:val="24"/>
          <w:szCs w:val="24"/>
        </w:rPr>
        <w:t>디자인의 등록요건을 판단할 때 디자인의 유사 여부는 이를 구성하는 각 요소를 분리하여 개별적으로 대비할 것이 아니라 외관을 전체적으로 대비·관찰하여 보는 사람으로 하여금 다른 심미감을 느끼게 하는지에 따라 판단해야 하므로, 지배적인 특징이 유사하다면 세부적인 점에 다소 차이가 있을지라도 유사하다고 보아야 하고, 이러한 법리는 디자인보호법 제2조 제1호의2에서 정한 글자체에 대한 디자인의 경우에도 마찬가지로 적용된다. 한편 글자체 디자인은 물품성을 요구하</w:t>
      </w:r>
      <w:r w:rsidRPr="00663145">
        <w:rPr>
          <w:rFonts w:ascii="빙그레 메로나체" w:eastAsia="빙그레 메로나체" w:hAnsi="빙그레 메로나체" w:hint="eastAsia"/>
          <w:sz w:val="24"/>
          <w:szCs w:val="24"/>
        </w:rPr>
        <w:t>지</w:t>
      </w:r>
      <w:r w:rsidRPr="00663145">
        <w:rPr>
          <w:rFonts w:ascii="빙그레 메로나체" w:eastAsia="빙그레 메로나체" w:hAnsi="빙그레 메로나체"/>
          <w:sz w:val="24"/>
          <w:szCs w:val="24"/>
        </w:rPr>
        <w:t xml:space="preserve"> 않고, 인류가 문자생활을 영위한 이래 다수의 글자체가 다양하게 개발되어 왔고 문자의 기본형태와 가독성을 필수적인 요소로 고려하여 디자인하여야 하는 관계상 구조적으로 디자인을 크게 변화시키기 어려운 특성이 있으므로, 이와 같은 글자체 디자인의 고유한 특성을 충분히 참작하여 유사 여부를 판단하여야 한다.</w:t>
      </w:r>
    </w:p>
    <w:p w14:paraId="2B8F5273" w14:textId="4D40276B" w:rsidR="00A82F22" w:rsidRDefault="00A82F22">
      <w:pPr>
        <w:rPr>
          <w:rFonts w:ascii="빙그레 메로나체" w:eastAsia="빙그레 메로나체" w:hAnsi="빙그레 메로나체"/>
          <w:sz w:val="24"/>
          <w:szCs w:val="24"/>
        </w:rPr>
      </w:pPr>
      <w:r w:rsidRPr="00A82F22">
        <w:rPr>
          <w:rFonts w:ascii="빙그레 메로나체" w:eastAsia="빙그레 메로나체" w:hAnsi="빙그레 메로나체" w:hint="eastAsia"/>
          <w:sz w:val="24"/>
          <w:szCs w:val="24"/>
        </w:rPr>
        <w:t>원형</w:t>
      </w:r>
      <w:r w:rsidRPr="00A82F22">
        <w:rPr>
          <w:rFonts w:ascii="빙그레 메로나체" w:eastAsia="빙그레 메로나체" w:hAnsi="빙그레 메로나체"/>
          <w:sz w:val="24"/>
          <w:szCs w:val="24"/>
        </w:rPr>
        <w:t xml:space="preserve"> 부분과 아래의 꼬리 획 부분의 공간을 차지하는 비중에 약간의 차이가 있고 전체적으로 출원디자인이 비교대상디자인보다 글자가 굵게 표현된 차이는 있으나 심미감의 차이를 유발할 정도는 아니라는 이유로, 두 디자인은 전체적으로 볼 때 유사한 디자인에 해당한다고 본 원심판단이 정당하다</w:t>
      </w:r>
      <w:r w:rsidR="00D86A7F">
        <w:rPr>
          <w:rFonts w:ascii="빙그레 메로나체" w:eastAsia="빙그레 메로나체" w:hAnsi="빙그레 메로나체" w:hint="eastAsia"/>
          <w:sz w:val="24"/>
          <w:szCs w:val="24"/>
        </w:rPr>
        <w:t>.</w:t>
      </w:r>
    </w:p>
    <w:p w14:paraId="31350B2A" w14:textId="6A44E7CF" w:rsidR="00D86A7F" w:rsidRDefault="00CB658B">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lastRenderedPageBreak/>
        <w:t>&lt;</w:t>
      </w:r>
      <w:r w:rsidRPr="00CB658B">
        <w:rPr>
          <w:rFonts w:hint="eastAsia"/>
        </w:rPr>
        <w:t xml:space="preserve"> </w:t>
      </w:r>
      <w:r w:rsidRPr="00CB658B">
        <w:rPr>
          <w:rFonts w:ascii="빙그레 메로나체" w:eastAsia="빙그레 메로나체" w:hAnsi="빙그레 메로나체" w:hint="eastAsia"/>
          <w:sz w:val="24"/>
          <w:szCs w:val="24"/>
        </w:rPr>
        <w:t>대법원</w:t>
      </w:r>
      <w:r w:rsidRPr="00CB658B">
        <w:rPr>
          <w:rFonts w:ascii="빙그레 메로나체" w:eastAsia="빙그레 메로나체" w:hAnsi="빙그레 메로나체"/>
          <w:sz w:val="24"/>
          <w:szCs w:val="24"/>
        </w:rPr>
        <w:t xml:space="preserve"> 1996. 6. 25. 선고 95후2091 판</w:t>
      </w:r>
      <w:r>
        <w:rPr>
          <w:rFonts w:ascii="빙그레 메로나체" w:eastAsia="빙그레 메로나체" w:hAnsi="빙그레 메로나체" w:hint="eastAsia"/>
          <w:sz w:val="24"/>
          <w:szCs w:val="24"/>
        </w:rPr>
        <w:t>결&gt;</w:t>
      </w:r>
    </w:p>
    <w:p w14:paraId="707DD6A0" w14:textId="3993DA7B" w:rsidR="00CB658B" w:rsidRDefault="00B73C65">
      <w:pPr>
        <w:rPr>
          <w:rFonts w:ascii="빙그레 메로나체" w:eastAsia="빙그레 메로나체" w:hAnsi="빙그레 메로나체"/>
          <w:sz w:val="24"/>
          <w:szCs w:val="24"/>
        </w:rPr>
      </w:pPr>
      <w:r w:rsidRPr="00B73C65">
        <w:rPr>
          <w:rFonts w:ascii="빙그레 메로나체" w:eastAsia="빙그레 메로나체" w:hAnsi="빙그레 메로나체" w:hint="eastAsia"/>
          <w:sz w:val="24"/>
          <w:szCs w:val="24"/>
        </w:rPr>
        <w:t>물품의</w:t>
      </w:r>
      <w:r w:rsidRPr="00B73C65">
        <w:rPr>
          <w:rFonts w:ascii="빙그레 메로나체" w:eastAsia="빙그레 메로나체" w:hAnsi="빙그레 메로나체"/>
          <w:sz w:val="24"/>
          <w:szCs w:val="24"/>
        </w:rPr>
        <w:t xml:space="preserve"> 재질이나 그 양적인 성질은 별개의 의장대상이 될 수 없다.</w:t>
      </w:r>
    </w:p>
    <w:p w14:paraId="78316C22" w14:textId="3F6AAF34" w:rsidR="0050184B" w:rsidRDefault="0050184B">
      <w:pPr>
        <w:rPr>
          <w:rFonts w:ascii="빙그레 메로나체" w:eastAsia="빙그레 메로나체" w:hAnsi="빙그레 메로나체"/>
          <w:sz w:val="24"/>
          <w:szCs w:val="24"/>
        </w:rPr>
      </w:pPr>
    </w:p>
    <w:p w14:paraId="7AD03F85" w14:textId="7D784794" w:rsidR="00183B14" w:rsidRDefault="00183B14">
      <w:pPr>
        <w:rPr>
          <w:rFonts w:ascii="빙그레 메로나체" w:eastAsia="빙그레 메로나체" w:hAnsi="빙그레 메로나체"/>
          <w:sz w:val="24"/>
          <w:szCs w:val="24"/>
        </w:rPr>
      </w:pPr>
      <w:r>
        <w:rPr>
          <w:rFonts w:ascii="빙그레 메로나체" w:eastAsia="빙그레 메로나체" w:hAnsi="빙그레 메로나체"/>
          <w:sz w:val="24"/>
          <w:szCs w:val="24"/>
        </w:rPr>
        <w:t>&lt;</w:t>
      </w:r>
      <w:r w:rsidRPr="00183B14">
        <w:rPr>
          <w:rFonts w:ascii="빙그레 메로나체" w:eastAsia="빙그레 메로나체" w:hAnsi="빙그레 메로나체" w:hint="eastAsia"/>
          <w:sz w:val="24"/>
          <w:szCs w:val="24"/>
        </w:rPr>
        <w:t>대법원</w:t>
      </w:r>
      <w:r w:rsidRPr="00183B14">
        <w:rPr>
          <w:rFonts w:ascii="빙그레 메로나체" w:eastAsia="빙그레 메로나체" w:hAnsi="빙그레 메로나체"/>
          <w:sz w:val="24"/>
          <w:szCs w:val="24"/>
        </w:rPr>
        <w:t xml:space="preserve"> 1996. 11. 12. 선고 96후467 판결</w:t>
      </w:r>
      <w:r>
        <w:rPr>
          <w:rFonts w:ascii="빙그레 메로나체" w:eastAsia="빙그레 메로나체" w:hAnsi="빙그레 메로나체" w:hint="eastAsia"/>
          <w:sz w:val="24"/>
          <w:szCs w:val="24"/>
        </w:rPr>
        <w:t>&gt;</w:t>
      </w:r>
    </w:p>
    <w:p w14:paraId="0A5EF3E0" w14:textId="19032C77" w:rsidR="00183B14" w:rsidRDefault="00183B14">
      <w:pPr>
        <w:rPr>
          <w:rFonts w:ascii="빙그레 메로나체" w:eastAsia="빙그레 메로나체" w:hAnsi="빙그레 메로나체"/>
          <w:sz w:val="24"/>
          <w:szCs w:val="24"/>
        </w:rPr>
      </w:pPr>
      <w:r w:rsidRPr="00183B14">
        <w:rPr>
          <w:rFonts w:ascii="빙그레 메로나체" w:eastAsia="빙그레 메로나체" w:hAnsi="빙그레 메로나체" w:hint="eastAsia"/>
          <w:sz w:val="24"/>
          <w:szCs w:val="24"/>
        </w:rPr>
        <w:t>의장의</w:t>
      </w:r>
      <w:r w:rsidRPr="00183B14">
        <w:rPr>
          <w:rFonts w:ascii="빙그레 메로나체" w:eastAsia="빙그레 메로나체" w:hAnsi="빙그레 메로나체"/>
          <w:sz w:val="24"/>
          <w:szCs w:val="24"/>
        </w:rPr>
        <w:t xml:space="preserve"> 신규성 판단이나 선행의장과의 유사 여부 판단의 대상인 의장은 반드시 형태 전체를 모두 명확히 한 의장뿐만 아니라 그 자료의 표현부족을 경험칙에 의하여 보충하여 그 의장의 요지 파악이 가능한 한 그 대비 판단의 대상이 될 수 있다.</w:t>
      </w:r>
    </w:p>
    <w:p w14:paraId="29CD957E" w14:textId="4EECC875" w:rsidR="00323801" w:rsidRDefault="00323801">
      <w:pPr>
        <w:rPr>
          <w:rFonts w:ascii="빙그레 메로나체" w:eastAsia="빙그레 메로나체" w:hAnsi="빙그레 메로나체"/>
          <w:sz w:val="24"/>
          <w:szCs w:val="24"/>
        </w:rPr>
      </w:pPr>
    </w:p>
    <w:p w14:paraId="6CD3077E" w14:textId="2D47BF50" w:rsidR="00323801" w:rsidRDefault="0032380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323801">
        <w:rPr>
          <w:rFonts w:hint="eastAsia"/>
        </w:rPr>
        <w:t xml:space="preserve"> </w:t>
      </w:r>
      <w:r w:rsidRPr="00323801">
        <w:rPr>
          <w:rFonts w:ascii="빙그레 메로나체" w:eastAsia="빙그레 메로나체" w:hAnsi="빙그레 메로나체" w:hint="eastAsia"/>
          <w:sz w:val="24"/>
          <w:szCs w:val="24"/>
        </w:rPr>
        <w:t>특허법원</w:t>
      </w:r>
      <w:r w:rsidRPr="00323801">
        <w:rPr>
          <w:rFonts w:ascii="빙그레 메로나체" w:eastAsia="빙그레 메로나체" w:hAnsi="빙그레 메로나체"/>
          <w:sz w:val="24"/>
          <w:szCs w:val="24"/>
        </w:rPr>
        <w:t xml:space="preserve"> 2014. 11. 7. 선고 2014허2696 판결</w:t>
      </w:r>
      <w:r>
        <w:rPr>
          <w:rFonts w:ascii="빙그레 메로나체" w:eastAsia="빙그레 메로나체" w:hAnsi="빙그레 메로나체" w:hint="eastAsia"/>
          <w:sz w:val="24"/>
          <w:szCs w:val="24"/>
        </w:rPr>
        <w:t>&gt;</w:t>
      </w:r>
    </w:p>
    <w:p w14:paraId="34832F30" w14:textId="1194BE59" w:rsidR="00323801" w:rsidRDefault="00BD7049">
      <w:pPr>
        <w:rPr>
          <w:rFonts w:ascii="빙그레 메로나체" w:eastAsia="빙그레 메로나체" w:hAnsi="빙그레 메로나체"/>
          <w:sz w:val="24"/>
          <w:szCs w:val="24"/>
        </w:rPr>
      </w:pPr>
      <w:r w:rsidRPr="00BD7049">
        <w:rPr>
          <w:rFonts w:ascii="빙그레 메로나체" w:eastAsia="빙그레 메로나체" w:hAnsi="빙그레 메로나체" w:hint="eastAsia"/>
          <w:sz w:val="24"/>
          <w:szCs w:val="24"/>
        </w:rPr>
        <w:t>조약에</w:t>
      </w:r>
      <w:r w:rsidRPr="00BD7049">
        <w:rPr>
          <w:rFonts w:ascii="빙그레 메로나체" w:eastAsia="빙그레 메로나체" w:hAnsi="빙그레 메로나체"/>
          <w:sz w:val="24"/>
          <w:szCs w:val="24"/>
        </w:rPr>
        <w:t xml:space="preserve"> 의해 우선권을 인정하는 각 나라마다 서로 다른 디자인등록 출원절차를 가지고 있어 다수의 국가에 동시에 출원하는 것의 곤란함을 해소함으로써 디자인 창작자의 국제적 보호를 도모하려는 우선권 제도의 취지에 비추어 볼 때, 우선권주장이 있는 디자인등록출원에 있어, 우선권 증명서류로부터 도출될 수 있는 디자인을 국내에 출원하였다가 우선권 증명서류에 표현된 디자인을 등록받기 위하여 우선권 증명서류와 일치시키는 보정을 한 경우, 제3자에게 불측의 손해가 발생하</w:t>
      </w:r>
      <w:r w:rsidRPr="00BD7049">
        <w:rPr>
          <w:rFonts w:ascii="빙그레 메로나체" w:eastAsia="빙그레 메로나체" w:hAnsi="빙그레 메로나체" w:hint="eastAsia"/>
          <w:sz w:val="24"/>
          <w:szCs w:val="24"/>
        </w:rPr>
        <w:t>거나</w:t>
      </w:r>
      <w:r w:rsidRPr="00BD7049">
        <w:rPr>
          <w:rFonts w:ascii="빙그레 메로나체" w:eastAsia="빙그레 메로나체" w:hAnsi="빙그레 메로나체"/>
          <w:sz w:val="24"/>
          <w:szCs w:val="24"/>
        </w:rPr>
        <w:t xml:space="preserve"> 심사관에게 과도한 심사부담을 주지 않는 한, 보정의 요지변경 여부 판단시 우선권 증명서류를 참작할 수 있다고 봄이 상당하다.</w:t>
      </w:r>
    </w:p>
    <w:p w14:paraId="125711FC" w14:textId="3159A61F" w:rsidR="002F5D4D" w:rsidRDefault="002F5D4D">
      <w:pPr>
        <w:rPr>
          <w:rFonts w:ascii="빙그레 메로나체" w:eastAsia="빙그레 메로나체" w:hAnsi="빙그레 메로나체"/>
          <w:sz w:val="24"/>
          <w:szCs w:val="24"/>
        </w:rPr>
      </w:pPr>
    </w:p>
    <w:p w14:paraId="5746C83B" w14:textId="4DEDFFF2" w:rsidR="002F5D4D" w:rsidRPr="00183B14" w:rsidRDefault="00D84F0F">
      <w:pPr>
        <w:rPr>
          <w:rFonts w:ascii="빙그레 메로나체" w:eastAsia="빙그레 메로나체" w:hAnsi="빙그레 메로나체" w:hint="eastAsia"/>
          <w:sz w:val="24"/>
          <w:szCs w:val="24"/>
        </w:rPr>
      </w:pPr>
      <w:r>
        <w:rPr>
          <w:rFonts w:ascii="빙그레 메로나체" w:eastAsia="빙그레 메로나체" w:hAnsi="빙그레 메로나체" w:hint="eastAsia"/>
          <w:sz w:val="24"/>
          <w:szCs w:val="24"/>
        </w:rPr>
        <w:t>&lt;</w:t>
      </w:r>
      <w:r w:rsidRPr="00D84F0F">
        <w:rPr>
          <w:rFonts w:hint="eastAsia"/>
        </w:rPr>
        <w:t xml:space="preserve"> </w:t>
      </w:r>
      <w:r w:rsidRPr="00D84F0F">
        <w:rPr>
          <w:rFonts w:ascii="빙그레 메로나체" w:eastAsia="빙그레 메로나체" w:hAnsi="빙그레 메로나체" w:hint="eastAsia"/>
          <w:sz w:val="24"/>
          <w:szCs w:val="24"/>
        </w:rPr>
        <w:t>대법원</w:t>
      </w:r>
      <w:r w:rsidRPr="00D84F0F">
        <w:rPr>
          <w:rFonts w:ascii="빙그레 메로나체" w:eastAsia="빙그레 메로나체" w:hAnsi="빙그레 메로나체"/>
          <w:sz w:val="24"/>
          <w:szCs w:val="24"/>
        </w:rPr>
        <w:t xml:space="preserve"> 2011. 4. 28. 선고 2009후2968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00B57105" w:rsidRPr="00B57105">
        <w:rPr>
          <w:rFonts w:ascii="빙그레 메로나체" w:eastAsia="빙그레 메로나체" w:hAnsi="빙그레 메로나체" w:hint="eastAsia"/>
          <w:sz w:val="24"/>
          <w:szCs w:val="24"/>
        </w:rPr>
        <w:t>선</w:t>
      </w:r>
      <w:r w:rsidR="00B57105" w:rsidRPr="00B57105">
        <w:rPr>
          <w:rFonts w:ascii="빙그레 메로나체" w:eastAsia="빙그레 메로나체" w:hAnsi="빙그레 메로나체"/>
          <w:sz w:val="24"/>
          <w:szCs w:val="24"/>
        </w:rPr>
        <w:t xml:space="preserve"> 등록디자인과 후 디자인이 이용관계에 있는 경우에는 후 디자인은 선 등록디자인의 권리범위에 속하게 되는바, 후 디자인이 선 등록디자인을 이용하는 관계라고 함은 후 디자인이 전체로서는 타인의 선 등록디자인과 유사하지 않지만, 선 등록디자인의 요지를 전부 포함하고 선 등록디자인의 본질적 특징을 손상시키지 않은 채 그대로 자신의 디자인 내에 도입하고 있어, 후 디자인을 실시하면 필연적으로 선 등록디자인을 실시하는 관계에 있는 경우를 말한다</w:t>
      </w:r>
      <w:r w:rsidR="00053EB6">
        <w:rPr>
          <w:rFonts w:ascii="빙그레 메로나체" w:eastAsia="빙그레 메로나체" w:hAnsi="빙그레 메로나체" w:hint="eastAsia"/>
          <w:sz w:val="24"/>
          <w:szCs w:val="24"/>
        </w:rPr>
        <w:t>.</w:t>
      </w:r>
      <w:r w:rsidR="00053EB6">
        <w:rPr>
          <w:rFonts w:ascii="빙그레 메로나체" w:eastAsia="빙그레 메로나체" w:hAnsi="빙그레 메로나체"/>
          <w:sz w:val="24"/>
          <w:szCs w:val="24"/>
        </w:rPr>
        <w:t xml:space="preserve"> </w:t>
      </w:r>
      <w:r w:rsidR="00B57105" w:rsidRPr="00B57105">
        <w:rPr>
          <w:rFonts w:ascii="빙그레 메로나체" w:eastAsia="빙그레 메로나체" w:hAnsi="빙그레 메로나체"/>
          <w:sz w:val="24"/>
          <w:szCs w:val="24"/>
        </w:rPr>
        <w:t>( 대법원 1999. 8. 24. 선고 99후888 판결 참조).</w:t>
      </w:r>
    </w:p>
    <w:p w14:paraId="0F4D433B" w14:textId="77777777" w:rsidR="0050184B" w:rsidRPr="00112618" w:rsidRDefault="0050184B">
      <w:pPr>
        <w:rPr>
          <w:rFonts w:ascii="빙그레 메로나체" w:eastAsia="빙그레 메로나체" w:hAnsi="빙그레 메로나체"/>
          <w:sz w:val="24"/>
          <w:szCs w:val="24"/>
        </w:rPr>
      </w:pPr>
    </w:p>
    <w:sectPr w:rsidR="0050184B" w:rsidRPr="001126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7A"/>
    <w:rsid w:val="00053EB6"/>
    <w:rsid w:val="00112618"/>
    <w:rsid w:val="00183B14"/>
    <w:rsid w:val="002F5D4D"/>
    <w:rsid w:val="00323801"/>
    <w:rsid w:val="003E77A2"/>
    <w:rsid w:val="004F20C6"/>
    <w:rsid w:val="0050184B"/>
    <w:rsid w:val="00644824"/>
    <w:rsid w:val="00663145"/>
    <w:rsid w:val="009C087A"/>
    <w:rsid w:val="00A82F22"/>
    <w:rsid w:val="00B57105"/>
    <w:rsid w:val="00B73C65"/>
    <w:rsid w:val="00BD7049"/>
    <w:rsid w:val="00BF4CD8"/>
    <w:rsid w:val="00CB658B"/>
    <w:rsid w:val="00D84F0F"/>
    <w:rsid w:val="00D86A7F"/>
    <w:rsid w:val="00DF72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B600"/>
  <w15:chartTrackingRefBased/>
  <w15:docId w15:val="{593F2B8B-17B6-4736-91D6-2DB1C6BB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Woo-sol</dc:creator>
  <cp:keywords/>
  <dc:description/>
  <cp:lastModifiedBy>Lee Woo-sol</cp:lastModifiedBy>
  <cp:revision>21</cp:revision>
  <dcterms:created xsi:type="dcterms:W3CDTF">2021-01-27T02:21:00Z</dcterms:created>
  <dcterms:modified xsi:type="dcterms:W3CDTF">2021-02-21T22:20:00Z</dcterms:modified>
</cp:coreProperties>
</file>