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710AD" w14:textId="77777777" w:rsidR="0098085F" w:rsidRPr="0098085F" w:rsidRDefault="0098085F" w:rsidP="0098085F">
      <w:pPr>
        <w:rPr>
          <w:rFonts w:ascii="빙그레 메로나체" w:eastAsia="빙그레 메로나체" w:hAnsi="빙그레 메로나체"/>
          <w:sz w:val="24"/>
          <w:szCs w:val="26"/>
        </w:rPr>
      </w:pPr>
      <w:r w:rsidRPr="0098085F">
        <w:rPr>
          <w:rFonts w:ascii="빙그레 메로나체" w:eastAsia="빙그레 메로나체" w:hAnsi="빙그레 메로나체" w:hint="eastAsia"/>
          <w:sz w:val="24"/>
          <w:szCs w:val="26"/>
        </w:rPr>
        <w:t>제</w:t>
      </w:r>
      <w:r w:rsidRPr="0098085F">
        <w:rPr>
          <w:rFonts w:ascii="빙그레 메로나체" w:eastAsia="빙그레 메로나체" w:hAnsi="빙그레 메로나체"/>
          <w:sz w:val="24"/>
          <w:szCs w:val="26"/>
        </w:rPr>
        <w:t>4조(실용신안등록의 요건) ① 산업상 이용할 수 있는 물품의 형상ㆍ구조 또는 조합에 관한 고안으로서 다음 각 호의 어느 하나에 해당하는 것을 제외하고는 그 고안에 대하여 실용신안등록을 받을 수 있다.</w:t>
      </w:r>
    </w:p>
    <w:p w14:paraId="685791BD" w14:textId="77777777" w:rsidR="0098085F" w:rsidRPr="0098085F" w:rsidRDefault="0098085F" w:rsidP="0098085F">
      <w:pPr>
        <w:rPr>
          <w:rFonts w:ascii="빙그레 메로나체" w:eastAsia="빙그레 메로나체" w:hAnsi="빙그레 메로나체"/>
          <w:sz w:val="24"/>
          <w:szCs w:val="26"/>
        </w:rPr>
      </w:pPr>
    </w:p>
    <w:p w14:paraId="027EF826" w14:textId="77777777" w:rsidR="0098085F" w:rsidRPr="0098085F" w:rsidRDefault="0098085F" w:rsidP="0098085F">
      <w:pPr>
        <w:rPr>
          <w:rFonts w:ascii="빙그레 메로나체" w:eastAsia="빙그레 메로나체" w:hAnsi="빙그레 메로나체"/>
          <w:sz w:val="24"/>
          <w:szCs w:val="26"/>
        </w:rPr>
      </w:pPr>
      <w:r w:rsidRPr="0098085F">
        <w:rPr>
          <w:rFonts w:ascii="빙그레 메로나체" w:eastAsia="빙그레 메로나체" w:hAnsi="빙그레 메로나체"/>
          <w:sz w:val="24"/>
          <w:szCs w:val="26"/>
        </w:rPr>
        <w:t>1. 실용신안등록출원 전에 국내 또는 국외에서 공지(</w:t>
      </w:r>
      <w:r w:rsidRPr="0098085F">
        <w:rPr>
          <w:rFonts w:ascii="맑은 고딕" w:eastAsia="맑은 고딕" w:hAnsi="맑은 고딕" w:cs="맑은 고딕" w:hint="eastAsia"/>
          <w:sz w:val="24"/>
          <w:szCs w:val="26"/>
        </w:rPr>
        <w:t>公知</w:t>
      </w:r>
      <w:r w:rsidRPr="0098085F">
        <w:rPr>
          <w:rFonts w:ascii="빙그레 메로나체" w:eastAsia="빙그레 메로나체" w:hAnsi="빙그레 메로나체"/>
          <w:sz w:val="24"/>
          <w:szCs w:val="26"/>
        </w:rPr>
        <w:t>)되었거나 공연(</w:t>
      </w:r>
      <w:r w:rsidRPr="0098085F">
        <w:rPr>
          <w:rFonts w:ascii="맑은 고딕" w:eastAsia="맑은 고딕" w:hAnsi="맑은 고딕" w:cs="맑은 고딕" w:hint="eastAsia"/>
          <w:sz w:val="24"/>
          <w:szCs w:val="26"/>
        </w:rPr>
        <w:t>公然</w:t>
      </w:r>
      <w:r w:rsidRPr="0098085F">
        <w:rPr>
          <w:rFonts w:ascii="빙그레 메로나체" w:eastAsia="빙그레 메로나체" w:hAnsi="빙그레 메로나체"/>
          <w:sz w:val="24"/>
          <w:szCs w:val="26"/>
        </w:rPr>
        <w:t>)히 실시된 고안</w:t>
      </w:r>
    </w:p>
    <w:p w14:paraId="5C028047" w14:textId="77777777" w:rsidR="0098085F" w:rsidRPr="0098085F" w:rsidRDefault="0098085F" w:rsidP="0098085F">
      <w:pPr>
        <w:rPr>
          <w:rFonts w:ascii="빙그레 메로나체" w:eastAsia="빙그레 메로나체" w:hAnsi="빙그레 메로나체"/>
          <w:sz w:val="24"/>
          <w:szCs w:val="26"/>
        </w:rPr>
      </w:pPr>
    </w:p>
    <w:p w14:paraId="66FFFFA8" w14:textId="77777777" w:rsidR="0098085F" w:rsidRPr="0098085F" w:rsidRDefault="0098085F" w:rsidP="0098085F">
      <w:pPr>
        <w:rPr>
          <w:rFonts w:ascii="빙그레 메로나체" w:eastAsia="빙그레 메로나체" w:hAnsi="빙그레 메로나체"/>
          <w:sz w:val="24"/>
          <w:szCs w:val="26"/>
        </w:rPr>
      </w:pPr>
      <w:r w:rsidRPr="0098085F">
        <w:rPr>
          <w:rFonts w:ascii="빙그레 메로나체" w:eastAsia="빙그레 메로나체" w:hAnsi="빙그레 메로나체"/>
          <w:sz w:val="24"/>
          <w:szCs w:val="26"/>
        </w:rPr>
        <w:t>2. 실용신안등록출원 전에 국내 또는 국외에서 반포된 간행물에 게재되었거나 전기통신회선을 통하여 공중(</w:t>
      </w:r>
      <w:r w:rsidRPr="0098085F">
        <w:rPr>
          <w:rFonts w:ascii="맑은 고딕" w:eastAsia="맑은 고딕" w:hAnsi="맑은 고딕" w:cs="맑은 고딕" w:hint="eastAsia"/>
          <w:sz w:val="24"/>
          <w:szCs w:val="26"/>
        </w:rPr>
        <w:t>公衆</w:t>
      </w:r>
      <w:r w:rsidRPr="0098085F">
        <w:rPr>
          <w:rFonts w:ascii="빙그레 메로나체" w:eastAsia="빙그레 메로나체" w:hAnsi="빙그레 메로나체"/>
          <w:sz w:val="24"/>
          <w:szCs w:val="26"/>
        </w:rPr>
        <w:t>)이 이용할 수 있는 고안</w:t>
      </w:r>
    </w:p>
    <w:p w14:paraId="05FFB50A" w14:textId="77777777" w:rsidR="0098085F" w:rsidRPr="0098085F" w:rsidRDefault="0098085F" w:rsidP="0098085F">
      <w:pPr>
        <w:rPr>
          <w:rFonts w:ascii="빙그레 메로나체" w:eastAsia="빙그레 메로나체" w:hAnsi="빙그레 메로나체"/>
          <w:sz w:val="24"/>
          <w:szCs w:val="26"/>
        </w:rPr>
      </w:pPr>
    </w:p>
    <w:p w14:paraId="3DD0EE6A" w14:textId="77777777" w:rsidR="0098085F" w:rsidRPr="0098085F" w:rsidRDefault="0098085F" w:rsidP="0098085F">
      <w:pPr>
        <w:rPr>
          <w:rFonts w:ascii="빙그레 메로나체" w:eastAsia="빙그레 메로나체" w:hAnsi="빙그레 메로나체"/>
          <w:sz w:val="24"/>
          <w:szCs w:val="26"/>
        </w:rPr>
      </w:pPr>
      <w:r w:rsidRPr="0098085F">
        <w:rPr>
          <w:rFonts w:ascii="빙그레 메로나체" w:eastAsia="빙그레 메로나체" w:hAnsi="빙그레 메로나체" w:hint="eastAsia"/>
          <w:sz w:val="24"/>
          <w:szCs w:val="26"/>
        </w:rPr>
        <w:t>②</w:t>
      </w:r>
      <w:r w:rsidRPr="0098085F">
        <w:rPr>
          <w:rFonts w:ascii="빙그레 메로나체" w:eastAsia="빙그레 메로나체" w:hAnsi="빙그레 메로나체"/>
          <w:sz w:val="24"/>
          <w:szCs w:val="26"/>
        </w:rPr>
        <w:t xml:space="preserve"> 실용신안등록출원 전에 그 고안이 속하는 기술분야에서 통상의 지식을 가진 사람이 제1항 각 호의 어느 하나에 해당하는 고안에 의하여 극히 쉽게 고안할 수 있으면 그 고안에 대해서는 제1항에도 불구하고 실용신안등록을 받을 수 없다.</w:t>
      </w:r>
    </w:p>
    <w:p w14:paraId="135731AD" w14:textId="77777777" w:rsidR="0098085F" w:rsidRPr="0098085F" w:rsidRDefault="0098085F" w:rsidP="0098085F">
      <w:pPr>
        <w:rPr>
          <w:rFonts w:ascii="빙그레 메로나체" w:eastAsia="빙그레 메로나체" w:hAnsi="빙그레 메로나체"/>
          <w:sz w:val="24"/>
          <w:szCs w:val="26"/>
        </w:rPr>
      </w:pPr>
    </w:p>
    <w:p w14:paraId="1319732C" w14:textId="77777777" w:rsidR="0098085F" w:rsidRPr="0098085F" w:rsidRDefault="0098085F" w:rsidP="0098085F">
      <w:pPr>
        <w:rPr>
          <w:rFonts w:ascii="빙그레 메로나체" w:eastAsia="빙그레 메로나체" w:hAnsi="빙그레 메로나체"/>
          <w:sz w:val="24"/>
          <w:szCs w:val="26"/>
        </w:rPr>
      </w:pPr>
      <w:r w:rsidRPr="0098085F">
        <w:rPr>
          <w:rFonts w:ascii="빙그레 메로나체" w:eastAsia="빙그레 메로나체" w:hAnsi="빙그레 메로나체" w:hint="eastAsia"/>
          <w:sz w:val="24"/>
          <w:szCs w:val="26"/>
        </w:rPr>
        <w:t>③</w:t>
      </w:r>
      <w:r w:rsidRPr="0098085F">
        <w:rPr>
          <w:rFonts w:ascii="빙그레 메로나체" w:eastAsia="빙그레 메로나체" w:hAnsi="빙그레 메로나체"/>
          <w:sz w:val="24"/>
          <w:szCs w:val="26"/>
        </w:rPr>
        <w:t xml:space="preserve"> 실용신안등록출원한 고안이 다음 각 호의 요건을 모두 갖춘 다른 실용신안등록출원의 출원서에 최초로 첨부된 명세서 또는 도면에 기재된 고안과 동일한 경우에 그 고안은 제1항에도 불구하고 실용신안등록을 받을 수 없다. 다만, 그 실용신안등록출원의 고안자와 다른 실용신안등록출원의 고안자가 같거나 그 실용신안등록출원을 출원한 때의 출원인과 다른 실용신안등록출원의 출원인이 같은 경우에는 그러하지 아니하다.</w:t>
      </w:r>
    </w:p>
    <w:p w14:paraId="526410BC" w14:textId="77777777" w:rsidR="0098085F" w:rsidRPr="0098085F" w:rsidRDefault="0098085F" w:rsidP="0098085F">
      <w:pPr>
        <w:rPr>
          <w:rFonts w:ascii="빙그레 메로나체" w:eastAsia="빙그레 메로나체" w:hAnsi="빙그레 메로나체"/>
          <w:sz w:val="24"/>
          <w:szCs w:val="26"/>
        </w:rPr>
      </w:pPr>
    </w:p>
    <w:p w14:paraId="63E2ED83" w14:textId="77777777" w:rsidR="0098085F" w:rsidRPr="0098085F" w:rsidRDefault="0098085F" w:rsidP="0098085F">
      <w:pPr>
        <w:rPr>
          <w:rFonts w:ascii="빙그레 메로나체" w:eastAsia="빙그레 메로나체" w:hAnsi="빙그레 메로나체"/>
          <w:sz w:val="24"/>
          <w:szCs w:val="26"/>
        </w:rPr>
      </w:pPr>
      <w:r w:rsidRPr="0098085F">
        <w:rPr>
          <w:rFonts w:ascii="빙그레 메로나체" w:eastAsia="빙그레 메로나체" w:hAnsi="빙그레 메로나체"/>
          <w:sz w:val="24"/>
          <w:szCs w:val="26"/>
        </w:rPr>
        <w:t>1. 그 실용신안등록출원일 전에 출원된 실용신안등록출원일 것</w:t>
      </w:r>
    </w:p>
    <w:p w14:paraId="13BEA60A" w14:textId="77777777" w:rsidR="0098085F" w:rsidRPr="0098085F" w:rsidRDefault="0098085F" w:rsidP="0098085F">
      <w:pPr>
        <w:rPr>
          <w:rFonts w:ascii="빙그레 메로나체" w:eastAsia="빙그레 메로나체" w:hAnsi="빙그레 메로나체"/>
          <w:sz w:val="24"/>
          <w:szCs w:val="26"/>
        </w:rPr>
      </w:pPr>
    </w:p>
    <w:p w14:paraId="13F4933F" w14:textId="77777777" w:rsidR="0098085F" w:rsidRPr="0098085F" w:rsidRDefault="0098085F" w:rsidP="0098085F">
      <w:pPr>
        <w:rPr>
          <w:rFonts w:ascii="빙그레 메로나체" w:eastAsia="빙그레 메로나체" w:hAnsi="빙그레 메로나체"/>
          <w:sz w:val="24"/>
          <w:szCs w:val="26"/>
        </w:rPr>
      </w:pPr>
      <w:r w:rsidRPr="0098085F">
        <w:rPr>
          <w:rFonts w:ascii="빙그레 메로나체" w:eastAsia="빙그레 메로나체" w:hAnsi="빙그레 메로나체"/>
          <w:sz w:val="24"/>
          <w:szCs w:val="26"/>
        </w:rPr>
        <w:t>2. 그 실용신안등록출원 후 제15조에 따라 준용되는 「특허법」 제64조에 따라 출원공개되거나 이 법 제21조제3항에 따라 등록공고된 실용신안등록출원일 것</w:t>
      </w:r>
    </w:p>
    <w:p w14:paraId="28C1818C" w14:textId="77777777" w:rsidR="0098085F" w:rsidRPr="0098085F" w:rsidRDefault="0098085F" w:rsidP="0098085F">
      <w:pPr>
        <w:rPr>
          <w:rFonts w:ascii="빙그레 메로나체" w:eastAsia="빙그레 메로나체" w:hAnsi="빙그레 메로나체"/>
          <w:sz w:val="24"/>
          <w:szCs w:val="26"/>
        </w:rPr>
      </w:pPr>
    </w:p>
    <w:p w14:paraId="2293B167" w14:textId="77777777" w:rsidR="0098085F" w:rsidRPr="0098085F" w:rsidRDefault="0098085F" w:rsidP="0098085F">
      <w:pPr>
        <w:rPr>
          <w:rFonts w:ascii="빙그레 메로나체" w:eastAsia="빙그레 메로나체" w:hAnsi="빙그레 메로나체"/>
          <w:sz w:val="24"/>
          <w:szCs w:val="26"/>
        </w:rPr>
      </w:pPr>
      <w:r w:rsidRPr="0098085F">
        <w:rPr>
          <w:rFonts w:ascii="빙그레 메로나체" w:eastAsia="빙그레 메로나체" w:hAnsi="빙그레 메로나체" w:hint="eastAsia"/>
          <w:sz w:val="24"/>
          <w:szCs w:val="26"/>
        </w:rPr>
        <w:t>④</w:t>
      </w:r>
      <w:r w:rsidRPr="0098085F">
        <w:rPr>
          <w:rFonts w:ascii="빙그레 메로나체" w:eastAsia="빙그레 메로나체" w:hAnsi="빙그레 메로나체"/>
          <w:sz w:val="24"/>
          <w:szCs w:val="26"/>
        </w:rPr>
        <w:t xml:space="preserve"> 실용신안등록출원한 고안이 다음 각 호의 요건을 모두 갖춘 특허출원의 출원서에 최</w:t>
      </w:r>
      <w:r w:rsidRPr="0098085F">
        <w:rPr>
          <w:rFonts w:ascii="빙그레 메로나체" w:eastAsia="빙그레 메로나체" w:hAnsi="빙그레 메로나체"/>
          <w:sz w:val="24"/>
          <w:szCs w:val="26"/>
        </w:rPr>
        <w:lastRenderedPageBreak/>
        <w:t>초로 첨부된 명세서 또는 도면에 기재된 발명과 동일한 경우에 그 고안은 제1항에도 불구하고 실용신안등록을 받을 수 없다. 다만, 그 실용신안등록출원의 고안자와 특허출원의 발명자가 같거나 그 실용신안등록출원을 출원한 때의 출원인과 특허출원의 출원인이 같은 경우에는 그러하지 아니하다.</w:t>
      </w:r>
    </w:p>
    <w:p w14:paraId="17097238" w14:textId="77777777" w:rsidR="0098085F" w:rsidRPr="0098085F" w:rsidRDefault="0098085F" w:rsidP="0098085F">
      <w:pPr>
        <w:rPr>
          <w:rFonts w:ascii="빙그레 메로나체" w:eastAsia="빙그레 메로나체" w:hAnsi="빙그레 메로나체"/>
          <w:sz w:val="24"/>
          <w:szCs w:val="26"/>
        </w:rPr>
      </w:pPr>
    </w:p>
    <w:p w14:paraId="606F91DA" w14:textId="77777777" w:rsidR="0098085F" w:rsidRPr="0098085F" w:rsidRDefault="0098085F" w:rsidP="0098085F">
      <w:pPr>
        <w:rPr>
          <w:rFonts w:ascii="빙그레 메로나체" w:eastAsia="빙그레 메로나체" w:hAnsi="빙그레 메로나체"/>
          <w:sz w:val="24"/>
          <w:szCs w:val="26"/>
        </w:rPr>
      </w:pPr>
      <w:r w:rsidRPr="0098085F">
        <w:rPr>
          <w:rFonts w:ascii="빙그레 메로나체" w:eastAsia="빙그레 메로나체" w:hAnsi="빙그레 메로나체"/>
          <w:sz w:val="24"/>
          <w:szCs w:val="26"/>
        </w:rPr>
        <w:t>1. 그 실용신안등록출원일 전에 출원된 특허출원일 것</w:t>
      </w:r>
    </w:p>
    <w:p w14:paraId="333B4B49" w14:textId="77777777" w:rsidR="0098085F" w:rsidRPr="0098085F" w:rsidRDefault="0098085F" w:rsidP="0098085F">
      <w:pPr>
        <w:rPr>
          <w:rFonts w:ascii="빙그레 메로나체" w:eastAsia="빙그레 메로나체" w:hAnsi="빙그레 메로나체"/>
          <w:sz w:val="24"/>
          <w:szCs w:val="26"/>
        </w:rPr>
      </w:pPr>
    </w:p>
    <w:p w14:paraId="04C4095D" w14:textId="77777777" w:rsidR="0098085F" w:rsidRPr="0098085F" w:rsidRDefault="0098085F" w:rsidP="0098085F">
      <w:pPr>
        <w:rPr>
          <w:rFonts w:ascii="빙그레 메로나체" w:eastAsia="빙그레 메로나체" w:hAnsi="빙그레 메로나체"/>
          <w:sz w:val="24"/>
          <w:szCs w:val="26"/>
        </w:rPr>
      </w:pPr>
      <w:r w:rsidRPr="0098085F">
        <w:rPr>
          <w:rFonts w:ascii="빙그레 메로나체" w:eastAsia="빙그레 메로나체" w:hAnsi="빙그레 메로나체"/>
          <w:sz w:val="24"/>
          <w:szCs w:val="26"/>
        </w:rPr>
        <w:t>2. 그 실용신안등록출원 후 「특허법」 제64조에 따라 출원공개되거나 같은 법 제87조제3항에 따라 등록공고된 특허출원일 것</w:t>
      </w:r>
    </w:p>
    <w:p w14:paraId="6FA7E017" w14:textId="77777777" w:rsidR="0098085F" w:rsidRPr="0098085F" w:rsidRDefault="0098085F" w:rsidP="0098085F">
      <w:pPr>
        <w:rPr>
          <w:rFonts w:ascii="빙그레 메로나체" w:eastAsia="빙그레 메로나체" w:hAnsi="빙그레 메로나체"/>
          <w:sz w:val="24"/>
          <w:szCs w:val="26"/>
        </w:rPr>
      </w:pPr>
    </w:p>
    <w:p w14:paraId="164CD21C" w14:textId="77777777" w:rsidR="0098085F" w:rsidRPr="0098085F" w:rsidRDefault="0098085F" w:rsidP="0098085F">
      <w:pPr>
        <w:rPr>
          <w:rFonts w:ascii="빙그레 메로나체" w:eastAsia="빙그레 메로나체" w:hAnsi="빙그레 메로나체"/>
          <w:sz w:val="24"/>
          <w:szCs w:val="26"/>
        </w:rPr>
      </w:pPr>
      <w:r w:rsidRPr="0098085F">
        <w:rPr>
          <w:rFonts w:ascii="빙그레 메로나체" w:eastAsia="빙그레 메로나체" w:hAnsi="빙그레 메로나체" w:hint="eastAsia"/>
          <w:sz w:val="24"/>
          <w:szCs w:val="26"/>
        </w:rPr>
        <w:t>⑤</w:t>
      </w:r>
      <w:r w:rsidRPr="0098085F">
        <w:rPr>
          <w:rFonts w:ascii="빙그레 메로나체" w:eastAsia="빙그레 메로나체" w:hAnsi="빙그레 메로나체"/>
          <w:sz w:val="24"/>
          <w:szCs w:val="26"/>
        </w:rPr>
        <w:t xml:space="preserve"> 제3항을 적용할 때 다른 실용신안등록출원이 제34조제2항에 따른 국제실용신안등록출원(제40조제4항에 따라 실용신안등록출원으로 보는 국제출원을 포함한다)인 경우 제3항 본문 중 "출원서에 최초로 첨부된 명세서 또는 도면"은 "국제출원일까지 제출한 고안의 설명, 청구범위 또는 도면"으로, 같은 항 제2호 중 "출원공개"는 "출원공개 또는 「특허협력조약」 제21조에 따라 국제공개"로 본다.</w:t>
      </w:r>
    </w:p>
    <w:p w14:paraId="1C254A79" w14:textId="77777777" w:rsidR="0098085F" w:rsidRPr="0098085F" w:rsidRDefault="0098085F" w:rsidP="0098085F">
      <w:pPr>
        <w:rPr>
          <w:rFonts w:ascii="빙그레 메로나체" w:eastAsia="빙그레 메로나체" w:hAnsi="빙그레 메로나체"/>
          <w:sz w:val="24"/>
          <w:szCs w:val="26"/>
        </w:rPr>
      </w:pPr>
    </w:p>
    <w:p w14:paraId="5DA6D6AD" w14:textId="77777777" w:rsidR="0098085F" w:rsidRPr="0098085F" w:rsidRDefault="0098085F" w:rsidP="0098085F">
      <w:pPr>
        <w:rPr>
          <w:rFonts w:ascii="빙그레 메로나체" w:eastAsia="빙그레 메로나체" w:hAnsi="빙그레 메로나체"/>
          <w:sz w:val="24"/>
          <w:szCs w:val="26"/>
        </w:rPr>
      </w:pPr>
      <w:r w:rsidRPr="0098085F">
        <w:rPr>
          <w:rFonts w:ascii="빙그레 메로나체" w:eastAsia="빙그레 메로나체" w:hAnsi="빙그레 메로나체" w:hint="eastAsia"/>
          <w:sz w:val="24"/>
          <w:szCs w:val="26"/>
        </w:rPr>
        <w:t>⑥</w:t>
      </w:r>
      <w:r w:rsidRPr="0098085F">
        <w:rPr>
          <w:rFonts w:ascii="빙그레 메로나체" w:eastAsia="빙그레 메로나체" w:hAnsi="빙그레 메로나체"/>
          <w:sz w:val="24"/>
          <w:szCs w:val="26"/>
        </w:rPr>
        <w:t xml:space="preserve"> 제4항을 적용할 때 특허출원이 「특허법」 제199조제2항에 따른 국제특허출원(같은 법 제214조제4항에 따라 특허출원으로 보는 국제출원을 포함한다)인 경우 제4항 본문 중 "출원서에 최초로 첨부된 명세서 또는 도면"은 "국제출원일까지 제출한 발명의 설명, 청구범위 또는 도면"으로, 같은 항 제2호 중 "출원공개되거나 같은 법"은 "출원공개 또는 「특허협력조약」 제21조에 따라 국제공개되거나 「특허법」"으로 본다.</w:t>
      </w:r>
    </w:p>
    <w:p w14:paraId="64869911" w14:textId="77777777" w:rsidR="0098085F" w:rsidRPr="0098085F" w:rsidRDefault="0098085F" w:rsidP="0098085F">
      <w:pPr>
        <w:rPr>
          <w:rFonts w:ascii="빙그레 메로나체" w:eastAsia="빙그레 메로나체" w:hAnsi="빙그레 메로나체"/>
          <w:sz w:val="24"/>
          <w:szCs w:val="26"/>
        </w:rPr>
      </w:pPr>
    </w:p>
    <w:p w14:paraId="1AAB026F" w14:textId="77777777" w:rsidR="0098085F" w:rsidRPr="0098085F" w:rsidRDefault="0098085F" w:rsidP="0098085F">
      <w:pPr>
        <w:rPr>
          <w:rFonts w:ascii="빙그레 메로나체" w:eastAsia="빙그레 메로나체" w:hAnsi="빙그레 메로나체"/>
          <w:sz w:val="24"/>
          <w:szCs w:val="26"/>
        </w:rPr>
      </w:pPr>
      <w:r w:rsidRPr="0098085F">
        <w:rPr>
          <w:rFonts w:ascii="빙그레 메로나체" w:eastAsia="빙그레 메로나체" w:hAnsi="빙그레 메로나체" w:hint="eastAsia"/>
          <w:sz w:val="24"/>
          <w:szCs w:val="26"/>
        </w:rPr>
        <w:t>⑦</w:t>
      </w:r>
      <w:r w:rsidRPr="0098085F">
        <w:rPr>
          <w:rFonts w:ascii="빙그레 메로나체" w:eastAsia="빙그레 메로나체" w:hAnsi="빙그레 메로나체"/>
          <w:sz w:val="24"/>
          <w:szCs w:val="26"/>
        </w:rPr>
        <w:t xml:space="preserve"> 제3항 또는 제4항을 적용할 때 제35조제4항에 따라 취하한 것으로 보는 국제실용신안등록출원 또는 「특허법」 제201조제4항에 따라 취하한 것으로 보는 국제특허출원은 다른 실용신안등록출원 또는 특허출원으로 보지 아니한다.</w:t>
      </w:r>
    </w:p>
    <w:p w14:paraId="2D892D53" w14:textId="77777777" w:rsidR="0098085F" w:rsidRPr="0098085F" w:rsidRDefault="0098085F" w:rsidP="0098085F">
      <w:pPr>
        <w:rPr>
          <w:rFonts w:ascii="빙그레 메로나체" w:eastAsia="빙그레 메로나체" w:hAnsi="빙그레 메로나체"/>
          <w:sz w:val="24"/>
          <w:szCs w:val="26"/>
        </w:rPr>
      </w:pPr>
    </w:p>
    <w:p w14:paraId="57267D7D" w14:textId="029C8A32" w:rsidR="008E67B2" w:rsidRPr="0098085F" w:rsidRDefault="0098085F" w:rsidP="0098085F">
      <w:pPr>
        <w:rPr>
          <w:rFonts w:ascii="빙그레 메로나체" w:eastAsia="빙그레 메로나체" w:hAnsi="빙그레 메로나체"/>
          <w:sz w:val="24"/>
          <w:szCs w:val="26"/>
        </w:rPr>
      </w:pPr>
      <w:r w:rsidRPr="0098085F">
        <w:rPr>
          <w:rFonts w:ascii="빙그레 메로나체" w:eastAsia="빙그레 메로나체" w:hAnsi="빙그레 메로나체"/>
          <w:sz w:val="24"/>
          <w:szCs w:val="26"/>
        </w:rPr>
        <w:t>[전문개정 2014. 6. 11.]</w:t>
      </w:r>
    </w:p>
    <w:sectPr w:rsidR="008E67B2" w:rsidRPr="009808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빙그레 메로나체">
    <w:panose1 w:val="020B0503000000000000"/>
    <w:charset w:val="81"/>
    <w:family w:val="swiss"/>
    <w:notTrueType/>
    <w:pitch w:val="variable"/>
    <w:sig w:usb0="800002A7" w:usb1="2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9A3"/>
    <w:rsid w:val="002D06A0"/>
    <w:rsid w:val="005F39A3"/>
    <w:rsid w:val="008E67B2"/>
    <w:rsid w:val="0098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3EC22"/>
  <w15:chartTrackingRefBased/>
  <w15:docId w15:val="{5EB712CB-F8AF-421B-984D-34EAF6E8B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04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이우솔 이우솔</dc:creator>
  <cp:keywords/>
  <dc:description/>
  <cp:lastModifiedBy>이우솔 이우솔</cp:lastModifiedBy>
  <cp:revision>2</cp:revision>
  <dcterms:created xsi:type="dcterms:W3CDTF">2020-07-26T06:48:00Z</dcterms:created>
  <dcterms:modified xsi:type="dcterms:W3CDTF">2020-07-26T06:57:00Z</dcterms:modified>
</cp:coreProperties>
</file>