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D1ACC" w14:textId="25238F5B" w:rsidR="008E67B2" w:rsidRDefault="00231DF4">
      <w:pPr>
        <w:rPr>
          <w:rFonts w:ascii="빙그레 메로나체" w:eastAsia="빙그레 메로나체" w:hAnsi="빙그레 메로나체"/>
        </w:rPr>
      </w:pPr>
      <w:r>
        <w:rPr>
          <w:rFonts w:ascii="빙그레 메로나체" w:eastAsia="빙그레 메로나체" w:hAnsi="빙그레 메로나체" w:hint="eastAsia"/>
        </w:rPr>
        <w:t>&lt;</w:t>
      </w:r>
      <w:r w:rsidRPr="00231DF4">
        <w:rPr>
          <w:rFonts w:ascii="빙그레 메로나체" w:eastAsia="빙그레 메로나체" w:hAnsi="빙그레 메로나체" w:hint="eastAsia"/>
        </w:rPr>
        <w:t>대법원</w:t>
      </w:r>
      <w:r w:rsidRPr="00231DF4">
        <w:rPr>
          <w:rFonts w:ascii="빙그레 메로나체" w:eastAsia="빙그레 메로나체" w:hAnsi="빙그레 메로나체"/>
        </w:rPr>
        <w:t xml:space="preserve"> 2004. 12. 9. 선고 2002후567</w:t>
      </w:r>
      <w:r>
        <w:rPr>
          <w:rFonts w:ascii="빙그레 메로나체" w:eastAsia="빙그레 메로나체" w:hAnsi="빙그레 메로나체"/>
        </w:rPr>
        <w:t>&gt;</w:t>
      </w:r>
    </w:p>
    <w:p w14:paraId="603F5658" w14:textId="01AD4DE2" w:rsidR="00231DF4" w:rsidRDefault="00233109">
      <w:pPr>
        <w:rPr>
          <w:rFonts w:ascii="빙그레 메로나체" w:eastAsia="빙그레 메로나체" w:hAnsi="빙그레 메로나체"/>
        </w:rPr>
      </w:pPr>
      <w:r w:rsidRPr="00233109">
        <w:rPr>
          <w:rFonts w:ascii="빙그레 메로나체" w:eastAsia="빙그레 메로나체" w:hAnsi="빙그레 메로나체" w:hint="eastAsia"/>
        </w:rPr>
        <w:t>상표권이</w:t>
      </w:r>
      <w:r w:rsidRPr="00233109">
        <w:rPr>
          <w:rFonts w:ascii="빙그레 메로나체" w:eastAsia="빙그레 메로나체" w:hAnsi="빙그레 메로나체"/>
        </w:rPr>
        <w:t xml:space="preserve"> 공유인 경우에 각 공유자는 다른 공유자의 동의를 얻지 아니하면 그 지분을 양도하거나 그 지분을 목적으로 하는 질권을 설정할 수 없고 그 상표권에 대하여 전용사용권 또는 통상사용권을 설정할 수도 없는 등 일정한 제약을 받아 그 범위에서 합유와 유사한 성질을 가지지만, 이러한 제약은 상표권이 무체재산권인 특수성에서 유래한 것으로 보일 뿐이고, 상표권의 공유자들이 반드시 공동목적이나 동업관계를 기초로 조합체를 형성하여 상표권을 소유한다고 볼 수 없을 </w:t>
      </w:r>
      <w:r w:rsidRPr="00233109">
        <w:rPr>
          <w:rFonts w:ascii="빙그레 메로나체" w:eastAsia="빙그레 메로나체" w:hAnsi="빙그레 메로나체" w:hint="eastAsia"/>
        </w:rPr>
        <w:t>뿐만</w:t>
      </w:r>
      <w:r w:rsidRPr="00233109">
        <w:rPr>
          <w:rFonts w:ascii="빙그레 메로나체" w:eastAsia="빙그레 메로나체" w:hAnsi="빙그레 메로나체"/>
        </w:rPr>
        <w:t xml:space="preserve"> 아니라 상표법에 상표권의 공유를 합유관계로 본다는 명문의 규정도 없는 이상, 상표권의 공유에도 상표법의 다른 규정이나 그 본질에 반하지 아니하는 범위 내에서는 민법상의 공유의 규정이 적용될 수 있다고 할 것이다.</w:t>
      </w:r>
    </w:p>
    <w:p w14:paraId="7091913E" w14:textId="1B7DF5EF" w:rsidR="005C28F5" w:rsidRDefault="005C28F5">
      <w:pPr>
        <w:rPr>
          <w:rFonts w:ascii="빙그레 메로나체" w:eastAsia="빙그레 메로나체" w:hAnsi="빙그레 메로나체"/>
        </w:rPr>
      </w:pPr>
    </w:p>
    <w:p w14:paraId="15CF6F9E" w14:textId="61AC77D3" w:rsidR="0086169E" w:rsidRDefault="0086169E">
      <w:pPr>
        <w:rPr>
          <w:rFonts w:ascii="빙그레 메로나체" w:eastAsia="빙그레 메로나체" w:hAnsi="빙그레 메로나체"/>
        </w:rPr>
      </w:pPr>
      <w:r>
        <w:rPr>
          <w:rFonts w:ascii="빙그레 메로나체" w:eastAsia="빙그레 메로나체" w:hAnsi="빙그레 메로나체" w:hint="eastAsia"/>
        </w:rPr>
        <w:t>&lt;</w:t>
      </w:r>
      <w:r w:rsidRPr="0086169E">
        <w:rPr>
          <w:rFonts w:ascii="빙그레 메로나체" w:eastAsia="빙그레 메로나체" w:hAnsi="빙그레 메로나체" w:hint="eastAsia"/>
        </w:rPr>
        <w:t>대법원</w:t>
      </w:r>
      <w:r w:rsidRPr="0086169E">
        <w:rPr>
          <w:rFonts w:ascii="빙그레 메로나체" w:eastAsia="빙그레 메로나체" w:hAnsi="빙그레 메로나체"/>
        </w:rPr>
        <w:t xml:space="preserve"> 2012. 4. 16.자 2011마2412</w:t>
      </w:r>
      <w:r>
        <w:rPr>
          <w:rFonts w:ascii="빙그레 메로나체" w:eastAsia="빙그레 메로나체" w:hAnsi="빙그레 메로나체"/>
        </w:rPr>
        <w:t xml:space="preserve"> </w:t>
      </w:r>
      <w:r>
        <w:rPr>
          <w:rFonts w:ascii="빙그레 메로나체" w:eastAsia="빙그레 메로나체" w:hAnsi="빙그레 메로나체" w:hint="eastAsia"/>
        </w:rPr>
        <w:t>결정</w:t>
      </w:r>
      <w:r>
        <w:rPr>
          <w:rFonts w:ascii="빙그레 메로나체" w:eastAsia="빙그레 메로나체" w:hAnsi="빙그레 메로나체"/>
        </w:rPr>
        <w:t>&gt;</w:t>
      </w:r>
    </w:p>
    <w:p w14:paraId="307DB7C3" w14:textId="5B9573A3" w:rsidR="0086169E" w:rsidRDefault="00EB70D0">
      <w:pPr>
        <w:rPr>
          <w:rFonts w:ascii="빙그레 메로나체" w:eastAsia="빙그레 메로나체" w:hAnsi="빙그레 메로나체"/>
        </w:rPr>
      </w:pPr>
      <w:r w:rsidRPr="00EB70D0">
        <w:rPr>
          <w:rFonts w:ascii="빙그레 메로나체" w:eastAsia="빙그레 메로나체" w:hAnsi="빙그레 메로나체" w:hint="eastAsia"/>
        </w:rPr>
        <w:t>특허권을</w:t>
      </w:r>
      <w:r w:rsidRPr="00EB70D0">
        <w:rPr>
          <w:rFonts w:ascii="빙그레 메로나체" w:eastAsia="빙그레 메로나체" w:hAnsi="빙그레 메로나체"/>
        </w:rPr>
        <w:t xml:space="preserve"> 공유하는 경우에 각 공유자는 다른 공유자의 동의를 얻지 아니하면 그 지분을 양도하거나 그 지분을 목적으로 하는 질권을 설정할 수 없고, 그 특허권에 대하여 전용실시권을 설정하거나 통상실시권을 허락할 수 없는 등 특허권의 공유관계는 합유에 준하는 성질을 갖는 것이고(대법원 1999. 3. 26. 선고 97다41295 판결 참조), 또한 특허법이 위와 같이 공유지분의 자유로운 양도 등을 금지하는 것은 다른 공유자의 이익을 보호하려는 데 그 목적이 있</w:t>
      </w:r>
      <w:r w:rsidRPr="00EB70D0">
        <w:rPr>
          <w:rFonts w:ascii="빙그레 메로나체" w:eastAsia="빙그레 메로나체" w:hAnsi="빙그레 메로나체" w:hint="eastAsia"/>
        </w:rPr>
        <w:t>으므로</w:t>
      </w:r>
      <w:r w:rsidRPr="00EB70D0">
        <w:rPr>
          <w:rFonts w:ascii="빙그레 메로나체" w:eastAsia="빙그레 메로나체" w:hAnsi="빙그레 메로나체"/>
        </w:rPr>
        <w:t>, 각 공유자의 공유지분은 다른 공유자의 동의를 얻지 않는 한 압류의 대상이 될 수 없다.</w:t>
      </w:r>
    </w:p>
    <w:p w14:paraId="0F822788" w14:textId="0F3354CA" w:rsidR="00342C5B" w:rsidRDefault="00342C5B">
      <w:pPr>
        <w:rPr>
          <w:rFonts w:ascii="빙그레 메로나체" w:eastAsia="빙그레 메로나체" w:hAnsi="빙그레 메로나체"/>
        </w:rPr>
      </w:pPr>
    </w:p>
    <w:p w14:paraId="3F488EB1" w14:textId="296D01B8" w:rsidR="00342C5B" w:rsidRDefault="00342C5B">
      <w:pPr>
        <w:rPr>
          <w:rFonts w:ascii="빙그레 메로나체" w:eastAsia="빙그레 메로나체" w:hAnsi="빙그레 메로나체"/>
        </w:rPr>
      </w:pPr>
      <w:r>
        <w:rPr>
          <w:rFonts w:ascii="빙그레 메로나체" w:eastAsia="빙그레 메로나체" w:hAnsi="빙그레 메로나체" w:hint="eastAsia"/>
        </w:rPr>
        <w:t>&lt;</w:t>
      </w:r>
      <w:r w:rsidR="00C25AF2" w:rsidRPr="00C25AF2">
        <w:rPr>
          <w:rFonts w:ascii="빙그레 메로나체" w:eastAsia="빙그레 메로나체" w:hAnsi="빙그레 메로나체" w:hint="eastAsia"/>
        </w:rPr>
        <w:t>대법원</w:t>
      </w:r>
      <w:r w:rsidR="00C25AF2" w:rsidRPr="00C25AF2">
        <w:rPr>
          <w:rFonts w:ascii="빙그레 메로나체" w:eastAsia="빙그레 메로나체" w:hAnsi="빙그레 메로나체"/>
        </w:rPr>
        <w:t xml:space="preserve"> 1999. 3. 26. 선고 97다41295</w:t>
      </w:r>
      <w:r>
        <w:rPr>
          <w:rFonts w:ascii="빙그레 메로나체" w:eastAsia="빙그레 메로나체" w:hAnsi="빙그레 메로나체"/>
        </w:rPr>
        <w:t>&gt;</w:t>
      </w:r>
    </w:p>
    <w:p w14:paraId="55E7B680" w14:textId="7F9A62B6" w:rsidR="00C25AF2" w:rsidRDefault="000342B4">
      <w:pPr>
        <w:rPr>
          <w:rFonts w:ascii="빙그레 메로나체" w:eastAsia="빙그레 메로나체" w:hAnsi="빙그레 메로나체"/>
        </w:rPr>
      </w:pPr>
      <w:r w:rsidRPr="000342B4">
        <w:rPr>
          <w:rFonts w:ascii="빙그레 메로나체" w:eastAsia="빙그레 메로나체" w:hAnsi="빙그레 메로나체" w:hint="eastAsia"/>
        </w:rPr>
        <w:t>특허권의</w:t>
      </w:r>
      <w:r w:rsidRPr="000342B4">
        <w:rPr>
          <w:rFonts w:ascii="빙그레 메로나체" w:eastAsia="빙그레 메로나체" w:hAnsi="빙그레 메로나체"/>
        </w:rPr>
        <w:t xml:space="preserve"> 전용실시권자는 그 설정행위로 정한 범위 안에서 업으로서 그 특허발명을 실시할 권리를 독점하고 그 범위 내에서는 특허권자일지라도 그 특허권을 실시할 수 없는 것이므로, 특허권이 공유인 경우 각 공유자는 다른 공유자의 동의를 얻지 아니하면 그 특허권에 대하여 전용실시권을 설정할 수 없는 것인바, 공유자의 한 사람이 다른 공유자의 동의를 얻어 전용실시권을 설정하는 경우에도 그 전용실시권의 설정은 특허권의 일부 지분에 국한된 처분이 아니라 특허권 자체에 대한 처분행위에 해당하는 것이며, 전용실시권의 성질상 특허권의 일부 지분에 대한 전용실시권의 설정은 상정할 수 없는 것이므로, 특허권의 일부 지분에 대하여만 처분행위를 금하는 가처분등록이 경료된 후 제3자 앞으로 당해 특허권에 대한 전용실시권이 설정된 경우에, 가처분권자가 본안소송에서 승소하여 그 앞으로 위 일부 지분에 관한 이전등록이 이루어졌다면 그 전용실시권의 설정은 그 전부가 위 가처분의 취지에 반하는 것으로서 무효가 된다고 보아야 할 것이고, 이</w:t>
      </w:r>
      <w:r w:rsidRPr="000342B4">
        <w:rPr>
          <w:rFonts w:ascii="빙그레 메로나체" w:eastAsia="빙그레 메로나체" w:hAnsi="빙그레 메로나체" w:hint="eastAsia"/>
        </w:rPr>
        <w:t>는</w:t>
      </w:r>
      <w:r w:rsidRPr="000342B4">
        <w:rPr>
          <w:rFonts w:ascii="빙그레 메로나체" w:eastAsia="빙그레 메로나체" w:hAnsi="빙그레 메로나체"/>
        </w:rPr>
        <w:t xml:space="preserve"> 전용실시권 설정 당시 가처분권자가 그 설정에 대하여 동의를 할 지위에 있지 아니하였다고 하더라도 마찬가지이다</w:t>
      </w:r>
      <w:r w:rsidR="00F7355D">
        <w:rPr>
          <w:rFonts w:ascii="빙그레 메로나체" w:eastAsia="빙그레 메로나체" w:hAnsi="빙그레 메로나체" w:hint="eastAsia"/>
        </w:rPr>
        <w:t>.</w:t>
      </w:r>
    </w:p>
    <w:p w14:paraId="60C9D42E" w14:textId="38A35972" w:rsidR="00F7355D" w:rsidRDefault="00F7355D">
      <w:pPr>
        <w:rPr>
          <w:rFonts w:ascii="빙그레 메로나체" w:eastAsia="빙그레 메로나체" w:hAnsi="빙그레 메로나체"/>
        </w:rPr>
      </w:pPr>
    </w:p>
    <w:p w14:paraId="6DAB3A23" w14:textId="35795B56" w:rsidR="00F01329" w:rsidRDefault="002F41B1">
      <w:pPr>
        <w:rPr>
          <w:rFonts w:ascii="빙그레 메로나체" w:eastAsia="빙그레 메로나체" w:hAnsi="빙그레 메로나체"/>
        </w:rPr>
      </w:pPr>
      <w:r>
        <w:rPr>
          <w:rFonts w:ascii="빙그레 메로나체" w:eastAsia="빙그레 메로나체" w:hAnsi="빙그레 메로나체" w:hint="eastAsia"/>
        </w:rPr>
        <w:t>&lt;</w:t>
      </w:r>
      <w:r w:rsidRPr="002F41B1">
        <w:rPr>
          <w:rFonts w:ascii="빙그레 메로나체" w:eastAsia="빙그레 메로나체" w:hAnsi="빙그레 메로나체" w:hint="eastAsia"/>
        </w:rPr>
        <w:t>대법원</w:t>
      </w:r>
      <w:r w:rsidRPr="002F41B1">
        <w:rPr>
          <w:rFonts w:ascii="빙그레 메로나체" w:eastAsia="빙그레 메로나체" w:hAnsi="빙그레 메로나체"/>
        </w:rPr>
        <w:t xml:space="preserve"> 1999. 5. 25. 선고 98다41216</w:t>
      </w:r>
      <w:r>
        <w:rPr>
          <w:rFonts w:ascii="빙그레 메로나체" w:eastAsia="빙그레 메로나체" w:hAnsi="빙그레 메로나체"/>
        </w:rPr>
        <w:t>&gt;</w:t>
      </w:r>
    </w:p>
    <w:p w14:paraId="0BB1CBA3" w14:textId="489F8214" w:rsidR="002F41B1" w:rsidRDefault="009B12F3">
      <w:pPr>
        <w:rPr>
          <w:rFonts w:ascii="빙그레 메로나체" w:eastAsia="빙그레 메로나체" w:hAnsi="빙그레 메로나체"/>
        </w:rPr>
      </w:pPr>
      <w:r w:rsidRPr="009B12F3">
        <w:rPr>
          <w:rFonts w:ascii="빙그레 메로나체" w:eastAsia="빙그레 메로나체" w:hAnsi="빙그레 메로나체" w:hint="eastAsia"/>
        </w:rPr>
        <w:t>공동저작물에</w:t>
      </w:r>
      <w:r w:rsidRPr="009B12F3">
        <w:rPr>
          <w:rFonts w:ascii="빙그레 메로나체" w:eastAsia="빙그레 메로나체" w:hAnsi="빙그레 메로나체"/>
        </w:rPr>
        <w:t xml:space="preserve"> 관한 권리가 침해된 경우에 각 저작자 또는 각 저작재산권자는 다른 저작자 또는 다른 저작재산권자의 동의 없이 저작권법 제91조의 규정에 의한 저작권 등의 침해행위금지청구를 할 수 있고, 같은 </w:t>
      </w:r>
      <w:r w:rsidRPr="009B12F3">
        <w:rPr>
          <w:rFonts w:ascii="빙그레 메로나체" w:eastAsia="빙그레 메로나체" w:hAnsi="빙그레 메로나체"/>
        </w:rPr>
        <w:lastRenderedPageBreak/>
        <w:t>법 제93조에 의하여 저작인격권을 제외한 저작재산권의 침해에 관하여 자신의 지분에 관한 손해배상의 청구를 할 수 있으며, 같은 법 제95조에 의한 저작인격권의 침해에 대한 손해배상이나 명예회복 등 조치청구는 저작인격권의 침해가 저작자 전원의 이해관계와 관</w:t>
      </w:r>
      <w:r w:rsidRPr="009B12F3">
        <w:rPr>
          <w:rFonts w:ascii="빙그레 메로나체" w:eastAsia="빙그레 메로나체" w:hAnsi="빙그레 메로나체" w:hint="eastAsia"/>
        </w:rPr>
        <w:t>련이</w:t>
      </w:r>
      <w:r w:rsidRPr="009B12F3">
        <w:rPr>
          <w:rFonts w:ascii="빙그레 메로나체" w:eastAsia="빙그레 메로나체" w:hAnsi="빙그레 메로나체"/>
        </w:rPr>
        <w:t xml:space="preserve"> 있는 경우에는 전원이 행사하여야 하지만, 1인의 인격적 이익이 침해된 경우에는 단독으로 손해배상 및 명예회복조치 등을 청구할 수 있고, 특히 저작인격권 침해를 이유로 한 정신적 손해배상을 구하는 경우에는 공동저작자 각자가 단독으로 자신의 손해배상청구를 할 수 있다.</w:t>
      </w:r>
    </w:p>
    <w:p w14:paraId="2A4E09AA" w14:textId="0ED594C7" w:rsidR="00B075D5" w:rsidRDefault="00B075D5">
      <w:pPr>
        <w:rPr>
          <w:rFonts w:ascii="빙그레 메로나체" w:eastAsia="빙그레 메로나체" w:hAnsi="빙그레 메로나체"/>
        </w:rPr>
      </w:pPr>
    </w:p>
    <w:p w14:paraId="32B95DDA" w14:textId="3949BA81" w:rsidR="00B075D5" w:rsidRDefault="00B019C9">
      <w:pPr>
        <w:rPr>
          <w:rFonts w:ascii="빙그레 메로나체" w:eastAsia="빙그레 메로나체" w:hAnsi="빙그레 메로나체"/>
        </w:rPr>
      </w:pPr>
      <w:r>
        <w:rPr>
          <w:rFonts w:ascii="빙그레 메로나체" w:eastAsia="빙그레 메로나체" w:hAnsi="빙그레 메로나체" w:hint="eastAsia"/>
        </w:rPr>
        <w:t>&lt;</w:t>
      </w:r>
      <w:r w:rsidR="000D0E44" w:rsidRPr="000D0E44">
        <w:rPr>
          <w:rFonts w:ascii="빙그레 메로나체" w:eastAsia="빙그레 메로나체" w:hAnsi="빙그레 메로나체" w:hint="eastAsia"/>
        </w:rPr>
        <w:t>대법원</w:t>
      </w:r>
      <w:r w:rsidR="000D0E44" w:rsidRPr="000D0E44">
        <w:rPr>
          <w:rFonts w:ascii="빙그레 메로나체" w:eastAsia="빙그레 메로나체" w:hAnsi="빙그레 메로나체"/>
        </w:rPr>
        <w:t xml:space="preserve"> 2014. 8. 20. 선고 2013다41578</w:t>
      </w:r>
      <w:r>
        <w:rPr>
          <w:rFonts w:ascii="빙그레 메로나체" w:eastAsia="빙그레 메로나체" w:hAnsi="빙그레 메로나체"/>
        </w:rPr>
        <w:t>&gt;</w:t>
      </w:r>
    </w:p>
    <w:p w14:paraId="0E60D11C" w14:textId="6B62ABB8" w:rsidR="0045378A" w:rsidRPr="0045378A" w:rsidRDefault="0045378A" w:rsidP="0045378A">
      <w:pPr>
        <w:rPr>
          <w:rFonts w:ascii="빙그레 메로나체" w:eastAsia="빙그레 메로나체" w:hAnsi="빙그레 메로나체"/>
        </w:rPr>
      </w:pPr>
      <w:r w:rsidRPr="0045378A">
        <w:rPr>
          <w:rFonts w:ascii="빙그레 메로나체" w:eastAsia="빙그레 메로나체" w:hAnsi="빙그레 메로나체" w:hint="eastAsia"/>
        </w:rPr>
        <w:t>특허법</w:t>
      </w:r>
      <w:r w:rsidRPr="0045378A">
        <w:rPr>
          <w:rFonts w:ascii="빙그레 메로나체" w:eastAsia="빙그레 메로나체" w:hAnsi="빙그레 메로나체"/>
        </w:rPr>
        <w:t>(2014. 6. 11. 법률 12753호로 개정되기 전의 것) 제99조 제2항 및 제4항의 규정 취지는, 공유자 외의 제3자가 특허권 지분을 양도받거나 그에 관한 실시권을 설정받을 경우 제3자가 투입하는 자본의 규모·기술 및 능력 등에 따라 경제적 효과가 현저하게 달라지게 되어 다른 공유자 지분의 경제적 가치에도 상당한 변동을 가져올 수 있는 특허권의 공유관계의 특수성을 고려하여, 다른 공유자의 동의 없는 지분의 양도 및 실시권 설정 등을 금지한다</w:t>
      </w:r>
      <w:r w:rsidRPr="0045378A">
        <w:rPr>
          <w:rFonts w:ascii="빙그레 메로나체" w:eastAsia="빙그레 메로나체" w:hAnsi="빙그레 메로나체" w:hint="eastAsia"/>
        </w:rPr>
        <w:t>는</w:t>
      </w:r>
      <w:r w:rsidRPr="0045378A">
        <w:rPr>
          <w:rFonts w:ascii="빙그레 메로나체" w:eastAsia="빙그레 메로나체" w:hAnsi="빙그레 메로나체"/>
        </w:rPr>
        <w:t xml:space="preserve"> 데에 있다.</w:t>
      </w:r>
    </w:p>
    <w:p w14:paraId="5C84C9C4" w14:textId="5D9DDFF5" w:rsidR="00F6294D" w:rsidRDefault="0045378A" w:rsidP="0045378A">
      <w:pPr>
        <w:rPr>
          <w:rFonts w:ascii="빙그레 메로나체" w:eastAsia="빙그레 메로나체" w:hAnsi="빙그레 메로나체"/>
        </w:rPr>
      </w:pPr>
      <w:r w:rsidRPr="0045378A">
        <w:rPr>
          <w:rFonts w:ascii="빙그레 메로나체" w:eastAsia="빙그레 메로나체" w:hAnsi="빙그레 메로나체" w:hint="eastAsia"/>
        </w:rPr>
        <w:t>그렇다면</w:t>
      </w:r>
      <w:r w:rsidRPr="0045378A">
        <w:rPr>
          <w:rFonts w:ascii="빙그레 메로나체" w:eastAsia="빙그레 메로나체" w:hAnsi="빙그레 메로나체"/>
        </w:rPr>
        <w:t xml:space="preserve"> 특허권의 공유자 상호 간에 이해관계가 대립되는 경우 등에 공유관계를 해소하기 위한 수단으로서 각 공유자에게 민법상의 공유물분할청구권을 인정하더라도 공유자 이외의 제3자에 의하여 다른 공유자 지분의 경제적 가치에 위와 같은 변동이 발생한다고 보기 어려워서 특허법 제99조 제2항 및 제4항에 반하지 아니하고, 달리 분할청구를 금지하는 특허법 규정도 없으므로, 특허권의 공유관계에 민법상 공유물분할청구에 관한 규정이 적용될 수 있다. 다만 특허권은 발명</w:t>
      </w:r>
      <w:r w:rsidRPr="0045378A">
        <w:rPr>
          <w:rFonts w:ascii="빙그레 메로나체" w:eastAsia="빙그레 메로나체" w:hAnsi="빙그레 메로나체" w:hint="eastAsia"/>
        </w:rPr>
        <w:t>실시에</w:t>
      </w:r>
      <w:r w:rsidRPr="0045378A">
        <w:rPr>
          <w:rFonts w:ascii="빙그레 메로나체" w:eastAsia="빙그레 메로나체" w:hAnsi="빙그레 메로나체"/>
        </w:rPr>
        <w:t xml:space="preserve"> 대한 독점권으로서 그 대상은 형체가 없을 뿐만 아니라 각 공유자에게 특허권을 부여하는 방식의 현물분할을 인정하면 하나의 특허권이 사실상 내용이 동일한 복수의 특허권으로 증가하는 부당한 결과를 초래하게 되므로, 특허권의 성질상 그러한 현물분할은 허용되지 아니한다. 그리고 위와 같은 법리는 디자인권의 경우에도 마찬가지로 적용된다.</w:t>
      </w:r>
    </w:p>
    <w:p w14:paraId="0CA5AE85" w14:textId="4B24E91A" w:rsidR="0098609E" w:rsidRDefault="0098609E" w:rsidP="0045378A">
      <w:pPr>
        <w:rPr>
          <w:rFonts w:ascii="빙그레 메로나체" w:eastAsia="빙그레 메로나체" w:hAnsi="빙그레 메로나체"/>
        </w:rPr>
      </w:pPr>
    </w:p>
    <w:p w14:paraId="620F5A8B" w14:textId="142A3285" w:rsidR="0098609E" w:rsidRDefault="003D0831" w:rsidP="0045378A">
      <w:pPr>
        <w:rPr>
          <w:rFonts w:ascii="빙그레 메로나체" w:eastAsia="빙그레 메로나체" w:hAnsi="빙그레 메로나체"/>
        </w:rPr>
      </w:pPr>
      <w:r>
        <w:rPr>
          <w:rFonts w:ascii="빙그레 메로나체" w:eastAsia="빙그레 메로나체" w:hAnsi="빙그레 메로나체" w:hint="eastAsia"/>
        </w:rPr>
        <w:t>&lt;</w:t>
      </w:r>
      <w:r w:rsidR="008F7422" w:rsidRPr="008F7422">
        <w:rPr>
          <w:rFonts w:ascii="빙그레 메로나체" w:eastAsia="빙그레 메로나체" w:hAnsi="빙그레 메로나체" w:hint="eastAsia"/>
        </w:rPr>
        <w:t>특허법원</w:t>
      </w:r>
      <w:r w:rsidR="008F7422" w:rsidRPr="008F7422">
        <w:rPr>
          <w:rFonts w:ascii="빙그레 메로나체" w:eastAsia="빙그레 메로나체" w:hAnsi="빙그레 메로나체"/>
        </w:rPr>
        <w:t xml:space="preserve"> 2018. 2. 8. 선고 2017나2332</w:t>
      </w:r>
      <w:r>
        <w:rPr>
          <w:rFonts w:ascii="빙그레 메로나체" w:eastAsia="빙그레 메로나체" w:hAnsi="빙그레 메로나체"/>
        </w:rPr>
        <w:t>&gt;</w:t>
      </w:r>
    </w:p>
    <w:p w14:paraId="650DDA44" w14:textId="4DC50A47" w:rsidR="003D0831" w:rsidRDefault="003D0831" w:rsidP="0045378A">
      <w:pPr>
        <w:rPr>
          <w:rFonts w:ascii="빙그레 메로나체" w:eastAsia="빙그레 메로나체" w:hAnsi="빙그레 메로나체"/>
        </w:rPr>
      </w:pPr>
      <w:r w:rsidRPr="003D0831">
        <w:rPr>
          <w:rFonts w:ascii="빙그레 메로나체" w:eastAsia="빙그레 메로나체" w:hAnsi="빙그레 메로나체" w:hint="eastAsia"/>
        </w:rPr>
        <w:t>특허권자와</w:t>
      </w:r>
      <w:r w:rsidRPr="003D0831">
        <w:rPr>
          <w:rFonts w:ascii="빙그레 메로나체" w:eastAsia="빙그레 메로나체" w:hAnsi="빙그레 메로나체"/>
        </w:rPr>
        <w:t xml:space="preserve"> 실시권자 사이에 체결된 계약이 독점적 통상실시권을 부여하는 계약에 해당하기 위해서는 계약의 내용상 특허권자가 실시권자 외의 제3자에게 통상실시권을 부여하지 아니할 의무를 부담하여야 하고, 단지 특허권자가 어느 한 실시권자에게만 실시권을 부여함에 따라 그 실시권자가 사실상 독점적인 지위를 향유하고 있다는 사정만으로 그러한 계약이 있었다고 보기 어렵다. 그러나 등록하여야만 그 효력이 발생하는 전용실시권 설정과 달리, 독점적 통상실시권의 허락은 당사</w:t>
      </w:r>
      <w:r w:rsidRPr="003D0831">
        <w:rPr>
          <w:rFonts w:ascii="빙그레 메로나체" w:eastAsia="빙그레 메로나체" w:hAnsi="빙그레 메로나체" w:hint="eastAsia"/>
        </w:rPr>
        <w:t>자</w:t>
      </w:r>
      <w:r w:rsidRPr="003D0831">
        <w:rPr>
          <w:rFonts w:ascii="빙그레 메로나체" w:eastAsia="빙그레 메로나체" w:hAnsi="빙그레 메로나체"/>
        </w:rPr>
        <w:t xml:space="preserve"> 간 의사의 합치만 있으면 성립되고, 이러한 의사의 합치는 명시적으로는 물론 묵시적으로도 이루어질 수 있다.</w:t>
      </w:r>
    </w:p>
    <w:p w14:paraId="2C8DF323" w14:textId="68127995" w:rsidR="00B019C9" w:rsidRDefault="006E3792">
      <w:pPr>
        <w:rPr>
          <w:rFonts w:ascii="빙그레 메로나체" w:eastAsia="빙그레 메로나체" w:hAnsi="빙그레 메로나체"/>
        </w:rPr>
      </w:pPr>
      <w:r w:rsidRPr="006E3792">
        <w:rPr>
          <w:rFonts w:ascii="빙그레 메로나체" w:eastAsia="빙그레 메로나체" w:hAnsi="빙그레 메로나체"/>
        </w:rPr>
        <w:t xml:space="preserve">특허권자로부터 독점적으로 특허발명을 실시할 권리를 부여받은 독점적 통상실시권자는 독점적 권리인 점을 등록할 수 없고 그로 인해 특허권자로부터 </w:t>
      </w:r>
      <w:r w:rsidRPr="006E3792">
        <w:rPr>
          <w:rFonts w:ascii="빙그레 메로나체" w:eastAsia="빙그레 메로나체" w:hAnsi="빙그레 메로나체" w:hint="eastAsia"/>
        </w:rPr>
        <w:t>실시허락을</w:t>
      </w:r>
      <w:r w:rsidRPr="006E3792">
        <w:rPr>
          <w:rFonts w:ascii="빙그레 메로나체" w:eastAsia="빙그레 메로나체" w:hAnsi="빙그레 메로나체"/>
        </w:rPr>
        <w:t xml:space="preserve"> 받은 제3자에 대항할 수 없는 점에서는 전용실시권자와 차이가 있으나, 계약에서 정한 바에 따라 특허발명을 독점적으로 실시할 권리를 가지고 그로 인한 경제적 이익을 향유하는 점에서는 전용실시권자와 다르지 않다. 독점적 통상실시권자가 특허권자로부터 부여받은 권리에 의해 누리는 이러한 경제적 이익은 결국 특허법에 의해 보호되는 특허권자의 독점적·배타</w:t>
      </w:r>
      <w:r w:rsidRPr="006E3792">
        <w:rPr>
          <w:rFonts w:ascii="빙그레 메로나체" w:eastAsia="빙그레 메로나체" w:hAnsi="빙그레 메로나체"/>
        </w:rPr>
        <w:lastRenderedPageBreak/>
        <w:t>적 실시권에 기인하는 것으로서 법적으로 보호할 가치가 있는 이익에 해당하고, 제3자가 독점적 통상실시권</w:t>
      </w:r>
      <w:r w:rsidRPr="006E3792">
        <w:rPr>
          <w:rFonts w:ascii="빙그레 메로나체" w:eastAsia="빙그레 메로나체" w:hAnsi="빙그레 메로나체" w:hint="eastAsia"/>
        </w:rPr>
        <w:t>자를</w:t>
      </w:r>
      <w:r w:rsidRPr="006E3792">
        <w:rPr>
          <w:rFonts w:ascii="빙그레 메로나체" w:eastAsia="빙그레 메로나체" w:hAnsi="빙그레 메로나체"/>
        </w:rPr>
        <w:t xml:space="preserve"> 해한다는 사정을 알면서 법규를 위반하거나 선량한 풍속 또는 사회질서를 위반하는 등 위법한 행위를 함으로써 이러한 이익을 침해하였다면 이로써 불법행위가 성립한다.</w:t>
      </w:r>
    </w:p>
    <w:p w14:paraId="27CF44EA" w14:textId="55937B2E" w:rsidR="004C4359" w:rsidRDefault="004C4359">
      <w:pPr>
        <w:rPr>
          <w:rFonts w:ascii="빙그레 메로나체" w:eastAsia="빙그레 메로나체" w:hAnsi="빙그레 메로나체"/>
        </w:rPr>
      </w:pPr>
    </w:p>
    <w:p w14:paraId="15E97A11" w14:textId="0AB525BB" w:rsidR="004C4359" w:rsidRDefault="00A15C35">
      <w:pPr>
        <w:rPr>
          <w:rFonts w:ascii="빙그레 메로나체" w:eastAsia="빙그레 메로나체" w:hAnsi="빙그레 메로나체"/>
        </w:rPr>
      </w:pPr>
      <w:r>
        <w:rPr>
          <w:rFonts w:ascii="빙그레 메로나체" w:eastAsia="빙그레 메로나체" w:hAnsi="빙그레 메로나체" w:hint="eastAsia"/>
        </w:rPr>
        <w:t xml:space="preserve">&lt;서울중앙지방법원 </w:t>
      </w:r>
      <w:r>
        <w:rPr>
          <w:rFonts w:ascii="빙그레 메로나체" w:eastAsia="빙그레 메로나체" w:hAnsi="빙그레 메로나체"/>
        </w:rPr>
        <w:t>2009.10.7.</w:t>
      </w:r>
      <w:r>
        <w:rPr>
          <w:rFonts w:ascii="빙그레 메로나체" w:eastAsia="빙그레 메로나체" w:hAnsi="빙그레 메로나체" w:hint="eastAsia"/>
        </w:rPr>
        <w:t xml:space="preserve">선고 </w:t>
      </w:r>
      <w:r w:rsidRPr="00A15C35">
        <w:rPr>
          <w:rFonts w:ascii="빙그레 메로나체" w:eastAsia="빙그레 메로나체" w:hAnsi="빙그레 메로나체"/>
        </w:rPr>
        <w:t>2007가합33960</w:t>
      </w:r>
      <w:r>
        <w:rPr>
          <w:rFonts w:ascii="빙그레 메로나체" w:eastAsia="빙그레 메로나체" w:hAnsi="빙그레 메로나체"/>
        </w:rPr>
        <w:t>&gt;</w:t>
      </w:r>
    </w:p>
    <w:p w14:paraId="65FD2429" w14:textId="2E965251" w:rsidR="00A15C35" w:rsidRDefault="000F6AA1">
      <w:pPr>
        <w:rPr>
          <w:rFonts w:ascii="빙그레 메로나체" w:eastAsia="빙그레 메로나체" w:hAnsi="빙그레 메로나체"/>
        </w:rPr>
      </w:pPr>
      <w:r>
        <w:rPr>
          <w:rFonts w:ascii="빙그레 메로나체" w:eastAsia="빙그레 메로나체" w:hAnsi="빙그레 메로나체" w:hint="eastAsia"/>
        </w:rPr>
        <w:t>손해배상청구와 관련하여,</w:t>
      </w:r>
      <w:r>
        <w:rPr>
          <w:rFonts w:ascii="빙그레 메로나체" w:eastAsia="빙그레 메로나체" w:hAnsi="빙그레 메로나체"/>
        </w:rPr>
        <w:t xml:space="preserve"> </w:t>
      </w:r>
      <w:r>
        <w:rPr>
          <w:rFonts w:ascii="빙그레 메로나체" w:eastAsia="빙그레 메로나체" w:hAnsi="빙그레 메로나체" w:hint="eastAsia"/>
        </w:rPr>
        <w:t>특허권자가 전용실시권자로부터 판매량에 따른 실시료를 받는다면,</w:t>
      </w:r>
      <w:r>
        <w:rPr>
          <w:rFonts w:ascii="빙그레 메로나체" w:eastAsia="빙그레 메로나체" w:hAnsi="빙그레 메로나체"/>
        </w:rPr>
        <w:t xml:space="preserve"> </w:t>
      </w:r>
      <w:r>
        <w:rPr>
          <w:rFonts w:ascii="빙그레 메로나체" w:eastAsia="빙그레 메로나체" w:hAnsi="빙그레 메로나체" w:hint="eastAsia"/>
        </w:rPr>
        <w:t>판매량 감소에 따른 손해액에 대해 전용실시권자와 별도로 침해자에 대해 손해배상을 청구할 수 있으나,</w:t>
      </w:r>
      <w:r>
        <w:rPr>
          <w:rFonts w:ascii="빙그레 메로나체" w:eastAsia="빙그레 메로나체" w:hAnsi="빙그레 메로나체"/>
        </w:rPr>
        <w:t xml:space="preserve"> </w:t>
      </w:r>
      <w:r>
        <w:rPr>
          <w:rFonts w:ascii="빙그레 메로나체" w:eastAsia="빙그레 메로나체" w:hAnsi="빙그레 메로나체" w:hint="eastAsia"/>
        </w:rPr>
        <w:t>판매량과 상관없이 실시료를 받는다면 특허권자에게 침해자의 실시가 있더라도 손해가 있다고 말할 수 없으므로,</w:t>
      </w:r>
      <w:r>
        <w:rPr>
          <w:rFonts w:ascii="빙그레 메로나체" w:eastAsia="빙그레 메로나체" w:hAnsi="빙그레 메로나체"/>
        </w:rPr>
        <w:t xml:space="preserve"> </w:t>
      </w:r>
      <w:r>
        <w:rPr>
          <w:rFonts w:ascii="빙그레 메로나체" w:eastAsia="빙그레 메로나체" w:hAnsi="빙그레 메로나체" w:hint="eastAsia"/>
        </w:rPr>
        <w:t>이 경우에는 별도로 손해배상을 청구할 수 없다.</w:t>
      </w:r>
    </w:p>
    <w:p w14:paraId="57E0A7CB" w14:textId="4D26CE48" w:rsidR="007875AD" w:rsidRDefault="007875AD">
      <w:pPr>
        <w:rPr>
          <w:rFonts w:ascii="빙그레 메로나체" w:eastAsia="빙그레 메로나체" w:hAnsi="빙그레 메로나체"/>
        </w:rPr>
      </w:pPr>
    </w:p>
    <w:p w14:paraId="64C4731A" w14:textId="55B84018" w:rsidR="003C2AF6" w:rsidRDefault="00123763">
      <w:pPr>
        <w:rPr>
          <w:rFonts w:ascii="빙그레 메로나체" w:eastAsia="빙그레 메로나체" w:hAnsi="빙그레 메로나체"/>
        </w:rPr>
      </w:pPr>
      <w:r>
        <w:rPr>
          <w:rFonts w:ascii="빙그레 메로나체" w:eastAsia="빙그레 메로나체" w:hAnsi="빙그레 메로나체" w:hint="eastAsia"/>
        </w:rPr>
        <w:t>&lt;</w:t>
      </w:r>
      <w:r w:rsidRPr="00123763">
        <w:rPr>
          <w:rFonts w:ascii="빙그레 메로나체" w:eastAsia="빙그레 메로나체" w:hAnsi="빙그레 메로나체" w:hint="eastAsia"/>
        </w:rPr>
        <w:t>서울민사지방법원</w:t>
      </w:r>
      <w:r w:rsidRPr="00123763">
        <w:rPr>
          <w:rFonts w:ascii="빙그레 메로나체" w:eastAsia="빙그레 메로나체" w:hAnsi="빙그레 메로나체"/>
        </w:rPr>
        <w:t xml:space="preserve"> 1991. 5. 8. 선고 90가합92251</w:t>
      </w:r>
      <w:r>
        <w:rPr>
          <w:rFonts w:ascii="빙그레 메로나체" w:eastAsia="빙그레 메로나체" w:hAnsi="빙그레 메로나체"/>
        </w:rPr>
        <w:t>&gt;</w:t>
      </w:r>
    </w:p>
    <w:p w14:paraId="187FCA8A" w14:textId="1874A3AB" w:rsidR="00123763" w:rsidRDefault="00432F40">
      <w:pPr>
        <w:rPr>
          <w:rFonts w:ascii="빙그레 메로나체" w:eastAsia="빙그레 메로나체" w:hAnsi="빙그레 메로나체"/>
        </w:rPr>
      </w:pPr>
      <w:r w:rsidRPr="00432F40">
        <w:rPr>
          <w:rFonts w:ascii="빙그레 메로나체" w:eastAsia="빙그레 메로나체" w:hAnsi="빙그레 메로나체" w:hint="eastAsia"/>
        </w:rPr>
        <w:t>특허권자</w:t>
      </w:r>
      <w:r w:rsidRPr="00432F40">
        <w:rPr>
          <w:rFonts w:ascii="빙그레 메로나체" w:eastAsia="빙그레 메로나체" w:hAnsi="빙그레 메로나체"/>
        </w:rPr>
        <w:t xml:space="preserve"> 또는 전용실시권자가 고의 또는 과실에 의하여 자기의 특허권 또는 전용실시권을 침해한 자에 대하여 그 침해에 의하여 받은 손해의 배상을 청구하는 경우, 권리를 침해한 자가 그 침해 행위에 의하여 이익을 받은 때에는 그 이익의 액을 특허권자 또는 전용실시권자가 받은 손해의 액으로 추정하는 것이고( 특허법 제128조 제1항), 따라서 특허권자 및 전용실시권자가 입은 손해의 총액은 위 법조항의 경우 침해행위자가 얻은 이익의 액에 한정되므로, 전용실시권자</w:t>
      </w:r>
      <w:r w:rsidRPr="00432F40">
        <w:rPr>
          <w:rFonts w:ascii="빙그레 메로나체" w:eastAsia="빙그레 메로나체" w:hAnsi="빙그레 메로나체" w:hint="eastAsia"/>
        </w:rPr>
        <w:t>의</w:t>
      </w:r>
      <w:r w:rsidRPr="00432F40">
        <w:rPr>
          <w:rFonts w:ascii="빙그레 메로나체" w:eastAsia="빙그레 메로나체" w:hAnsi="빙그레 메로나체"/>
        </w:rPr>
        <w:t xml:space="preserve"> 손해는 특허권자에게 지불하여야 할 실시료 상당액을 공제한 잔액이라 할 것이나, 전용실시권자가 특허권자로부터 전용실시권을 일정액에 매수하여 전용실시권자만이 특허권을 실시하고 있는 경우에는 침해행위자가 얻은 이익의 액이 모두 전용실시권자의 손해로 된다.</w:t>
      </w:r>
    </w:p>
    <w:p w14:paraId="4DB79F80" w14:textId="186EDD2D" w:rsidR="00F63493" w:rsidRDefault="00F63493">
      <w:pPr>
        <w:rPr>
          <w:rFonts w:ascii="빙그레 메로나체" w:eastAsia="빙그레 메로나체" w:hAnsi="빙그레 메로나체"/>
        </w:rPr>
      </w:pPr>
    </w:p>
    <w:p w14:paraId="3E37CC13" w14:textId="1B97EFC7" w:rsidR="00540833" w:rsidRDefault="00F63493">
      <w:pPr>
        <w:rPr>
          <w:rFonts w:ascii="빙그레 메로나체" w:eastAsia="빙그레 메로나체" w:hAnsi="빙그레 메로나체"/>
        </w:rPr>
      </w:pPr>
      <w:r>
        <w:rPr>
          <w:rFonts w:ascii="빙그레 메로나체" w:eastAsia="빙그레 메로나체" w:hAnsi="빙그레 메로나체" w:hint="eastAsia"/>
        </w:rPr>
        <w:t xml:space="preserve">&lt;서울중앙지방법원 </w:t>
      </w:r>
      <w:r>
        <w:rPr>
          <w:rFonts w:ascii="빙그레 메로나체" w:eastAsia="빙그레 메로나체" w:hAnsi="빙그레 메로나체"/>
        </w:rPr>
        <w:t>2009.2.18.</w:t>
      </w:r>
      <w:r>
        <w:rPr>
          <w:rFonts w:ascii="빙그레 메로나체" w:eastAsia="빙그레 메로나체" w:hAnsi="빙그레 메로나체" w:hint="eastAsia"/>
        </w:rPr>
        <w:t xml:space="preserve">선고 </w:t>
      </w:r>
      <w:r>
        <w:rPr>
          <w:rFonts w:ascii="빙그레 메로나체" w:eastAsia="빙그레 메로나체" w:hAnsi="빙그레 메로나체"/>
        </w:rPr>
        <w:t>2007</w:t>
      </w:r>
      <w:r>
        <w:rPr>
          <w:rFonts w:ascii="빙그레 메로나체" w:eastAsia="빙그레 메로나체" w:hAnsi="빙그레 메로나체" w:hint="eastAsia"/>
        </w:rPr>
        <w:t>가합7</w:t>
      </w:r>
      <w:r>
        <w:rPr>
          <w:rFonts w:ascii="빙그레 메로나체" w:eastAsia="빙그레 메로나체" w:hAnsi="빙그레 메로나체"/>
        </w:rPr>
        <w:t>7557&gt;</w:t>
      </w:r>
    </w:p>
    <w:p w14:paraId="2ED65D91" w14:textId="34638C54" w:rsidR="00A77B47" w:rsidRDefault="00A77B47">
      <w:pPr>
        <w:rPr>
          <w:rFonts w:ascii="빙그레 메로나체" w:eastAsia="빙그레 메로나체" w:hAnsi="빙그레 메로나체"/>
        </w:rPr>
      </w:pPr>
      <w:r>
        <w:rPr>
          <w:rFonts w:ascii="빙그레 메로나체" w:eastAsia="빙그레 메로나체" w:hAnsi="빙그레 메로나체" w:hint="eastAsia"/>
        </w:rPr>
        <w:t>특허법 제</w:t>
      </w:r>
      <w:r>
        <w:rPr>
          <w:rFonts w:ascii="빙그레 메로나체" w:eastAsia="빙그레 메로나체" w:hAnsi="빙그레 메로나체"/>
        </w:rPr>
        <w:t>81</w:t>
      </w:r>
      <w:r>
        <w:rPr>
          <w:rFonts w:ascii="빙그레 메로나체" w:eastAsia="빙그레 메로나체" w:hAnsi="빙그레 메로나체" w:hint="eastAsia"/>
        </w:rPr>
        <w:t>조의</w:t>
      </w:r>
      <w:r>
        <w:rPr>
          <w:rFonts w:ascii="빙그레 메로나체" w:eastAsia="빙그레 메로나체" w:hAnsi="빙그레 메로나체"/>
        </w:rPr>
        <w:t>3</w:t>
      </w:r>
      <w:r>
        <w:rPr>
          <w:rFonts w:ascii="빙그레 메로나체" w:eastAsia="빙그레 메로나체" w:hAnsi="빙그레 메로나체" w:hint="eastAsia"/>
        </w:rPr>
        <w:t xml:space="preserve">제5항에서는 </w:t>
      </w:r>
      <w:r>
        <w:rPr>
          <w:rFonts w:ascii="빙그레 메로나체" w:eastAsia="빙그레 메로나체" w:hAnsi="빙그레 메로나체"/>
        </w:rPr>
        <w:t>‘</w:t>
      </w:r>
      <w:r>
        <w:rPr>
          <w:rFonts w:ascii="빙그레 메로나체" w:eastAsia="빙그레 메로나체" w:hAnsi="빙그레 메로나체" w:hint="eastAsia"/>
        </w:rPr>
        <w:t>발명의 범위</w:t>
      </w:r>
      <w:r>
        <w:rPr>
          <w:rFonts w:ascii="빙그레 메로나체" w:eastAsia="빙그레 메로나체" w:hAnsi="빙그레 메로나체"/>
        </w:rPr>
        <w:t>’</w:t>
      </w:r>
      <w:r>
        <w:rPr>
          <w:rFonts w:ascii="빙그레 메로나체" w:eastAsia="빙그레 메로나체" w:hAnsi="빙그레 메로나체" w:hint="eastAsia"/>
        </w:rPr>
        <w:t>라고 규정하고 있을 뿐이고,</w:t>
      </w:r>
      <w:r>
        <w:rPr>
          <w:rFonts w:ascii="빙그레 메로나체" w:eastAsia="빙그레 메로나체" w:hAnsi="빙그레 메로나체"/>
        </w:rPr>
        <w:t xml:space="preserve"> ‘</w:t>
      </w:r>
      <w:r>
        <w:rPr>
          <w:rFonts w:ascii="빙그레 메로나체" w:eastAsia="빙그레 메로나체" w:hAnsi="빙그레 메로나체" w:hint="eastAsia"/>
        </w:rPr>
        <w:t>형태 또는 형식의 범위</w:t>
      </w:r>
      <w:r>
        <w:rPr>
          <w:rFonts w:ascii="빙그레 메로나체" w:eastAsia="빙그레 메로나체" w:hAnsi="빙그레 메로나체"/>
        </w:rPr>
        <w:t>’</w:t>
      </w:r>
      <w:r>
        <w:rPr>
          <w:rFonts w:ascii="빙그레 메로나체" w:eastAsia="빙그레 메로나체" w:hAnsi="빙그레 메로나체" w:hint="eastAsia"/>
        </w:rPr>
        <w:t>라고는 하지 아니함에 비추어 볼 때 그 형태나 형식의 변경이 이른바 균등의 범위에 속한 경우에는 발명의 범위에 속하는 것으로 해석하여 실시권의 범위에 속한다고 보며 그렇지 아니하면 실시권의 범위에서 제외되는 것으로 보는 것이 일반적이다.</w:t>
      </w:r>
      <w:r>
        <w:rPr>
          <w:rFonts w:ascii="빙그레 메로나체" w:eastAsia="빙그레 메로나체" w:hAnsi="빙그레 메로나체"/>
        </w:rPr>
        <w:t xml:space="preserve"> </w:t>
      </w:r>
    </w:p>
    <w:p w14:paraId="32F47C6C" w14:textId="2B8CC0BD" w:rsidR="00F63493" w:rsidRDefault="007C4598">
      <w:pPr>
        <w:rPr>
          <w:rFonts w:ascii="빙그레 메로나체" w:eastAsia="빙그레 메로나체" w:hAnsi="빙그레 메로나체"/>
        </w:rPr>
      </w:pPr>
      <w:r>
        <w:rPr>
          <w:rFonts w:ascii="빙그레 메로나체" w:eastAsia="빙그레 메로나체" w:hAnsi="빙그레 메로나체" w:hint="eastAsia"/>
        </w:rPr>
        <w:t xml:space="preserve">또한 </w:t>
      </w:r>
      <w:r w:rsidR="00F63493">
        <w:rPr>
          <w:rFonts w:ascii="빙그레 메로나체" w:eastAsia="빙그레 메로나체" w:hAnsi="빙그레 메로나체" w:hint="eastAsia"/>
        </w:rPr>
        <w:t>선사용에 의한 통상실시권의 효력은 이 사건 특허발명 출원 당시 피고가 실시하고 있던 실시형태뿐만 아니라 이것에 구현된 발명과 동일성의 범위에서 변형 가능한 실시형태에도 미치는 것으로 봄이 상당하다.</w:t>
      </w:r>
      <w:r w:rsidR="00F63493">
        <w:rPr>
          <w:rFonts w:ascii="빙그레 메로나체" w:eastAsia="빙그레 메로나체" w:hAnsi="빙그레 메로나체"/>
        </w:rPr>
        <w:t xml:space="preserve"> </w:t>
      </w:r>
    </w:p>
    <w:p w14:paraId="51CAD8CB" w14:textId="6DEBBE2F" w:rsidR="00277627" w:rsidRDefault="00277627">
      <w:pPr>
        <w:rPr>
          <w:rFonts w:ascii="빙그레 메로나체" w:eastAsia="빙그레 메로나체" w:hAnsi="빙그레 메로나체"/>
        </w:rPr>
      </w:pPr>
    </w:p>
    <w:p w14:paraId="07EBF422" w14:textId="32F66E32" w:rsidR="00277627" w:rsidRDefault="00647B92">
      <w:pPr>
        <w:rPr>
          <w:rFonts w:ascii="빙그레 메로나체" w:eastAsia="빙그레 메로나체" w:hAnsi="빙그레 메로나체"/>
        </w:rPr>
      </w:pPr>
      <w:r>
        <w:rPr>
          <w:rFonts w:ascii="빙그레 메로나체" w:eastAsia="빙그레 메로나체" w:hAnsi="빙그레 메로나체" w:hint="eastAsia"/>
        </w:rPr>
        <w:t>&lt;</w:t>
      </w:r>
      <w:r w:rsidR="00F40364" w:rsidRPr="00F40364">
        <w:rPr>
          <w:rFonts w:ascii="빙그레 메로나체" w:eastAsia="빙그레 메로나체" w:hAnsi="빙그레 메로나체" w:hint="eastAsia"/>
        </w:rPr>
        <w:t>부산고</w:t>
      </w:r>
      <w:r w:rsidR="001E7978">
        <w:rPr>
          <w:rFonts w:ascii="빙그레 메로나체" w:eastAsia="빙그레 메로나체" w:hAnsi="빙그레 메로나체" w:hint="eastAsia"/>
        </w:rPr>
        <w:t>등</w:t>
      </w:r>
      <w:r w:rsidR="00F40364" w:rsidRPr="00F40364">
        <w:rPr>
          <w:rFonts w:ascii="빙그레 메로나체" w:eastAsia="빙그레 메로나체" w:hAnsi="빙그레 메로나체" w:hint="eastAsia"/>
        </w:rPr>
        <w:t>법</w:t>
      </w:r>
      <w:r w:rsidR="001E7978">
        <w:rPr>
          <w:rFonts w:ascii="빙그레 메로나체" w:eastAsia="빙그레 메로나체" w:hAnsi="빙그레 메로나체" w:hint="eastAsia"/>
        </w:rPr>
        <w:t>원</w:t>
      </w:r>
      <w:r w:rsidR="00F40364" w:rsidRPr="00F40364">
        <w:rPr>
          <w:rFonts w:ascii="빙그레 메로나체" w:eastAsia="빙그레 메로나체" w:hAnsi="빙그레 메로나체"/>
        </w:rPr>
        <w:t xml:space="preserve"> 1993. 12. 27 선고, 93라38</w:t>
      </w:r>
      <w:r w:rsidR="00F40364">
        <w:rPr>
          <w:rFonts w:ascii="빙그레 메로나체" w:eastAsia="빙그레 메로나체" w:hAnsi="빙그레 메로나체"/>
        </w:rPr>
        <w:t xml:space="preserve"> </w:t>
      </w:r>
      <w:r w:rsidR="00F40364">
        <w:rPr>
          <w:rFonts w:ascii="빙그레 메로나체" w:eastAsia="빙그레 메로나체" w:hAnsi="빙그레 메로나체" w:hint="eastAsia"/>
        </w:rPr>
        <w:t>결정</w:t>
      </w:r>
      <w:r>
        <w:rPr>
          <w:rFonts w:ascii="빙그레 메로나체" w:eastAsia="빙그레 메로나체" w:hAnsi="빙그레 메로나체"/>
        </w:rPr>
        <w:t>&gt;</w:t>
      </w:r>
    </w:p>
    <w:p w14:paraId="411915A2" w14:textId="199C6BB1" w:rsidR="00647B92" w:rsidRPr="00F63493" w:rsidRDefault="00647B92">
      <w:pPr>
        <w:rPr>
          <w:rFonts w:ascii="빙그레 메로나체" w:eastAsia="빙그레 메로나체" w:hAnsi="빙그레 메로나체"/>
        </w:rPr>
      </w:pPr>
      <w:r w:rsidRPr="00647B92">
        <w:rPr>
          <w:rFonts w:ascii="맑은 고딕" w:eastAsia="맑은 고딕" w:hAnsi="맑은 고딕" w:cs="맑은 고딕" w:hint="eastAsia"/>
        </w:rPr>
        <w:t>乙</w:t>
      </w:r>
      <w:r w:rsidRPr="00647B92">
        <w:rPr>
          <w:rFonts w:ascii="빙그레 메로나체" w:eastAsia="빙그레 메로나체" w:hAnsi="빙그레 메로나체" w:cs="빙그레 메로나체" w:hint="eastAsia"/>
        </w:rPr>
        <w:t>이</w:t>
      </w:r>
      <w:r w:rsidRPr="00647B92">
        <w:rPr>
          <w:rFonts w:ascii="빙그레 메로나체" w:eastAsia="빙그레 메로나체" w:hAnsi="빙그레 메로나체"/>
        </w:rPr>
        <w:t xml:space="preserve"> 사용하는 은수저제작방법은 </w:t>
      </w:r>
      <w:r w:rsidRPr="00647B92">
        <w:rPr>
          <w:rFonts w:ascii="맑은 고딕" w:eastAsia="맑은 고딕" w:hAnsi="맑은 고딕" w:cs="맑은 고딕" w:hint="eastAsia"/>
        </w:rPr>
        <w:t>甲</w:t>
      </w:r>
      <w:r w:rsidRPr="00647B92">
        <w:rPr>
          <w:rFonts w:ascii="빙그레 메로나체" w:eastAsia="빙그레 메로나체" w:hAnsi="빙그레 메로나체" w:cs="빙그레 메로나체" w:hint="eastAsia"/>
        </w:rPr>
        <w:t>명의로</w:t>
      </w:r>
      <w:r w:rsidRPr="00647B92">
        <w:rPr>
          <w:rFonts w:ascii="빙그레 메로나체" w:eastAsia="빙그레 메로나체" w:hAnsi="빙그레 메로나체"/>
        </w:rPr>
        <w:t xml:space="preserve"> 특허등록된 은수저제작방법과 동일한 것이기는 하나 갑명의의 특허권은 갑이 자본을 대고 을이 기술을 댄 동업관계에서 </w:t>
      </w:r>
      <w:r w:rsidRPr="00647B92">
        <w:rPr>
          <w:rFonts w:ascii="맑은 고딕" w:eastAsia="맑은 고딕" w:hAnsi="맑은 고딕" w:cs="맑은 고딕" w:hint="eastAsia"/>
        </w:rPr>
        <w:t>乙</w:t>
      </w:r>
      <w:r w:rsidRPr="00647B92">
        <w:rPr>
          <w:rFonts w:ascii="빙그레 메로나체" w:eastAsia="빙그레 메로나체" w:hAnsi="빙그레 메로나체" w:cs="빙그레 메로나체" w:hint="eastAsia"/>
        </w:rPr>
        <w:t>이</w:t>
      </w:r>
      <w:r w:rsidRPr="00647B92">
        <w:rPr>
          <w:rFonts w:ascii="빙그레 메로나체" w:eastAsia="빙그레 메로나체" w:hAnsi="빙그레 메로나체"/>
        </w:rPr>
        <w:t xml:space="preserve"> 발명한 것을 </w:t>
      </w:r>
      <w:r w:rsidRPr="00647B92">
        <w:rPr>
          <w:rFonts w:ascii="맑은 고딕" w:eastAsia="맑은 고딕" w:hAnsi="맑은 고딕" w:cs="맑은 고딕" w:hint="eastAsia"/>
        </w:rPr>
        <w:t>甲</w:t>
      </w:r>
      <w:r w:rsidRPr="00647B92">
        <w:rPr>
          <w:rFonts w:ascii="빙그레 메로나체" w:eastAsia="빙그레 메로나체" w:hAnsi="빙그레 메로나체" w:cs="빙그레 메로나체" w:hint="eastAsia"/>
        </w:rPr>
        <w:t>이</w:t>
      </w:r>
      <w:r w:rsidRPr="00647B92">
        <w:rPr>
          <w:rFonts w:ascii="빙그레 메로나체" w:eastAsia="빙그레 메로나체" w:hAnsi="빙그레 메로나체"/>
        </w:rPr>
        <w:t xml:space="preserve"> 일방적으로 특허출원을 한 데 따른 것이므로, 을이 사용하는 은수저제작방법이 갑명의로 특허등록된 은수저제작방법에서 유래한 </w:t>
      </w:r>
      <w:r w:rsidRPr="00647B92">
        <w:rPr>
          <w:rFonts w:ascii="빙그레 메로나체" w:eastAsia="빙그레 메로나체" w:hAnsi="빙그레 메로나체"/>
        </w:rPr>
        <w:lastRenderedPageBreak/>
        <w:t>것이라 할</w:t>
      </w:r>
      <w:r w:rsidR="00AB0970">
        <w:rPr>
          <w:rFonts w:ascii="빙그레 메로나체" w:eastAsia="빙그레 메로나체" w:hAnsi="빙그레 메로나체" w:hint="eastAsia"/>
        </w:rPr>
        <w:t xml:space="preserve"> </w:t>
      </w:r>
      <w:r w:rsidRPr="00647B92">
        <w:rPr>
          <w:rFonts w:ascii="빙그레 메로나체" w:eastAsia="빙그레 메로나체" w:hAnsi="빙그레 메로나체"/>
        </w:rPr>
        <w:t>수 없고 또한, 을은 특허출원되기 이전인 1989년 7월부터 은수저제작방법과 동일한 방법에 의한 은수저제작판매업을 준비하여 1991년 1월에 개업한 것</w:t>
      </w:r>
      <w:r w:rsidRPr="00647B92">
        <w:rPr>
          <w:rFonts w:ascii="빙그레 메로나체" w:eastAsia="빙그레 메로나체" w:hAnsi="빙그레 메로나체" w:hint="eastAsia"/>
        </w:rPr>
        <w:t>이므로</w:t>
      </w:r>
      <w:r w:rsidRPr="00647B92">
        <w:rPr>
          <w:rFonts w:ascii="빙그레 메로나체" w:eastAsia="빙그레 메로나체" w:hAnsi="빙그레 메로나체"/>
        </w:rPr>
        <w:t xml:space="preserve"> 을은 이 사건 은수저제작방법에 관하여 선사용에 의한 통상실시권을 갖는다 할 것이다.</w:t>
      </w:r>
    </w:p>
    <w:p w14:paraId="5CA47B2F" w14:textId="77777777" w:rsidR="007875AD" w:rsidRPr="00A15C35" w:rsidRDefault="007875AD">
      <w:pPr>
        <w:rPr>
          <w:rFonts w:ascii="빙그레 메로나체" w:eastAsia="빙그레 메로나체" w:hAnsi="빙그레 메로나체"/>
        </w:rPr>
      </w:pPr>
    </w:p>
    <w:p w14:paraId="096BA4E3" w14:textId="57BA0DA8" w:rsidR="00517206" w:rsidRDefault="009F2650">
      <w:pPr>
        <w:rPr>
          <w:rFonts w:ascii="빙그레 메로나체" w:eastAsia="빙그레 메로나체" w:hAnsi="빙그레 메로나체"/>
        </w:rPr>
      </w:pPr>
      <w:r>
        <w:rPr>
          <w:rFonts w:ascii="빙그레 메로나체" w:eastAsia="빙그레 메로나체" w:hAnsi="빙그레 메로나체" w:hint="eastAsia"/>
        </w:rPr>
        <w:t>&lt;</w:t>
      </w:r>
      <w:r w:rsidRPr="009F2650">
        <w:rPr>
          <w:rFonts w:ascii="빙그레 메로나체" w:eastAsia="빙그레 메로나체" w:hAnsi="빙그레 메로나체" w:hint="eastAsia"/>
        </w:rPr>
        <w:t>대법원</w:t>
      </w:r>
      <w:r w:rsidRPr="009F2650">
        <w:rPr>
          <w:rFonts w:ascii="빙그레 메로나체" w:eastAsia="빙그레 메로나체" w:hAnsi="빙그레 메로나체"/>
        </w:rPr>
        <w:t xml:space="preserve"> 2013. 1. 24. 선고 2011도4645</w:t>
      </w:r>
      <w:r>
        <w:rPr>
          <w:rFonts w:ascii="빙그레 메로나체" w:eastAsia="빙그레 메로나체" w:hAnsi="빙그레 메로나체"/>
        </w:rPr>
        <w:t>&gt;</w:t>
      </w:r>
    </w:p>
    <w:p w14:paraId="17AACAE3" w14:textId="618FAEC5" w:rsidR="009F2650" w:rsidRDefault="00757DAF">
      <w:pPr>
        <w:rPr>
          <w:rFonts w:ascii="빙그레 메로나체" w:eastAsia="빙그레 메로나체" w:hAnsi="빙그레 메로나체"/>
        </w:rPr>
      </w:pPr>
      <w:r w:rsidRPr="00757DAF">
        <w:rPr>
          <w:rFonts w:ascii="빙그레 메로나체" w:eastAsia="빙그레 메로나체" w:hAnsi="빙그레 메로나체" w:hint="eastAsia"/>
        </w:rPr>
        <w:t>특허법</w:t>
      </w:r>
      <w:r w:rsidRPr="00757DAF">
        <w:rPr>
          <w:rFonts w:ascii="빙그레 메로나체" w:eastAsia="빙그레 메로나체" w:hAnsi="빙그레 메로나체"/>
        </w:rPr>
        <w:t xml:space="preserve"> 제101조 제1항은 “다음 각 호에 해당하는 사항은 이를 등록하지 아니하면 그 효력이 발생하지 아니한다.”고 하면서, 제2호에 “전용실시권의 설정·이전(상속 기타 일반승계에 의한 경우를 제외한다)·변경·소멸(혼동에 의한 경우를 제외한다) 또는 처분의 제한”을 규정하고 있다. 따라서 설정계약으로 전용실시권의 범위에 관하여 특별한 제한을 두고도 이를 등록하지 않으면 그 효력이 발생하지 않는 것이므로, 전용실시권자가 등록되어 있지 않은 제한을 넘어 특허</w:t>
      </w:r>
      <w:r w:rsidRPr="00757DAF">
        <w:rPr>
          <w:rFonts w:ascii="빙그레 메로나체" w:eastAsia="빙그레 메로나체" w:hAnsi="빙그레 메로나체" w:hint="eastAsia"/>
        </w:rPr>
        <w:t>발명을</w:t>
      </w:r>
      <w:r w:rsidRPr="00757DAF">
        <w:rPr>
          <w:rFonts w:ascii="빙그레 메로나체" w:eastAsia="빙그레 메로나체" w:hAnsi="빙그레 메로나체"/>
        </w:rPr>
        <w:t xml:space="preserve"> 실시하더라도, 특허권자에 대하여 채무불이행 책임을 지게 됨은 별론으로 하고 특허권 침해가 성립하는 것은 아니다.</w:t>
      </w:r>
    </w:p>
    <w:p w14:paraId="6030A570" w14:textId="4547ACC7" w:rsidR="00E476F5" w:rsidRDefault="00E476F5">
      <w:pPr>
        <w:rPr>
          <w:rFonts w:ascii="빙그레 메로나체" w:eastAsia="빙그레 메로나체" w:hAnsi="빙그레 메로나체"/>
        </w:rPr>
      </w:pPr>
    </w:p>
    <w:p w14:paraId="69BC2821" w14:textId="77777777" w:rsidR="00E476F5" w:rsidRPr="00F7355D" w:rsidRDefault="00E476F5">
      <w:pPr>
        <w:rPr>
          <w:rFonts w:ascii="빙그레 메로나체" w:eastAsia="빙그레 메로나체" w:hAnsi="빙그레 메로나체" w:hint="eastAsia"/>
        </w:rPr>
      </w:pPr>
    </w:p>
    <w:sectPr w:rsidR="00E476F5" w:rsidRPr="00F7355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빙그레 메로나체">
    <w:panose1 w:val="020B0503000000000000"/>
    <w:charset w:val="81"/>
    <w:family w:val="swiss"/>
    <w:notTrueType/>
    <w:pitch w:val="variable"/>
    <w:sig w:usb0="800002A7" w:usb1="29D7F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1F"/>
    <w:rsid w:val="000342B4"/>
    <w:rsid w:val="000D0E44"/>
    <w:rsid w:val="000F6AA1"/>
    <w:rsid w:val="00123763"/>
    <w:rsid w:val="001E7978"/>
    <w:rsid w:val="00231DF4"/>
    <w:rsid w:val="00233109"/>
    <w:rsid w:val="00277627"/>
    <w:rsid w:val="002D06A0"/>
    <w:rsid w:val="002F41B1"/>
    <w:rsid w:val="00342C5B"/>
    <w:rsid w:val="003744C9"/>
    <w:rsid w:val="003C2AF6"/>
    <w:rsid w:val="003D0831"/>
    <w:rsid w:val="00432F40"/>
    <w:rsid w:val="0045378A"/>
    <w:rsid w:val="004C4359"/>
    <w:rsid w:val="00517206"/>
    <w:rsid w:val="00540833"/>
    <w:rsid w:val="005C28F5"/>
    <w:rsid w:val="00645411"/>
    <w:rsid w:val="00647B92"/>
    <w:rsid w:val="006E3792"/>
    <w:rsid w:val="00745009"/>
    <w:rsid w:val="00757DAF"/>
    <w:rsid w:val="007875AD"/>
    <w:rsid w:val="007C4598"/>
    <w:rsid w:val="0086169E"/>
    <w:rsid w:val="008E67B2"/>
    <w:rsid w:val="008F7422"/>
    <w:rsid w:val="0098609E"/>
    <w:rsid w:val="009B12F3"/>
    <w:rsid w:val="009F2650"/>
    <w:rsid w:val="00A15C35"/>
    <w:rsid w:val="00A77B47"/>
    <w:rsid w:val="00AB0970"/>
    <w:rsid w:val="00B019C9"/>
    <w:rsid w:val="00B075D5"/>
    <w:rsid w:val="00C25AF2"/>
    <w:rsid w:val="00D9501F"/>
    <w:rsid w:val="00E476F5"/>
    <w:rsid w:val="00EB70D0"/>
    <w:rsid w:val="00F01329"/>
    <w:rsid w:val="00F40364"/>
    <w:rsid w:val="00F6294D"/>
    <w:rsid w:val="00F63493"/>
    <w:rsid w:val="00F735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AC1C"/>
  <w15:chartTrackingRefBased/>
  <w15:docId w15:val="{641B4F88-E143-46E4-B6D5-DF2B4D98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490212">
      <w:bodyDiv w:val="1"/>
      <w:marLeft w:val="0"/>
      <w:marRight w:val="0"/>
      <w:marTop w:val="0"/>
      <w:marBottom w:val="0"/>
      <w:divBdr>
        <w:top w:val="none" w:sz="0" w:space="0" w:color="auto"/>
        <w:left w:val="none" w:sz="0" w:space="0" w:color="auto"/>
        <w:bottom w:val="none" w:sz="0" w:space="0" w:color="auto"/>
        <w:right w:val="none" w:sz="0" w:space="0" w:color="auto"/>
      </w:divBdr>
    </w:div>
    <w:div w:id="1157648967">
      <w:bodyDiv w:val="1"/>
      <w:marLeft w:val="0"/>
      <w:marRight w:val="0"/>
      <w:marTop w:val="0"/>
      <w:marBottom w:val="0"/>
      <w:divBdr>
        <w:top w:val="none" w:sz="0" w:space="0" w:color="auto"/>
        <w:left w:val="none" w:sz="0" w:space="0" w:color="auto"/>
        <w:bottom w:val="none" w:sz="0" w:space="0" w:color="auto"/>
        <w:right w:val="none" w:sz="0" w:space="0" w:color="auto"/>
      </w:divBdr>
    </w:div>
    <w:div w:id="128202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750</Words>
  <Characters>4278</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이우솔 이우솔</dc:creator>
  <cp:keywords/>
  <dc:description/>
  <cp:lastModifiedBy>이우솔 이우솔</cp:lastModifiedBy>
  <cp:revision>46</cp:revision>
  <dcterms:created xsi:type="dcterms:W3CDTF">2020-10-02T06:54:00Z</dcterms:created>
  <dcterms:modified xsi:type="dcterms:W3CDTF">2020-10-15T07:56:00Z</dcterms:modified>
</cp:coreProperties>
</file>