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10</w:t>
      </w:r>
      <w:r>
        <w:rPr/>
        <w:t>장 상품분류전환의 등록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209</w:t>
      </w:r>
      <w:r>
        <w:rPr/>
        <w:t>조</w:t>
      </w:r>
      <w:r>
        <w:rPr/>
        <w:t>(</w:t>
      </w:r>
      <w:r>
        <w:rPr/>
        <w:t>상품분류전환등록의 신청</w:t>
      </w:r>
      <w:r>
        <w:rPr/>
        <w:t xml:space="preserve">) ① </w:t>
      </w:r>
      <w:r>
        <w:rPr/>
        <w:t>종전의 법</w:t>
      </w:r>
      <w:r>
        <w:rPr/>
        <w:t>(</w:t>
      </w:r>
      <w:r>
        <w:rPr/>
        <w:t>법률 제</w:t>
      </w:r>
      <w:r>
        <w:rPr/>
        <w:t>5355</w:t>
      </w:r>
      <w:r>
        <w:rPr/>
        <w:t>호 상표법중개정법률로 개정되기 전의 것을 말한다</w:t>
      </w:r>
      <w:r>
        <w:rPr/>
        <w:t xml:space="preserve">) </w:t>
      </w:r>
      <w:r>
        <w:rPr/>
        <w:t>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통상산업부령으로 정하는 상품류의 구분에 따라 상품을 지정하여 상표권의 설정등록</w:t>
      </w:r>
      <w:r>
        <w:rPr/>
        <w:t xml:space="preserve">, </w:t>
      </w:r>
      <w:r>
        <w:rPr/>
        <w:t>지정상품의 추가등록 또는 존속기간갱신등록을 받은 상표권자는 해당 지정상품을 상품류의 구분에 따라 전환하여 등록을 받아야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법률 제</w:t>
      </w:r>
      <w:r>
        <w:rPr/>
        <w:t>5355</w:t>
      </w:r>
      <w:r>
        <w:rPr/>
        <w:t>호 상표법중개정법률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통상산업부령으로 정하는 상품류의 구분에 따라 상품을 지정하여 존속기간갱신등록을 받은 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상품분류전환등록을 받으려는 자는 다음 각 호의 사항을 적은 상품분류전환등록신청서를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신청인의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신청인의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성명을 말한다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등록상표의 등록번호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전환하여 등록받으려는 지정상품 및 그 상품류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상품분류전환등록신청은 상표권의 존속기간이 만료되기 </w:t>
      </w:r>
      <w:r>
        <w:rPr/>
        <w:t>1</w:t>
      </w:r>
      <w:r>
        <w:rPr/>
        <w:t xml:space="preserve">년 전부터 존속기간이 만료된 후 </w:t>
      </w:r>
      <w:r>
        <w:rPr/>
        <w:t>6</w:t>
      </w:r>
      <w:r>
        <w:rPr/>
        <w:t>개월 이내의 기간에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상표권이 공유인 경우에는 공유자 전원이 공동으로 상품분류전환등록을 신청하여야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210</w:t>
      </w:r>
      <w:r>
        <w:rPr/>
        <w:t>조</w:t>
      </w:r>
      <w:r>
        <w:rPr/>
        <w:t>(</w:t>
      </w:r>
      <w:r>
        <w:rPr/>
        <w:t>상품분류전환등록의 거절결정 및 거절이유의 통지</w:t>
      </w:r>
      <w:r>
        <w:rPr/>
        <w:t xml:space="preserve">) ① </w:t>
      </w:r>
      <w:r>
        <w:rPr/>
        <w:t>심사관은 상품분류전환등록신청이 다음 각 호의 어느 하나에 해당하는 경우에는 그 신청에 대하여 상품분류전환등록거절결정을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상품분류전환등록신청의 지정상품을 해당 등록상표의 지정상품이 아닌 상품으로 하거나 지정상품의 범위를 실질적으로 확장한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상품분류전환등록신청의 지정상품이 상품류 구분과 일치하지 아니하는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상품분류전환등록을 신청한 자가 해당 등록상표의 상표권자가 아닌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209</w:t>
      </w:r>
      <w:r>
        <w:rPr/>
        <w:t>조에 따른 상품분류전환등록신청의 요건을 갖추지 못한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상표권이 소멸하거나 존속기간갱신등록신청을 포기ㆍ취하하거나 존속기간갱신등록신청이 무효로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심사관은 제</w:t>
      </w:r>
      <w:r>
        <w:rPr/>
        <w:t>1</w:t>
      </w:r>
      <w:r>
        <w:rPr/>
        <w:t>항에 따라 상품분류전환등록거절결정을 하려는 경우에는 신청인에게 거절이유를 통지하여야 한다</w:t>
      </w:r>
      <w:r>
        <w:rPr/>
        <w:t xml:space="preserve">. </w:t>
      </w:r>
      <w:r>
        <w:rPr/>
        <w:t>이 경우 신청인은 산업통상자원부령으로 정하는 기간 내에 거절이유에 대한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 xml:space="preserve">항 후단에 따른 기간 내에 의견서를 제출하지 아니한 신청인은 그 기간이 만료된 후 </w:t>
      </w:r>
      <w:r>
        <w:rPr/>
        <w:t>2</w:t>
      </w:r>
      <w:r>
        <w:rPr/>
        <w:t>개월 이내에 상품분류전환등록에 관한 절차를 계속 진행할 것을 신청하고</w:t>
      </w:r>
      <w:r>
        <w:rPr/>
        <w:t xml:space="preserve">, </w:t>
      </w:r>
      <w:r>
        <w:rPr/>
        <w:t>그 기간 내에 거절이유에 대한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211</w:t>
      </w:r>
      <w:r>
        <w:rPr/>
        <w:t>조</w:t>
      </w:r>
      <w:r>
        <w:rPr/>
        <w:t>(</w:t>
      </w:r>
      <w:r>
        <w:rPr/>
        <w:t>상품분류전환등록</w:t>
      </w:r>
      <w:r>
        <w:rPr/>
        <w:t xml:space="preserve">) </w:t>
      </w:r>
      <w:r>
        <w:rPr/>
        <w:t>특허청장은 제</w:t>
      </w:r>
      <w:r>
        <w:rPr/>
        <w:t>212</w:t>
      </w:r>
      <w:r>
        <w:rPr/>
        <w:t>조에 따라 준용되는 제</w:t>
      </w:r>
      <w:r>
        <w:rPr/>
        <w:t>68</w:t>
      </w:r>
      <w:r>
        <w:rPr/>
        <w:t>조에 따른 상표등록결정이 있는 경우에는 지정상품의 분류를 전환하여 등록하여야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212</w:t>
      </w:r>
      <w:r>
        <w:rPr/>
        <w:t>조</w:t>
      </w:r>
      <w:r>
        <w:rPr/>
        <w:t>(</w:t>
      </w:r>
      <w:r>
        <w:rPr/>
        <w:t>상품분류전환등록신청에 관한 준용</w:t>
      </w:r>
      <w:r>
        <w:rPr/>
        <w:t xml:space="preserve">) </w:t>
      </w:r>
      <w:r>
        <w:rPr/>
        <w:t>상품분류전환등록신청에 관하여는 제</w:t>
      </w:r>
      <w:r>
        <w:rPr/>
        <w:t>38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39</w:t>
      </w:r>
      <w:r>
        <w:rPr/>
        <w:t>조</w:t>
      </w:r>
      <w:r>
        <w:rPr/>
        <w:t xml:space="preserve">, </w:t>
      </w:r>
      <w:r>
        <w:rPr/>
        <w:t>제</w:t>
      </w:r>
      <w:r>
        <w:rPr/>
        <w:t>40</w:t>
      </w:r>
      <w:r>
        <w:rPr/>
        <w:t>조</w:t>
      </w:r>
      <w:r>
        <w:rPr/>
        <w:t xml:space="preserve">, </w:t>
      </w:r>
      <w:r>
        <w:rPr/>
        <w:t>제</w:t>
      </w:r>
      <w:r>
        <w:rPr/>
        <w:t>41</w:t>
      </w:r>
      <w:r>
        <w:rPr/>
        <w:t>조제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42</w:t>
      </w:r>
      <w:r>
        <w:rPr/>
        <w:t>조</w:t>
      </w:r>
      <w:r>
        <w:rPr/>
        <w:t xml:space="preserve">, </w:t>
      </w:r>
      <w:r>
        <w:rPr/>
        <w:t>제</w:t>
      </w:r>
      <w:r>
        <w:rPr/>
        <w:t>50</w:t>
      </w:r>
      <w:r>
        <w:rPr/>
        <w:t>조</w:t>
      </w:r>
      <w:r>
        <w:rPr/>
        <w:t xml:space="preserve">, </w:t>
      </w:r>
      <w:r>
        <w:rPr/>
        <w:t>제</w:t>
      </w:r>
      <w:r>
        <w:rPr/>
        <w:t>68</w:t>
      </w:r>
      <w:r>
        <w:rPr/>
        <w:t>조부터 제</w:t>
      </w:r>
      <w:r>
        <w:rPr/>
        <w:t>70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호부터 제</w:t>
      </w:r>
      <w:r>
        <w:rPr/>
        <w:t>5</w:t>
      </w:r>
      <w:r>
        <w:rPr/>
        <w:t>호까지 및 제</w:t>
      </w:r>
      <w:r>
        <w:rPr/>
        <w:t>7</w:t>
      </w:r>
      <w:r>
        <w:rPr/>
        <w:t>호를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213</w:t>
      </w:r>
      <w:r>
        <w:rPr/>
        <w:t>조</w:t>
      </w:r>
      <w:r>
        <w:rPr/>
        <w:t>(</w:t>
      </w:r>
      <w:r>
        <w:rPr/>
        <w:t>상품분류전환등록이 없는 경우 등의 상표권의 소멸</w:t>
      </w:r>
      <w:r>
        <w:rPr/>
        <w:t xml:space="preserve">) ① </w:t>
      </w:r>
      <w:r>
        <w:rPr/>
        <w:t>다음 각 호의 어느 하나에 해당하는 경우 상품분류전환등록의 대상이 되는 지정상품에 관한 상표권은 제</w:t>
      </w:r>
      <w:r>
        <w:rPr/>
        <w:t>209</w:t>
      </w:r>
      <w:r>
        <w:rPr/>
        <w:t>조제</w:t>
      </w:r>
      <w:r>
        <w:rPr/>
        <w:t>3</w:t>
      </w:r>
      <w:r>
        <w:rPr/>
        <w:t>항에 따른 상품분류전환등록신청기간의 만료일이 속하는 존속기간의 만료일 다음 날에 소멸한다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상품분류전환등록을 받아야 하는 자가 제</w:t>
      </w:r>
      <w:r>
        <w:rPr/>
        <w:t>209</w:t>
      </w:r>
      <w:r>
        <w:rPr/>
        <w:t>조제</w:t>
      </w:r>
      <w:r>
        <w:rPr/>
        <w:t>3</w:t>
      </w:r>
      <w:r>
        <w:rPr/>
        <w:t>항에 따른 기간 내에 상품분류전환등록을 신청하지 아니하는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상품분류전환등록신청이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18</w:t>
      </w:r>
      <w:r>
        <w:rPr/>
        <w:t>조제</w:t>
      </w:r>
      <w:r>
        <w:rPr/>
        <w:t>1</w:t>
      </w:r>
      <w:r>
        <w:rPr/>
        <w:t>항에 따라 상품분류전환에 관한 절차가 무효로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상품분류전환등록거절결정이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214</w:t>
      </w:r>
      <w:r>
        <w:rPr/>
        <w:t>조에 따라 상품분류전환등록을 무효로 한다는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상품분류전환등록의 대상이 되는 지정상품으로서 제</w:t>
      </w:r>
      <w:r>
        <w:rPr/>
        <w:t>209</w:t>
      </w:r>
      <w:r>
        <w:rPr/>
        <w:t>조제</w:t>
      </w:r>
      <w:r>
        <w:rPr/>
        <w:t>2</w:t>
      </w:r>
      <w:r>
        <w:rPr/>
        <w:t>항에 따른 상품분류전환등록신청서에 적지 아니한 지정상품에 관한 상표권은 상품분류전환등록신청서에 적은 지정상품이 제</w:t>
      </w:r>
      <w:r>
        <w:rPr/>
        <w:t>211</w:t>
      </w:r>
      <w:r>
        <w:rPr/>
        <w:t>조에 따라 전환등록되는 날에 소멸한다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상품분류전환등록이 상표권의 존속기간만료일 이전에 이루어지는 경우에는 상표권의 존속기간만료일의 다음 날에 소멸한다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214</w:t>
      </w:r>
      <w:r>
        <w:rPr/>
        <w:t>조</w:t>
      </w:r>
      <w:r>
        <w:rPr/>
        <w:t>(</w:t>
      </w:r>
      <w:r>
        <w:rPr/>
        <w:t>상품분류전환등록의 무효심판</w:t>
      </w:r>
      <w:r>
        <w:rPr/>
        <w:t xml:space="preserve">) ① </w:t>
      </w:r>
      <w:r>
        <w:rPr/>
        <w:t>이해관계인 또는 심사관은 상품분류전환등록이 다음 각 호의 어느 하나에 해당하는 경우에는 무효심판을 청구할 수 있다</w:t>
      </w:r>
      <w:r>
        <w:rPr/>
        <w:t xml:space="preserve">. </w:t>
      </w:r>
      <w:r>
        <w:rPr/>
        <w:t>이 경우 상품분류전환등록에 관한 지정상품이 둘 이상 있는 경우에는 지정상품마다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상품분류전환등록이 해당 등록상표의 지정상품이 아닌 상품으로 되거나 지정상품의 범위가 실질적으로 확장된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상품분류전환등록이 해당 등록상표의 상표권자가 아닌 자의 신청에 의하여 이루어진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상품분류전환등록이 제</w:t>
      </w:r>
      <w:r>
        <w:rPr/>
        <w:t>209</w:t>
      </w:r>
      <w:r>
        <w:rPr/>
        <w:t>조제</w:t>
      </w:r>
      <w:r>
        <w:rPr/>
        <w:t>3</w:t>
      </w:r>
      <w:r>
        <w:rPr/>
        <w:t>항에 위반되는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상품분류전환등록의 무효심판에 관하여는 제</w:t>
      </w:r>
      <w:r>
        <w:rPr/>
        <w:t>117</w:t>
      </w:r>
      <w:r>
        <w:rPr/>
        <w:t>조제</w:t>
      </w:r>
      <w:r>
        <w:rPr/>
        <w:t>2</w:t>
      </w:r>
      <w:r>
        <w:rPr/>
        <w:t>항 및 제</w:t>
      </w:r>
      <w:r>
        <w:rPr/>
        <w:t>5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상품분류전환등록을 무효로 한다는 심결이 확정된 경우에는 해당 상품분류전환등록은 처음부터 없었던 것으로 본다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1875</Words>
  <Characters>1943</Characters>
  <CharactersWithSpaces>2414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2020-07-20T15:44:37Z</dcterms:created>
  <dc:creator/>
  <dc:description/>
  <dc:language>en-US</dc:language>
  <cp:lastModifiedBy/>
  <dcterms:modified xsi:type="dcterms:W3CDTF">2020-07-20T15:44:59Z</dcterms:modified>
  <cp:revision>1</cp:revision>
  <dc:subject/>
  <dc:title/>
</cp:coreProperties>
</file>