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BD87" w14:textId="2BC083E5" w:rsidR="00D57EBE" w:rsidRDefault="00FB5E66">
      <w:pPr>
        <w:rPr>
          <w:rFonts w:ascii="빙그레 메로나체" w:eastAsia="빙그레 메로나체" w:hAnsi="빙그레 메로나체"/>
          <w:sz w:val="24"/>
          <w:szCs w:val="24"/>
        </w:rPr>
      </w:pPr>
      <w:r>
        <w:rPr>
          <w:rFonts w:ascii="빙그레 메로나체" w:eastAsia="빙그레 메로나체" w:hAnsi="빙그레 메로나체" w:hint="eastAsia"/>
          <w:sz w:val="24"/>
          <w:szCs w:val="24"/>
        </w:rPr>
        <w:t xml:space="preserve">&lt;심사기준 </w:t>
      </w:r>
      <w:r>
        <w:rPr>
          <w:rFonts w:ascii="빙그레 메로나체" w:eastAsia="빙그레 메로나체" w:hAnsi="빙그레 메로나체"/>
          <w:sz w:val="24"/>
          <w:szCs w:val="24"/>
        </w:rPr>
        <w:t xml:space="preserve">2020.1.1 </w:t>
      </w:r>
      <w:r>
        <w:rPr>
          <w:rFonts w:ascii="빙그레 메로나체" w:eastAsia="빙그레 메로나체" w:hAnsi="빙그레 메로나체" w:hint="eastAsia"/>
          <w:sz w:val="24"/>
          <w:szCs w:val="24"/>
        </w:rPr>
        <w:t xml:space="preserve">시행 제4부 </w:t>
      </w:r>
      <w:r>
        <w:rPr>
          <w:rFonts w:ascii="빙그레 메로나체" w:eastAsia="빙그레 메로나체" w:hAnsi="빙그레 메로나체"/>
          <w:sz w:val="24"/>
          <w:szCs w:val="24"/>
        </w:rPr>
        <w:t>2.2&gt;</w:t>
      </w:r>
    </w:p>
    <w:p w14:paraId="1390C5B4" w14:textId="411653E9" w:rsidR="00FB5E66" w:rsidRDefault="00FB5E66" w:rsidP="00FB5E66">
      <w:pPr>
        <w:rPr>
          <w:rFonts w:ascii="빙그레 메로나체" w:eastAsia="빙그레 메로나체" w:hAnsi="빙그레 메로나체"/>
          <w:sz w:val="24"/>
          <w:szCs w:val="24"/>
        </w:rPr>
      </w:pP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본호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>(법 제33조제1항제3호와 제5호를 포함한다)는 특수하게 사용하는 방법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으로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표시한 표장이거나 다른 식별력 있는 부분과 결합하여 상표 전체로서</w:t>
      </w:r>
      <w:r>
        <w:rPr>
          <w:rFonts w:ascii="빙그레 메로나체" w:eastAsia="빙그레 메로나체" w:hAnsi="빙그레 메로나체" w:hint="eastAsia"/>
          <w:sz w:val="24"/>
          <w:szCs w:val="24"/>
        </w:rPr>
        <w:t xml:space="preserve"> 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자타상품의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식별력이 인정되는 경우에는 적용하지 아니한다. 다만, 다른 식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별력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있는 기호·문자·도형 등이 결합되어 있다고 하더라도 상표 전체의 구성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상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보통명칭 등의 보조적·부수적인 것에 불과하여 일반수요자가 직관적으로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보통명칭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등으로 인식할 수 있는 경우에는 본호에 해당하는 것으로 본다. 이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경우『보조적·부수적』이라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함은 단순히 보통명칭 등의 부분 이외의 구성요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소가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표장 전체에서 차지하는 크기의 크고 작음이 아니라 수요자에게 핵심적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요소로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인식되는지 여부로 판단하며, 상표 전체의 구성상 도형 등 다른 식별</w:t>
      </w:r>
      <w:r w:rsidRPr="00FB5E66">
        <w:rPr>
          <w:rFonts w:ascii="빙그레 메로나체" w:eastAsia="빙그레 메로나체" w:hAnsi="빙그레 메로나체" w:hint="eastAsia"/>
          <w:sz w:val="24"/>
          <w:szCs w:val="24"/>
        </w:rPr>
        <w:t>력</w:t>
      </w:r>
      <w:r w:rsidRPr="00FB5E66">
        <w:rPr>
          <w:rFonts w:ascii="빙그레 메로나체" w:eastAsia="빙그레 메로나체" w:hAnsi="빙그레 메로나체"/>
          <w:sz w:val="24"/>
          <w:szCs w:val="24"/>
        </w:rPr>
        <w:t xml:space="preserve"> 있는 부분이 보통명칭 등의 부분을 압도하지 못하는 경우를 포함한다.</w:t>
      </w:r>
    </w:p>
    <w:p w14:paraId="109DEC9C" w14:textId="158AE3C8" w:rsidR="00243C53" w:rsidRDefault="00243C53" w:rsidP="00FB5E66">
      <w:pPr>
        <w:rPr>
          <w:rFonts w:ascii="빙그레 메로나체" w:eastAsia="빙그레 메로나체" w:hAnsi="빙그레 메로나체"/>
          <w:sz w:val="24"/>
          <w:szCs w:val="24"/>
        </w:rPr>
      </w:pPr>
    </w:p>
    <w:p w14:paraId="0C513199" w14:textId="77777777" w:rsidR="00243C53" w:rsidRPr="00FB5E66" w:rsidRDefault="00243C53" w:rsidP="00FB5E66">
      <w:pPr>
        <w:rPr>
          <w:rFonts w:ascii="빙그레 메로나체" w:eastAsia="빙그레 메로나체" w:hAnsi="빙그레 메로나체" w:hint="eastAsia"/>
          <w:sz w:val="24"/>
          <w:szCs w:val="24"/>
        </w:rPr>
      </w:pPr>
    </w:p>
    <w:sectPr w:rsidR="00243C53" w:rsidRPr="00FB5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빙그레 메로나체">
    <w:panose1 w:val="020B0503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BE"/>
    <w:rsid w:val="00243C53"/>
    <w:rsid w:val="00602A89"/>
    <w:rsid w:val="007A007E"/>
    <w:rsid w:val="00D57EBE"/>
    <w:rsid w:val="00FB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7152"/>
  <w15:chartTrackingRefBased/>
  <w15:docId w15:val="{30562D0D-CD35-46CE-8E8B-28EB3E33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Woo-sol</dc:creator>
  <cp:keywords/>
  <dc:description/>
  <cp:lastModifiedBy>Lee Woo-sol</cp:lastModifiedBy>
  <cp:revision>3</cp:revision>
  <dcterms:created xsi:type="dcterms:W3CDTF">2021-02-09T04:11:00Z</dcterms:created>
  <dcterms:modified xsi:type="dcterms:W3CDTF">2021-02-09T07:44:00Z</dcterms:modified>
</cp:coreProperties>
</file>