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28554" w14:textId="15786BB5" w:rsidR="0050327B" w:rsidRDefault="006823DD">
      <w:pPr>
        <w:rPr>
          <w:rFonts w:ascii="빙그레 메로나체" w:eastAsia="빙그레 메로나체" w:hAnsi="빙그레 메로나체"/>
          <w:sz w:val="24"/>
          <w:szCs w:val="24"/>
        </w:rPr>
      </w:pPr>
      <w:r w:rsidRPr="006823DD">
        <w:rPr>
          <w:rFonts w:ascii="빙그레 메로나체" w:eastAsia="빙그레 메로나체" w:hAnsi="빙그레 메로나체" w:hint="eastAsia"/>
          <w:sz w:val="24"/>
          <w:szCs w:val="24"/>
        </w:rPr>
        <w:t>&lt;대법원</w:t>
      </w:r>
      <w:r w:rsidRPr="006823DD">
        <w:rPr>
          <w:rFonts w:ascii="빙그레 메로나체" w:eastAsia="빙그레 메로나체" w:hAnsi="빙그레 메로나체"/>
          <w:sz w:val="24"/>
          <w:szCs w:val="24"/>
        </w:rPr>
        <w:t xml:space="preserve"> 2011. 7. 28. 선고 2010후3080 판결&gt;</w:t>
      </w:r>
    </w:p>
    <w:p w14:paraId="47C8C9AF" w14:textId="11E16477" w:rsidR="006823DD" w:rsidRDefault="00104795">
      <w:pPr>
        <w:rPr>
          <w:rFonts w:ascii="빙그레 메로나체" w:eastAsia="빙그레 메로나체" w:hAnsi="빙그레 메로나체"/>
          <w:sz w:val="24"/>
          <w:szCs w:val="24"/>
        </w:rPr>
      </w:pPr>
      <w:r w:rsidRPr="00104795">
        <w:rPr>
          <w:rFonts w:ascii="빙그레 메로나체" w:eastAsia="빙그레 메로나체" w:hAnsi="빙그레 메로나체" w:hint="eastAsia"/>
          <w:sz w:val="24"/>
          <w:szCs w:val="24"/>
        </w:rPr>
        <w:t>서비스표는</w:t>
      </w:r>
      <w:r w:rsidRPr="00104795">
        <w:rPr>
          <w:rFonts w:ascii="빙그레 메로나체" w:eastAsia="빙그레 메로나체" w:hAnsi="빙그레 메로나체"/>
          <w:sz w:val="24"/>
          <w:szCs w:val="24"/>
        </w:rPr>
        <w:t xml:space="preserve"> 통상 유형물인 상품과는 달리 수요자에게 제공되는 무형의 서비스를 표장(</w:t>
      </w:r>
      <w:r w:rsidRPr="00104795">
        <w:rPr>
          <w:rFonts w:ascii="맑은 고딕" w:eastAsia="맑은 고딕" w:hAnsi="맑은 고딕" w:cs="맑은 고딕" w:hint="eastAsia"/>
          <w:sz w:val="24"/>
          <w:szCs w:val="24"/>
        </w:rPr>
        <w:t>標章</w:t>
      </w:r>
      <w:r w:rsidRPr="00104795">
        <w:rPr>
          <w:rFonts w:ascii="빙그레 메로나체" w:eastAsia="빙그레 메로나체" w:hAnsi="빙그레 메로나체"/>
          <w:sz w:val="24"/>
          <w:szCs w:val="24"/>
        </w:rPr>
        <w:t xml:space="preserve">)의 대상으로 하는 것이므로 그 서비스 자체에 서비스표를 직접 사용할 수는 없다. 이러한 상품과 서비스의 차이를 고려할 때, 서비스표의 사용에는 서비스업에 관한 광고·정가표·거래서류·간판 또는 표찰에 서비스표를 표시하고 이를 전시 또는 반포하는 행위는 물론, 서비스의 제공시 수요자의 이용에 공여되는 물건 또는 당해 서비스의 제공에 관한 수요자의 물건에 서비스표를 표시하는 </w:t>
      </w:r>
      <w:r w:rsidRPr="00104795">
        <w:rPr>
          <w:rFonts w:ascii="빙그레 메로나체" w:eastAsia="빙그레 메로나체" w:hAnsi="빙그레 메로나체" w:hint="eastAsia"/>
          <w:sz w:val="24"/>
          <w:szCs w:val="24"/>
        </w:rPr>
        <w:t>행위</w:t>
      </w:r>
      <w:r w:rsidRPr="00104795">
        <w:rPr>
          <w:rFonts w:ascii="빙그레 메로나체" w:eastAsia="빙그레 메로나체" w:hAnsi="빙그레 메로나체"/>
          <w:sz w:val="24"/>
          <w:szCs w:val="24"/>
        </w:rPr>
        <w:t>, 서비스의 제공시 수요자의 이용에 공여되는 물건에 서비스표를 표시한 것을 이용하여 서비스를 제공하는 행위 또는 서비스의 제공에 이용하는 물건에 서비스표를 표시한 것을 서비스의 제공을 위하여 전시하는 행위 등이 포함된다.</w:t>
      </w:r>
    </w:p>
    <w:p w14:paraId="0ED7E208" w14:textId="19DD9EC7" w:rsidR="00EE514F" w:rsidRDefault="00EE514F">
      <w:pPr>
        <w:rPr>
          <w:rFonts w:ascii="빙그레 메로나체" w:eastAsia="빙그레 메로나체" w:hAnsi="빙그레 메로나체"/>
          <w:sz w:val="24"/>
          <w:szCs w:val="24"/>
        </w:rPr>
      </w:pPr>
    </w:p>
    <w:p w14:paraId="6620EB78" w14:textId="792A0B3F" w:rsidR="00911711" w:rsidRDefault="00911711">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911711">
        <w:rPr>
          <w:rFonts w:ascii="빙그레 메로나체" w:eastAsia="빙그레 메로나체" w:hAnsi="빙그레 메로나체" w:hint="eastAsia"/>
          <w:sz w:val="24"/>
          <w:szCs w:val="24"/>
        </w:rPr>
        <w:t>특허법원</w:t>
      </w:r>
      <w:r w:rsidRPr="00911711">
        <w:rPr>
          <w:rFonts w:ascii="빙그레 메로나체" w:eastAsia="빙그레 메로나체" w:hAnsi="빙그레 메로나체"/>
          <w:sz w:val="24"/>
          <w:szCs w:val="24"/>
        </w:rPr>
        <w:t xml:space="preserve"> 2006. 4. 6. 선고 2005허9053 판결</w:t>
      </w:r>
      <w:r>
        <w:rPr>
          <w:rFonts w:ascii="빙그레 메로나체" w:eastAsia="빙그레 메로나체" w:hAnsi="빙그레 메로나체" w:hint="eastAsia"/>
          <w:sz w:val="24"/>
          <w:szCs w:val="24"/>
        </w:rPr>
        <w:t>&gt;</w:t>
      </w:r>
    </w:p>
    <w:p w14:paraId="5CFE7376" w14:textId="46E9E7B7" w:rsidR="00911711" w:rsidRDefault="00154BCC">
      <w:pPr>
        <w:rPr>
          <w:rFonts w:ascii="빙그레 메로나체" w:eastAsia="빙그레 메로나체" w:hAnsi="빙그레 메로나체"/>
          <w:sz w:val="24"/>
          <w:szCs w:val="24"/>
        </w:rPr>
      </w:pPr>
      <w:r w:rsidRPr="00154BCC">
        <w:rPr>
          <w:rFonts w:ascii="빙그레 메로나체" w:eastAsia="빙그레 메로나체" w:hAnsi="빙그레 메로나체" w:hint="eastAsia"/>
          <w:sz w:val="24"/>
          <w:szCs w:val="24"/>
        </w:rPr>
        <w:t>‘서비스표의</w:t>
      </w:r>
      <w:r w:rsidRPr="00154BCC">
        <w:rPr>
          <w:rFonts w:ascii="빙그레 메로나체" w:eastAsia="빙그레 메로나체" w:hAnsi="빙그레 메로나체"/>
          <w:sz w:val="24"/>
          <w:szCs w:val="24"/>
        </w:rPr>
        <w:t xml:space="preserve"> 사용’의 개념에는 서비스를 제공하는 장소에 부착한 간판에 서비스표를 표시하는 행위, 지정서비스업에 관한 광고전단, 정가표 또는 거래서류에 서비스표를 붙여서 배포ㆍ사용하는 행위가 이에 포함되고, 나아가 서비스 제공시 수요자에게 제공하는 물건에 서비스표를 붙이는 행위, 서비스 제공시 수요자에게 제공하는 물건에 서비스표를 붙인 것을 사용하여 서비스를 제공하는 행위, 서비스의 제공시 그 제공에 수반되는 등 필수적으로 관계된 물건에 서비스표를 붙이는 </w:t>
      </w:r>
      <w:r w:rsidRPr="00154BCC">
        <w:rPr>
          <w:rFonts w:ascii="빙그레 메로나체" w:eastAsia="빙그레 메로나체" w:hAnsi="빙그레 메로나체" w:hint="eastAsia"/>
          <w:sz w:val="24"/>
          <w:szCs w:val="24"/>
        </w:rPr>
        <w:t>행위도</w:t>
      </w:r>
      <w:r w:rsidRPr="00154BCC">
        <w:rPr>
          <w:rFonts w:ascii="빙그레 메로나체" w:eastAsia="빙그레 메로나체" w:hAnsi="빙그레 메로나체"/>
          <w:sz w:val="24"/>
          <w:szCs w:val="24"/>
        </w:rPr>
        <w:t xml:space="preserve"> 이에 포함된다고 봄이 마땅하다.</w:t>
      </w:r>
    </w:p>
    <w:p w14:paraId="5B9F73FC" w14:textId="77777777" w:rsidR="00911711" w:rsidRDefault="00911711">
      <w:pPr>
        <w:rPr>
          <w:rFonts w:ascii="빙그레 메로나체" w:eastAsia="빙그레 메로나체" w:hAnsi="빙그레 메로나체" w:hint="eastAsia"/>
          <w:sz w:val="24"/>
          <w:szCs w:val="24"/>
        </w:rPr>
      </w:pPr>
    </w:p>
    <w:p w14:paraId="24D4D63A" w14:textId="099EA0DE" w:rsidR="00EE514F" w:rsidRDefault="00EE51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00D47CA4" w:rsidRPr="00D47CA4">
        <w:rPr>
          <w:rFonts w:ascii="빙그레 메로나체" w:eastAsia="빙그레 메로나체" w:hAnsi="빙그레 메로나체" w:hint="eastAsia"/>
          <w:sz w:val="24"/>
          <w:szCs w:val="24"/>
        </w:rPr>
        <w:t>대법원</w:t>
      </w:r>
      <w:r w:rsidR="00D47CA4" w:rsidRPr="00D47CA4">
        <w:rPr>
          <w:rFonts w:ascii="빙그레 메로나체" w:eastAsia="빙그레 메로나체" w:hAnsi="빙그레 메로나체"/>
          <w:sz w:val="24"/>
          <w:szCs w:val="24"/>
        </w:rPr>
        <w:t xml:space="preserve"> 1993. 12. 21. 선고 92후1844 판결</w:t>
      </w:r>
      <w:r>
        <w:rPr>
          <w:rFonts w:ascii="빙그레 메로나체" w:eastAsia="빙그레 메로나체" w:hAnsi="빙그레 메로나체"/>
          <w:sz w:val="24"/>
          <w:szCs w:val="24"/>
        </w:rPr>
        <w:t>&gt;</w:t>
      </w:r>
    </w:p>
    <w:p w14:paraId="56752D42" w14:textId="4FE84AEB" w:rsidR="00EE514F" w:rsidRDefault="00F9134F" w:rsidP="00F9134F">
      <w:pPr>
        <w:rPr>
          <w:rFonts w:ascii="빙그레 메로나체" w:eastAsia="빙그레 메로나체" w:hAnsi="빙그레 메로나체"/>
          <w:sz w:val="24"/>
          <w:szCs w:val="24"/>
        </w:rPr>
      </w:pPr>
      <w:r w:rsidRPr="00F9134F">
        <w:rPr>
          <w:rFonts w:ascii="빙그레 메로나체" w:eastAsia="빙그레 메로나체" w:hAnsi="빙그레 메로나체" w:hint="eastAsia"/>
          <w:sz w:val="24"/>
          <w:szCs w:val="24"/>
        </w:rPr>
        <w:t>의약품에</w:t>
      </w:r>
      <w:r w:rsidRPr="00F9134F">
        <w:rPr>
          <w:rFonts w:ascii="빙그레 메로나체" w:eastAsia="빙그레 메로나체" w:hAnsi="빙그레 메로나체"/>
          <w:sz w:val="24"/>
          <w:szCs w:val="24"/>
        </w:rPr>
        <w:t xml:space="preserve"> 관련된 피청구인의 위 서비스업은 그 대상 서비스가 청구인의 위 지정상품등을 포함한 의약품에 관한 유통, 판매전략등에 관련된 것들이므로 취급품목이 동종의 상품에 속하는 것으로서 밀접한 관련이 있다고 할 것이고, 오늘날 의약품의 제조업과 유통업 및 판매전략산업등 서비스업은 연관을 갖고 동일한 업자에 의하여 이루어지는 경우가 많으며, 또한 일반수요자들도 그와 같이 생각하는 경향이 있는 점등 거래사회의 실정등을 고려하여 보면, 피청구인이 위 서비스업등을 영위함에 있어 (가)호 표장을 서비스표로서 사용하는 경우 일반수요자로 하여금 위 서비스업이 이 사건 등록상표권자의 영업인 것으로 오인, 혼동시킬 우려가 있어 (가)호 표장을 사용하는 위 대상 서비스업은 이 사건 등록상표의 지정상품과 유사성 내지 동종성이 인정된다고 하여야 할 것이다.</w:t>
      </w:r>
    </w:p>
    <w:p w14:paraId="1D8EEBCB" w14:textId="0EF89D18" w:rsidR="004144D8" w:rsidRDefault="004144D8" w:rsidP="00F9134F">
      <w:pPr>
        <w:rPr>
          <w:rFonts w:ascii="빙그레 메로나체" w:eastAsia="빙그레 메로나체" w:hAnsi="빙그레 메로나체"/>
          <w:sz w:val="24"/>
          <w:szCs w:val="24"/>
        </w:rPr>
      </w:pPr>
    </w:p>
    <w:p w14:paraId="72AF6D18" w14:textId="6C53E35C" w:rsidR="004144D8" w:rsidRDefault="00796CB1"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796CB1">
        <w:rPr>
          <w:rFonts w:ascii="빙그레 메로나체" w:eastAsia="빙그레 메로나체" w:hAnsi="빙그레 메로나체" w:hint="eastAsia"/>
          <w:sz w:val="24"/>
          <w:szCs w:val="24"/>
        </w:rPr>
        <w:t>대법원</w:t>
      </w:r>
      <w:r w:rsidRPr="00796CB1">
        <w:rPr>
          <w:rFonts w:ascii="빙그레 메로나체" w:eastAsia="빙그레 메로나체" w:hAnsi="빙그레 메로나체"/>
          <w:sz w:val="24"/>
          <w:szCs w:val="24"/>
        </w:rPr>
        <w:t xml:space="preserve"> 2006. 7. 28. 선고 2004후1304 판결</w:t>
      </w:r>
      <w:r>
        <w:rPr>
          <w:rFonts w:ascii="빙그레 메로나체" w:eastAsia="빙그레 메로나체" w:hAnsi="빙그레 메로나체" w:hint="eastAsia"/>
          <w:sz w:val="24"/>
          <w:szCs w:val="24"/>
        </w:rPr>
        <w:t>&gt;</w:t>
      </w:r>
    </w:p>
    <w:p w14:paraId="6946268C" w14:textId="07368A6A" w:rsidR="00796CB1" w:rsidRDefault="003D52D9" w:rsidP="00F9134F">
      <w:pPr>
        <w:rPr>
          <w:rFonts w:ascii="빙그레 메로나체" w:eastAsia="빙그레 메로나체" w:hAnsi="빙그레 메로나체"/>
          <w:sz w:val="24"/>
          <w:szCs w:val="24"/>
        </w:rPr>
      </w:pPr>
      <w:r w:rsidRPr="003D52D9">
        <w:rPr>
          <w:rFonts w:ascii="빙그레 메로나체" w:eastAsia="빙그레 메로나체" w:hAnsi="빙그레 메로나체" w:hint="eastAsia"/>
          <w:sz w:val="24"/>
          <w:szCs w:val="24"/>
        </w:rPr>
        <w:t>상표는</w:t>
      </w:r>
      <w:r w:rsidRPr="003D52D9">
        <w:rPr>
          <w:rFonts w:ascii="빙그레 메로나체" w:eastAsia="빙그레 메로나체" w:hAnsi="빙그레 메로나체"/>
          <w:sz w:val="24"/>
          <w:szCs w:val="24"/>
        </w:rPr>
        <w:t xml:space="preserve"> 상품 그 자체를, 서비스표는 서비스의 출처를 식별시키기 위한 표장으로서 각자 수행하는 기능이 다르므로 상품과 서비스업 사이의 동종ㆍ유사성을 지나치게 광범위하게 인정하여서는 아니 되고, 따라서 상품과 서비스 사이의 동종ㆍ유사성은 서비스와 상품간의 밀접한 관계 유무, 상품의 제조ㆍ판매와 서비스의 제공이 동일 사업자에 의하여 이루어지는 것이 일반적인가, 그리고 일반인이 그와 같이 생각하는 것이 당연하다고 인정되는가, 상품과 서비스의 용도가 일치하는가, </w:t>
      </w:r>
      <w:r w:rsidRPr="003D52D9">
        <w:rPr>
          <w:rFonts w:ascii="빙그레 메로나체" w:eastAsia="빙그레 메로나체" w:hAnsi="빙그레 메로나체" w:hint="eastAsia"/>
          <w:sz w:val="24"/>
          <w:szCs w:val="24"/>
        </w:rPr>
        <w:t>상품의</w:t>
      </w:r>
      <w:r w:rsidRPr="003D52D9">
        <w:rPr>
          <w:rFonts w:ascii="빙그레 메로나체" w:eastAsia="빙그레 메로나체" w:hAnsi="빙그레 메로나체"/>
          <w:sz w:val="24"/>
          <w:szCs w:val="24"/>
        </w:rPr>
        <w:t xml:space="preserve"> 판매장소와 서비스의 제공장소가 일치하는가, 수요자의 범위가 일치하는가, 유사한 표장을 사용할 경우 출처의 혼동을 초래할 우려가 있는가 하는 점 등을 따져 보아 거래사회의 통념에 따라 이를 인정하여야 한다.</w:t>
      </w:r>
    </w:p>
    <w:p w14:paraId="5268BBF4" w14:textId="16FF695E" w:rsidR="003D52D9" w:rsidRDefault="003D52D9" w:rsidP="00F9134F">
      <w:pPr>
        <w:rPr>
          <w:rFonts w:ascii="빙그레 메로나체" w:eastAsia="빙그레 메로나체" w:hAnsi="빙그레 메로나체"/>
          <w:sz w:val="24"/>
          <w:szCs w:val="24"/>
        </w:rPr>
      </w:pPr>
    </w:p>
    <w:p w14:paraId="5F79F9F0" w14:textId="4A139C1C" w:rsidR="003D52D9" w:rsidRDefault="00DF2EC1"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DF2EC1">
        <w:rPr>
          <w:rFonts w:ascii="빙그레 메로나체" w:eastAsia="빙그레 메로나체" w:hAnsi="빙그레 메로나체" w:hint="eastAsia"/>
          <w:sz w:val="24"/>
          <w:szCs w:val="24"/>
        </w:rPr>
        <w:t>특허법원</w:t>
      </w:r>
      <w:r w:rsidRPr="00DF2EC1">
        <w:rPr>
          <w:rFonts w:ascii="빙그레 메로나체" w:eastAsia="빙그레 메로나체" w:hAnsi="빙그레 메로나체"/>
          <w:sz w:val="24"/>
          <w:szCs w:val="24"/>
        </w:rPr>
        <w:t xml:space="preserve"> 1999. 5. 27. 선고 98허6612 판결</w:t>
      </w:r>
      <w:r>
        <w:rPr>
          <w:rFonts w:ascii="빙그레 메로나체" w:eastAsia="빙그레 메로나체" w:hAnsi="빙그레 메로나체" w:hint="eastAsia"/>
          <w:sz w:val="24"/>
          <w:szCs w:val="24"/>
        </w:rPr>
        <w:t>&gt;</w:t>
      </w:r>
    </w:p>
    <w:p w14:paraId="6D58C14D" w14:textId="36370EA3" w:rsidR="00DF2EC1" w:rsidRDefault="00CB755B" w:rsidP="00F9134F">
      <w:pPr>
        <w:rPr>
          <w:rFonts w:ascii="빙그레 메로나체" w:eastAsia="빙그레 메로나체" w:hAnsi="빙그레 메로나체"/>
          <w:sz w:val="24"/>
          <w:szCs w:val="24"/>
        </w:rPr>
      </w:pPr>
      <w:r w:rsidRPr="00CB755B">
        <w:rPr>
          <w:rFonts w:ascii="빙그레 메로나체" w:eastAsia="빙그레 메로나체" w:hAnsi="빙그레 메로나체" w:hint="eastAsia"/>
          <w:sz w:val="24"/>
          <w:szCs w:val="24"/>
        </w:rPr>
        <w:t>등록서비스표</w:t>
      </w:r>
      <w:r w:rsidRPr="00CB755B">
        <w:rPr>
          <w:rFonts w:ascii="빙그레 메로나체" w:eastAsia="빙그레 메로나체" w:hAnsi="빙그레 메로나체"/>
          <w:sz w:val="24"/>
          <w:szCs w:val="24"/>
        </w:rPr>
        <w:t xml:space="preserve"> “WAL-MART”의 지정서비스업인 생활필수품판매점관리업은 구 서비스업류구분 제112류 제12군에 속하는 수퍼마켓관리업과 유사한 내용의 업종을 말하므로, 생활필수품판매점을 소유한 자가 </w:t>
      </w:r>
      <w:r w:rsidR="009875FD">
        <w:rPr>
          <w:rFonts w:ascii="빙그레 메로나체" w:eastAsia="빙그레 메로나체" w:hAnsi="빙그레 메로나체" w:hint="eastAsia"/>
          <w:sz w:val="24"/>
          <w:szCs w:val="24"/>
        </w:rPr>
        <w:t xml:space="preserve">대형할인마트의 간판 등에 등록상표를 표시하여 </w:t>
      </w:r>
      <w:r w:rsidRPr="00CB755B">
        <w:rPr>
          <w:rFonts w:ascii="빙그레 메로나체" w:eastAsia="빙그레 메로나체" w:hAnsi="빙그레 메로나체"/>
          <w:sz w:val="24"/>
          <w:szCs w:val="24"/>
        </w:rPr>
        <w:t>스스로 자신의 판매점을 운영하는 경우에는 생활필수품판매점관리업에 포함되지 않는다</w:t>
      </w:r>
      <w:r>
        <w:rPr>
          <w:rFonts w:ascii="빙그레 메로나체" w:eastAsia="빙그레 메로나체" w:hAnsi="빙그레 메로나체" w:hint="eastAsia"/>
          <w:sz w:val="24"/>
          <w:szCs w:val="24"/>
        </w:rPr>
        <w:t>.</w:t>
      </w:r>
    </w:p>
    <w:p w14:paraId="793964D8" w14:textId="29DEA64F" w:rsidR="00B43C29" w:rsidRDefault="00B43C29" w:rsidP="00F9134F">
      <w:pPr>
        <w:rPr>
          <w:rFonts w:ascii="빙그레 메로나체" w:eastAsia="빙그레 메로나체" w:hAnsi="빙그레 메로나체"/>
          <w:sz w:val="24"/>
          <w:szCs w:val="24"/>
        </w:rPr>
      </w:pPr>
    </w:p>
    <w:p w14:paraId="5D9EF7A5" w14:textId="41BE8CE6" w:rsidR="00B43C29" w:rsidRDefault="00B43C29"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B43C29">
        <w:rPr>
          <w:rFonts w:ascii="빙그레 메로나체" w:eastAsia="빙그레 메로나체" w:hAnsi="빙그레 메로나체" w:hint="eastAsia"/>
          <w:sz w:val="24"/>
          <w:szCs w:val="24"/>
        </w:rPr>
        <w:t>특허법원</w:t>
      </w:r>
      <w:r w:rsidRPr="00B43C29">
        <w:rPr>
          <w:rFonts w:ascii="빙그레 메로나체" w:eastAsia="빙그레 메로나체" w:hAnsi="빙그레 메로나체"/>
          <w:sz w:val="24"/>
          <w:szCs w:val="24"/>
        </w:rPr>
        <w:t xml:space="preserve"> 2018. 10. 5. 선고 2017나1810 판결</w:t>
      </w:r>
      <w:r>
        <w:rPr>
          <w:rFonts w:ascii="빙그레 메로나체" w:eastAsia="빙그레 메로나체" w:hAnsi="빙그레 메로나체" w:hint="eastAsia"/>
          <w:sz w:val="24"/>
          <w:szCs w:val="24"/>
        </w:rPr>
        <w:t>&gt;</w:t>
      </w:r>
    </w:p>
    <w:p w14:paraId="46302800" w14:textId="0C56E106" w:rsidR="00B43C29" w:rsidRDefault="00DD0203" w:rsidP="00F9134F">
      <w:pPr>
        <w:rPr>
          <w:rFonts w:ascii="빙그레 메로나체" w:eastAsia="빙그레 메로나체" w:hAnsi="빙그레 메로나체"/>
          <w:sz w:val="24"/>
          <w:szCs w:val="24"/>
        </w:rPr>
      </w:pPr>
      <w:r w:rsidRPr="00DD0203">
        <w:rPr>
          <w:rFonts w:ascii="빙그레 메로나체" w:eastAsia="빙그레 메로나체" w:hAnsi="빙그레 메로나체" w:hint="eastAsia"/>
          <w:sz w:val="24"/>
          <w:szCs w:val="24"/>
        </w:rPr>
        <w:t>갑</w:t>
      </w:r>
      <w:r w:rsidRPr="00DD0203">
        <w:rPr>
          <w:rFonts w:ascii="빙그레 메로나체" w:eastAsia="빙그레 메로나체" w:hAnsi="빙그레 메로나체"/>
          <w:sz w:val="24"/>
          <w:szCs w:val="24"/>
        </w:rPr>
        <w:t xml:space="preserve"> 회사의 설립 목적 및 경위, 등록서비스표 출원부터 사업 착수 및 진행에 이르기까지의 제반 현황에 비추어 보면, 비록 갑 회사가 의료기관을 개설할 수 없는 자로서 등록서비스표의 지정서비스업인 ‘치과업’을 영위하는 데 법령상 제한이 있지만, 설립 목적이 치과병의원의 설립지원 및 운영지원사업 등으로서 치과업과 밀접한 관계에 있고, 실제로 각 치과에 등록서비스표의 사용권을 설정해주고 경영지원서비스를 제공하는 등 치과병의원의 운영지원사업을 영위하였으며, 이러한 영업형태가 법령에 저촉된다고 볼 수 없으므로, 갑 회사에 사회적·경제적으로 등록서비스표를 사용할 합리적인 필요성이 인정되고, 따라서 갑 회사에 등록서비스표에 대한 객관적 사용의사가 인정</w:t>
      </w:r>
      <w:r w:rsidR="001C478B">
        <w:rPr>
          <w:rFonts w:ascii="빙그레 메로나체" w:eastAsia="빙그레 메로나체" w:hAnsi="빙그레 메로나체" w:hint="eastAsia"/>
          <w:sz w:val="24"/>
          <w:szCs w:val="24"/>
        </w:rPr>
        <w:t>된다.</w:t>
      </w:r>
      <w:r w:rsidR="001C478B">
        <w:rPr>
          <w:rFonts w:ascii="빙그레 메로나체" w:eastAsia="빙그레 메로나체" w:hAnsi="빙그레 메로나체"/>
          <w:sz w:val="24"/>
          <w:szCs w:val="24"/>
        </w:rPr>
        <w:t xml:space="preserve"> </w:t>
      </w:r>
      <w:r w:rsidR="009D550C">
        <w:rPr>
          <w:rFonts w:ascii="빙그레 메로나체" w:eastAsia="빙그레 메로나체" w:hAnsi="빙그레 메로나체"/>
          <w:sz w:val="24"/>
          <w:szCs w:val="24"/>
        </w:rPr>
        <w:t xml:space="preserve"> </w:t>
      </w:r>
    </w:p>
    <w:p w14:paraId="7C0357DA" w14:textId="274E3AA3" w:rsidR="0094729F" w:rsidRDefault="0094729F" w:rsidP="00F9134F">
      <w:pPr>
        <w:rPr>
          <w:rFonts w:ascii="빙그레 메로나체" w:eastAsia="빙그레 메로나체" w:hAnsi="빙그레 메로나체"/>
          <w:sz w:val="24"/>
          <w:szCs w:val="24"/>
        </w:rPr>
      </w:pPr>
    </w:p>
    <w:p w14:paraId="7F2C3D2D" w14:textId="3CAE6134" w:rsidR="0094729F" w:rsidRDefault="00487EF0"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487EF0">
        <w:rPr>
          <w:rFonts w:ascii="빙그레 메로나체" w:eastAsia="빙그레 메로나체" w:hAnsi="빙그레 메로나체" w:hint="eastAsia"/>
          <w:sz w:val="24"/>
          <w:szCs w:val="24"/>
        </w:rPr>
        <w:t>특허법원</w:t>
      </w:r>
      <w:r w:rsidRPr="00487EF0">
        <w:rPr>
          <w:rFonts w:ascii="빙그레 메로나체" w:eastAsia="빙그레 메로나체" w:hAnsi="빙그레 메로나체"/>
          <w:sz w:val="24"/>
          <w:szCs w:val="24"/>
        </w:rPr>
        <w:t xml:space="preserve"> 2010. 12. 1. 선고 2010허5895 판결</w:t>
      </w:r>
      <w:r>
        <w:rPr>
          <w:rFonts w:ascii="빙그레 메로나체" w:eastAsia="빙그레 메로나체" w:hAnsi="빙그레 메로나체" w:hint="eastAsia"/>
          <w:sz w:val="24"/>
          <w:szCs w:val="24"/>
        </w:rPr>
        <w:t>&gt;</w:t>
      </w:r>
    </w:p>
    <w:p w14:paraId="08D3D140" w14:textId="23E2BE5C" w:rsidR="00487EF0" w:rsidRDefault="004971EE" w:rsidP="00F9134F">
      <w:pPr>
        <w:rPr>
          <w:rFonts w:ascii="빙그레 메로나체" w:eastAsia="빙그레 메로나체" w:hAnsi="빙그레 메로나체"/>
          <w:sz w:val="24"/>
          <w:szCs w:val="24"/>
        </w:rPr>
      </w:pPr>
      <w:r w:rsidRPr="004971EE">
        <w:rPr>
          <w:rFonts w:ascii="빙그레 메로나체" w:eastAsia="빙그레 메로나체" w:hAnsi="빙그레 메로나체" w:hint="eastAsia"/>
          <w:sz w:val="24"/>
          <w:szCs w:val="24"/>
        </w:rPr>
        <w:lastRenderedPageBreak/>
        <w:t>이</w:t>
      </w:r>
      <w:r w:rsidRPr="004971EE">
        <w:rPr>
          <w:rFonts w:ascii="빙그레 메로나체" w:eastAsia="빙그레 메로나체" w:hAnsi="빙그레 메로나체"/>
          <w:sz w:val="24"/>
          <w:szCs w:val="24"/>
        </w:rPr>
        <w:t xml:space="preserve"> 사건 출원상표 는 점선으로 표시된 직사각형의 상자 형태의 입체표장인데, 그 지정상품인 테이블게임용구, 게임테이블상의 카드판독 및 보안용 전자오락기구(TV수상기전용 사용기구는 제외) 와 관련하여 볼 때, 카드를 수납할 공간과 정면 중앙에 있는 인출구 등 카드분배기로서의 기본적인 형태를 갖추고 있을 뿐만 아니라, 을 제3 내지 6호증에 의하면 이 사건 출원상표의 형태와 유사한 형태의 카드분배기들이 원고뿐 아니라 타인에 의해서도 특허출원 내지 판매되는 등 </w:t>
      </w:r>
      <w:r w:rsidRPr="004971EE">
        <w:rPr>
          <w:rFonts w:ascii="빙그레 메로나체" w:eastAsia="빙그레 메로나체" w:hAnsi="빙그레 메로나체" w:hint="eastAsia"/>
          <w:sz w:val="24"/>
          <w:szCs w:val="24"/>
        </w:rPr>
        <w:t>다수</w:t>
      </w:r>
      <w:r w:rsidRPr="004971EE">
        <w:rPr>
          <w:rFonts w:ascii="빙그레 메로나체" w:eastAsia="빙그레 메로나체" w:hAnsi="빙그레 메로나체"/>
          <w:sz w:val="24"/>
          <w:szCs w:val="24"/>
        </w:rPr>
        <w:t xml:space="preserve"> 사용되고 있으며, 이 사건 출원상표의 형태가 카드분배기의 일반적인 형태에 일부 변형을 가하거나 추가적인 장식을 하였더라도 전체적인 형상이나 모양이 거래사회에서 통상적으로 채용할 수 있는 범위를 벗어나지 않아, 이 사건 출원상표의 지정상품의 이용자들인 카지노 등의 운영자 및 카지노 등을 출입하는 일반 수요자가 이 사건 출원상표의 입체적 형상을 살펴보면 카드분배기로 직감적으로 인식할 수 있다고 할 것이므로, 이 사건 출원상표는 지정상품과 관련하여 볼 때 상품의 형상을 보통으로 사용하는 방법으로 표시한 상표에 해당한다(상표법 제6조 제1항 제3호의 형상표시는 해당 상품의 형상이 하나인 경우뿐만 아니라 여러 가지 형상이 있는 경우에도 적용될 수 있다 할 것이므로, 이 사건 출원상표와 다른 형상의 카드분배기가 존재한다는 사실은 위 인정에 방해가 되지 아니한다).</w:t>
      </w:r>
    </w:p>
    <w:p w14:paraId="4CAD96AE" w14:textId="3A7A6116" w:rsidR="00C17B18" w:rsidRDefault="00C17B18" w:rsidP="00F9134F">
      <w:pPr>
        <w:rPr>
          <w:rFonts w:ascii="빙그레 메로나체" w:eastAsia="빙그레 메로나체" w:hAnsi="빙그레 메로나체"/>
          <w:sz w:val="24"/>
          <w:szCs w:val="24"/>
        </w:rPr>
      </w:pPr>
    </w:p>
    <w:p w14:paraId="03EB5499" w14:textId="4970D63B" w:rsidR="00C17B18" w:rsidRDefault="00E75A06"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E75A06">
        <w:rPr>
          <w:rFonts w:ascii="빙그레 메로나체" w:eastAsia="빙그레 메로나체" w:hAnsi="빙그레 메로나체" w:hint="eastAsia"/>
          <w:sz w:val="24"/>
          <w:szCs w:val="24"/>
        </w:rPr>
        <w:t>대법원</w:t>
      </w:r>
      <w:r w:rsidRPr="00E75A06">
        <w:rPr>
          <w:rFonts w:ascii="빙그레 메로나체" w:eastAsia="빙그레 메로나체" w:hAnsi="빙그레 메로나체"/>
          <w:sz w:val="24"/>
          <w:szCs w:val="24"/>
        </w:rPr>
        <w:t xml:space="preserve"> 2015. 2. 26. 선고 2014후2306 판결</w:t>
      </w:r>
      <w:r>
        <w:rPr>
          <w:rFonts w:ascii="빙그레 메로나체" w:eastAsia="빙그레 메로나체" w:hAnsi="빙그레 메로나체" w:hint="eastAsia"/>
          <w:sz w:val="24"/>
          <w:szCs w:val="24"/>
        </w:rPr>
        <w:t>&gt;</w:t>
      </w:r>
    </w:p>
    <w:p w14:paraId="08D77CB0" w14:textId="7C932138" w:rsidR="00834405" w:rsidRDefault="00834405" w:rsidP="00F9134F">
      <w:pPr>
        <w:rPr>
          <w:rFonts w:ascii="빙그레 메로나체" w:eastAsia="빙그레 메로나체" w:hAnsi="빙그레 메로나체"/>
          <w:sz w:val="24"/>
          <w:szCs w:val="24"/>
        </w:rPr>
      </w:pPr>
      <w:r w:rsidRPr="00834405">
        <w:rPr>
          <w:rFonts w:ascii="빙그레 메로나체" w:eastAsia="빙그레 메로나체" w:hAnsi="빙그레 메로나체" w:hint="eastAsia"/>
          <w:sz w:val="24"/>
          <w:szCs w:val="24"/>
        </w:rPr>
        <w:t>상표법</w:t>
      </w:r>
      <w:r w:rsidRPr="00834405">
        <w:rPr>
          <w:rFonts w:ascii="빙그레 메로나체" w:eastAsia="빙그레 메로나체" w:hAnsi="빙그레 메로나체"/>
          <w:sz w:val="24"/>
          <w:szCs w:val="24"/>
        </w:rPr>
        <w:t xml:space="preserve"> 제6조 제1항 제3호는 상품의 형상을 보통으로 사용하는 방법으로 표시한 표장만으로 된 상표는 상표등록을 받을 수 없도록 규정하고 있을 뿐, 입체적 형상에 다른 식별력이 있는 기호·문자·도형 등이 결합되어 있는 상표에 대하여는 상표등록을 받을 수 없다고 규정하고 있지 않고, 달리 상표에 입체적 형상 부분이 포함되어 있다는 이유로 이와 결합된 기호·문자·도형 등을 무시하고 입체적 형상만을 기준으로 식별력을 판단하여야 한다는 상표법 규정도 없다. 또한 </w:t>
      </w:r>
      <w:r w:rsidRPr="00834405">
        <w:rPr>
          <w:rFonts w:ascii="빙그레 메로나체" w:eastAsia="빙그레 메로나체" w:hAnsi="빙그레 메로나체" w:hint="eastAsia"/>
          <w:sz w:val="24"/>
          <w:szCs w:val="24"/>
        </w:rPr>
        <w:t>식별력이</w:t>
      </w:r>
      <w:r w:rsidRPr="00834405">
        <w:rPr>
          <w:rFonts w:ascii="빙그레 메로나체" w:eastAsia="빙그레 메로나체" w:hAnsi="빙그레 메로나체"/>
          <w:sz w:val="24"/>
          <w:szCs w:val="24"/>
        </w:rPr>
        <w:t xml:space="preserve"> 없는 입체적 형상 부분을 포함하고 있는 상표가 전체적으로는 식별력이 인정되어 상표등록이 되더라도 식별력이 없는 입체적 형상 부분에는 그 상표권의 효력이 미치지 아니하므로(상표법 제51조 제1항), 그러한 상표의 등록을 허용한다고 하여 식별력이 없는 입체적 형상 부분에까지 상표권의 효력이 확장되어 다른 사람의 사용을 제한하는 부당한 결과가 발생할 우려는 없다.</w:t>
      </w:r>
    </w:p>
    <w:p w14:paraId="3C3BD07E" w14:textId="38AC6C82" w:rsidR="00E75A06" w:rsidRDefault="00834405" w:rsidP="00F9134F">
      <w:pPr>
        <w:rPr>
          <w:rFonts w:ascii="빙그레 메로나체" w:eastAsia="빙그레 메로나체" w:hAnsi="빙그레 메로나체"/>
          <w:sz w:val="24"/>
          <w:szCs w:val="24"/>
        </w:rPr>
      </w:pPr>
      <w:r w:rsidRPr="00834405">
        <w:rPr>
          <w:rFonts w:ascii="빙그레 메로나체" w:eastAsia="빙그레 메로나체" w:hAnsi="빙그레 메로나체" w:hint="eastAsia"/>
          <w:sz w:val="24"/>
          <w:szCs w:val="24"/>
        </w:rPr>
        <w:t>입체적</w:t>
      </w:r>
      <w:r w:rsidRPr="00834405">
        <w:rPr>
          <w:rFonts w:ascii="빙그레 메로나체" w:eastAsia="빙그레 메로나체" w:hAnsi="빙그레 메로나체"/>
          <w:sz w:val="24"/>
          <w:szCs w:val="24"/>
        </w:rPr>
        <w:t xml:space="preserve"> 형상과 기호·문자·도형 등이 결합된 상표라고 하여 식별력의 판단에서 다른 일반적인 결합상표와 달리 보아서는 아니 되므로, 입체적 형상 자체에는 식별력이 없더라도 식별력이 있는 기호·문자·도형 등과 결합하여 전체적으로 식별력이 있는 상표에 대하여 </w:t>
      </w:r>
      <w:r w:rsidRPr="00834405">
        <w:rPr>
          <w:rFonts w:ascii="빙그레 메로나체" w:eastAsia="빙그레 메로나체" w:hAnsi="빙그레 메로나체"/>
          <w:sz w:val="24"/>
          <w:szCs w:val="24"/>
        </w:rPr>
        <w:lastRenderedPageBreak/>
        <w:t>상표법 제6조 제1항 제3호 등에 해당한다는 이유로 상표등록을 거절하여서는 아니 된다.</w:t>
      </w:r>
    </w:p>
    <w:p w14:paraId="49CB8B12" w14:textId="20A31532" w:rsidR="00D0705F" w:rsidRDefault="00D0705F" w:rsidP="00F9134F">
      <w:pPr>
        <w:rPr>
          <w:rFonts w:ascii="빙그레 메로나체" w:eastAsia="빙그레 메로나체" w:hAnsi="빙그레 메로나체"/>
          <w:sz w:val="24"/>
          <w:szCs w:val="24"/>
        </w:rPr>
      </w:pPr>
    </w:p>
    <w:p w14:paraId="2B70E8F8" w14:textId="21B1B3B0" w:rsidR="00D0705F" w:rsidRDefault="00F139EA"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F139EA">
        <w:rPr>
          <w:rFonts w:ascii="빙그레 메로나체" w:eastAsia="빙그레 메로나체" w:hAnsi="빙그레 메로나체" w:hint="eastAsia"/>
          <w:sz w:val="24"/>
          <w:szCs w:val="24"/>
        </w:rPr>
        <w:t>대법원</w:t>
      </w:r>
      <w:r w:rsidRPr="00F139EA">
        <w:rPr>
          <w:rFonts w:ascii="빙그레 메로나체" w:eastAsia="빙그레 메로나체" w:hAnsi="빙그레 메로나체"/>
          <w:sz w:val="24"/>
          <w:szCs w:val="24"/>
        </w:rPr>
        <w:t xml:space="preserve"> 2015. 10. 15. 선고 2013다84568 판결</w:t>
      </w:r>
      <w:r>
        <w:rPr>
          <w:rFonts w:ascii="빙그레 메로나체" w:eastAsia="빙그레 메로나체" w:hAnsi="빙그레 메로나체" w:hint="eastAsia"/>
          <w:sz w:val="24"/>
          <w:szCs w:val="24"/>
        </w:rPr>
        <w:t>&gt;</w:t>
      </w:r>
    </w:p>
    <w:p w14:paraId="39473C95" w14:textId="49D062AD" w:rsidR="00F139EA" w:rsidRDefault="000D3EF7" w:rsidP="00F9134F">
      <w:pPr>
        <w:rPr>
          <w:rFonts w:ascii="빙그레 메로나체" w:eastAsia="빙그레 메로나체" w:hAnsi="빙그레 메로나체"/>
          <w:sz w:val="24"/>
          <w:szCs w:val="24"/>
        </w:rPr>
      </w:pPr>
      <w:r w:rsidRPr="000D3EF7">
        <w:rPr>
          <w:rFonts w:ascii="빙그레 메로나체" w:eastAsia="빙그레 메로나체" w:hAnsi="빙그레 메로나체" w:hint="eastAsia"/>
          <w:sz w:val="24"/>
          <w:szCs w:val="24"/>
        </w:rPr>
        <w:t>제</w:t>
      </w:r>
      <w:r w:rsidRPr="000D3EF7">
        <w:rPr>
          <w:rFonts w:ascii="빙그레 메로나체" w:eastAsia="빙그레 메로나체" w:hAnsi="빙그레 메로나체"/>
          <w:sz w:val="24"/>
          <w:szCs w:val="24"/>
        </w:rPr>
        <w:t>6조 제2항에 의하면, 제6조 제1항 제3호에 해당하는 상표라도 상표등록출원 전에 상표를 사용한 결과 수요자 간에 그 상표가 누구의 업무에 관련된 상품을 표시하는 것인가 현저하게 인식되어 있는 것은 상표등록을 받을 수 있다. 이와 같이 사용에 의한 식별력 취득에 따라 상표등록을 받을 수 있도록 하는 제도는 원래 식별력이 없어 특정인에게 독점사용하도록 함이 적당하지 않은 표장에 대하여 대세적 권리를 부여하는 것이므로, 상품 등의 입체적 형상으로 된 상표가 사용에 의하여 식별력을 취득하였는지는 그 형상의 특징, 사용시기 및 기간, 판매수량 및 시장점유율, 광고</w:t>
      </w:r>
      <w:r w:rsidRPr="000D3EF7">
        <w:rPr>
          <w:rFonts w:ascii="MS Gothic" w:eastAsia="MS Gothic" w:hAnsi="MS Gothic" w:cs="MS Gothic" w:hint="eastAsia"/>
          <w:sz w:val="24"/>
          <w:szCs w:val="24"/>
        </w:rPr>
        <w:t>․</w:t>
      </w:r>
      <w:r w:rsidRPr="000D3EF7">
        <w:rPr>
          <w:rFonts w:ascii="빙그레 메로나체" w:eastAsia="빙그레 메로나체" w:hAnsi="빙그레 메로나체"/>
          <w:sz w:val="24"/>
          <w:szCs w:val="24"/>
        </w:rPr>
        <w:t>선전이 이루어진 기간 및 규모, 당해 형상과 유사한 다른 상품 등의 경합적 사용의 정도 및 태양, 상표사용자의 명성과 신용 등을 종합적으로 고려하여 그 형상이 수요자에게 누구의 상품을 표시하는 상표인가가 현저하게 인식되어 있는지를 엄격하게 해석</w:t>
      </w:r>
      <w:r w:rsidRPr="000D3EF7">
        <w:rPr>
          <w:rFonts w:ascii="MS Gothic" w:eastAsia="MS Gothic" w:hAnsi="MS Gothic" w:cs="MS Gothic" w:hint="eastAsia"/>
          <w:sz w:val="24"/>
          <w:szCs w:val="24"/>
        </w:rPr>
        <w:t>․</w:t>
      </w:r>
      <w:r w:rsidRPr="000D3EF7">
        <w:rPr>
          <w:rFonts w:ascii="빙그레 메로나체" w:eastAsia="빙그레 메로나체" w:hAnsi="빙그레 메로나체"/>
          <w:sz w:val="24"/>
          <w:szCs w:val="24"/>
        </w:rPr>
        <w:t>적용하여 판단하여야 한다</w:t>
      </w:r>
      <w:r w:rsidR="00F02938">
        <w:rPr>
          <w:rFonts w:ascii="빙그레 메로나체" w:eastAsia="빙그레 메로나체" w:hAnsi="빙그레 메로나체" w:hint="eastAsia"/>
          <w:sz w:val="24"/>
          <w:szCs w:val="24"/>
        </w:rPr>
        <w:t>.</w:t>
      </w:r>
      <w:r w:rsidR="00C550BC" w:rsidRPr="00C550BC">
        <w:t xml:space="preserve"> </w:t>
      </w:r>
      <w:r w:rsidR="00C550BC" w:rsidRPr="00C550BC">
        <w:rPr>
          <w:rFonts w:ascii="빙그레 메로나체" w:eastAsia="빙그레 메로나체" w:hAnsi="빙그레 메로나체"/>
          <w:sz w:val="24"/>
          <w:szCs w:val="24"/>
        </w:rPr>
        <w:t>(대법원 2014. 10. 15. 선고 2012후3800 판결, 대법원 2014. 10. 15. 선고 2013후1146 판결 참조).</w:t>
      </w:r>
    </w:p>
    <w:p w14:paraId="1B99EDE2" w14:textId="7B47C330" w:rsidR="00F02938" w:rsidRDefault="00F02938" w:rsidP="00F9134F">
      <w:pPr>
        <w:rPr>
          <w:rFonts w:ascii="빙그레 메로나체" w:eastAsia="빙그레 메로나체" w:hAnsi="빙그레 메로나체"/>
          <w:sz w:val="24"/>
          <w:szCs w:val="24"/>
        </w:rPr>
      </w:pPr>
    </w:p>
    <w:p w14:paraId="0B1806F5" w14:textId="0889A652" w:rsidR="00F02938" w:rsidRDefault="00447287"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00383F45" w:rsidRPr="00383F45">
        <w:rPr>
          <w:rFonts w:ascii="빙그레 메로나체" w:eastAsia="빙그레 메로나체" w:hAnsi="빙그레 메로나체" w:hint="eastAsia"/>
          <w:sz w:val="24"/>
          <w:szCs w:val="24"/>
        </w:rPr>
        <w:t xml:space="preserve"> </w:t>
      </w:r>
      <w:r w:rsidR="00383F45" w:rsidRPr="00F139EA">
        <w:rPr>
          <w:rFonts w:ascii="빙그레 메로나체" w:eastAsia="빙그레 메로나체" w:hAnsi="빙그레 메로나체" w:hint="eastAsia"/>
          <w:sz w:val="24"/>
          <w:szCs w:val="24"/>
        </w:rPr>
        <w:t>대법원</w:t>
      </w:r>
      <w:r w:rsidR="00383F45" w:rsidRPr="00F139EA">
        <w:rPr>
          <w:rFonts w:ascii="빙그레 메로나체" w:eastAsia="빙그레 메로나체" w:hAnsi="빙그레 메로나체"/>
          <w:sz w:val="24"/>
          <w:szCs w:val="24"/>
        </w:rPr>
        <w:t xml:space="preserve"> 2015. 10. 15. 선고 2013다84568 판결</w:t>
      </w:r>
      <w:r w:rsidR="00383F45">
        <w:rPr>
          <w:rFonts w:ascii="빙그레 메로나체" w:eastAsia="빙그레 메로나체" w:hAnsi="빙그레 메로나체"/>
          <w:sz w:val="24"/>
          <w:szCs w:val="24"/>
        </w:rPr>
        <w:t xml:space="preserve"> </w:t>
      </w:r>
      <w:r>
        <w:rPr>
          <w:rFonts w:ascii="빙그레 메로나체" w:eastAsia="빙그레 메로나체" w:hAnsi="빙그레 메로나체"/>
          <w:sz w:val="24"/>
          <w:szCs w:val="24"/>
        </w:rPr>
        <w:t>&gt;</w:t>
      </w:r>
    </w:p>
    <w:p w14:paraId="2F8D13EF" w14:textId="23BE43D9" w:rsidR="00447287" w:rsidRDefault="00447287" w:rsidP="00F9134F">
      <w:pPr>
        <w:rPr>
          <w:rFonts w:ascii="빙그레 메로나체" w:eastAsia="빙그레 메로나체" w:hAnsi="빙그레 메로나체"/>
          <w:sz w:val="24"/>
          <w:szCs w:val="24"/>
        </w:rPr>
      </w:pPr>
      <w:r w:rsidRPr="00447287">
        <w:rPr>
          <w:rFonts w:ascii="빙그레 메로나체" w:eastAsia="빙그레 메로나체" w:hAnsi="빙그레 메로나체" w:hint="eastAsia"/>
          <w:sz w:val="24"/>
          <w:szCs w:val="24"/>
        </w:rPr>
        <w:t>내복용</w:t>
      </w:r>
      <w:r w:rsidRPr="00447287">
        <w:rPr>
          <w:rFonts w:ascii="빙그레 메로나체" w:eastAsia="빙그레 메로나체" w:hAnsi="빙그레 메로나체"/>
          <w:sz w:val="24"/>
          <w:szCs w:val="24"/>
        </w:rPr>
        <w:t xml:space="preserve"> 알약에는 다양한 크기, 형상, 색깔이 존재할 수 있어 이용 가능한 대체적 형상이 다수 존재하고, 이 사건 등록상표의 지정상품인 심장혈관용 약제, 성기능장애 치료용 약제가 실제로 이 사건 등록상표와 같은 마름모 도형의 입체적 형상과 푸른색 계열의 색채가 아닌 다른 색채와 형상으로도 여러 업체에서 생산되어 판매되고 있는 점, 또한 위 형상과 색채의 결합이 알약의 본래적인 기능을 넘어서는 기술적 요소가 발휘된 것이라고 보기는 어려운 점 등을 알 수 있다. 이러한 사정에 비추어 보면, 이 사건 등록상표는 상표등록을 받고자 하는 상품의 기능을 확보하는 데 불가결한 입체적 형상만으로 된 상표에 해당한다는 사유로 그 상표등록이 무효로 될 것임이 명백하다고 할 수는 없다.</w:t>
      </w:r>
    </w:p>
    <w:p w14:paraId="553DAE2D" w14:textId="3A4FE617" w:rsidR="00383F45" w:rsidRDefault="00383F45" w:rsidP="00F9134F">
      <w:pPr>
        <w:rPr>
          <w:rFonts w:ascii="빙그레 메로나체" w:eastAsia="빙그레 메로나체" w:hAnsi="빙그레 메로나체"/>
          <w:sz w:val="24"/>
          <w:szCs w:val="24"/>
        </w:rPr>
      </w:pPr>
    </w:p>
    <w:p w14:paraId="263ACFDB" w14:textId="547A26F7" w:rsidR="00383F45" w:rsidRDefault="00A838EC"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A838EC">
        <w:rPr>
          <w:rFonts w:hint="eastAsia"/>
        </w:rPr>
        <w:t xml:space="preserve"> </w:t>
      </w:r>
      <w:r w:rsidRPr="00A838EC">
        <w:rPr>
          <w:rFonts w:ascii="빙그레 메로나체" w:eastAsia="빙그레 메로나체" w:hAnsi="빙그레 메로나체" w:hint="eastAsia"/>
          <w:sz w:val="24"/>
          <w:szCs w:val="24"/>
        </w:rPr>
        <w:t>대법원</w:t>
      </w:r>
      <w:r w:rsidRPr="00A838EC">
        <w:rPr>
          <w:rFonts w:ascii="빙그레 메로나체" w:eastAsia="빙그레 메로나체" w:hAnsi="빙그레 메로나체"/>
          <w:sz w:val="24"/>
          <w:szCs w:val="24"/>
        </w:rPr>
        <w:t xml:space="preserve"> 1995. 6. 16. 선고 94도1793 판결</w:t>
      </w:r>
      <w:r>
        <w:rPr>
          <w:rFonts w:ascii="빙그레 메로나체" w:eastAsia="빙그레 메로나체" w:hAnsi="빙그레 메로나체" w:hint="eastAsia"/>
          <w:sz w:val="24"/>
          <w:szCs w:val="24"/>
        </w:rPr>
        <w:t>&gt;</w:t>
      </w:r>
    </w:p>
    <w:p w14:paraId="6D35A1FA" w14:textId="6F604EE4" w:rsidR="00A838EC" w:rsidRDefault="00A838EC" w:rsidP="00F9134F">
      <w:pPr>
        <w:rPr>
          <w:rFonts w:ascii="빙그레 메로나체" w:eastAsia="빙그레 메로나체" w:hAnsi="빙그레 메로나체"/>
          <w:sz w:val="24"/>
          <w:szCs w:val="24"/>
        </w:rPr>
      </w:pPr>
      <w:r w:rsidRPr="00A838EC">
        <w:rPr>
          <w:rFonts w:ascii="빙그레 메로나체" w:eastAsia="빙그레 메로나체" w:hAnsi="빙그레 메로나체" w:hint="eastAsia"/>
          <w:sz w:val="24"/>
          <w:szCs w:val="24"/>
        </w:rPr>
        <w:t>귀금속</w:t>
      </w:r>
      <w:r w:rsidRPr="00A838EC">
        <w:rPr>
          <w:rFonts w:ascii="빙그레 메로나체" w:eastAsia="빙그레 메로나체" w:hAnsi="빙그레 메로나체"/>
          <w:sz w:val="24"/>
          <w:szCs w:val="24"/>
        </w:rPr>
        <w:t xml:space="preserve"> 및 보석제품에 대한 품질보증제도 확립지도업, 귀금속 및 보석 가공상품의 품질향상과 유통질서 확립지도업을 지정업무로 하는 사단법인 한국귀금속보석감정원의 등록 </w:t>
      </w:r>
      <w:r w:rsidRPr="00A838EC">
        <w:rPr>
          <w:rFonts w:ascii="빙그레 메로나체" w:eastAsia="빙그레 메로나체" w:hAnsi="빙그레 메로나체"/>
          <w:sz w:val="24"/>
          <w:szCs w:val="24"/>
        </w:rPr>
        <w:lastRenderedPageBreak/>
        <w:t>업무표장인 태극 마크를, 직할시 귀금속시계판매업감정위원회 회장 등이 직할시 지역의 귀금속 및 시계의 부당한 감정을 막고 감정의 권위를 높이기 위한 감정업무를 행하면서 사용하던 무등산마크와 함께 귀금속판매상인들이 가지고 온 금반지 등에 귀금속의 함량을 확인 보증한다는 취지로 각인하여 사용한 행위는 위 등록 업무표장의 지정업무와 동일 유사한 업무를 수행한 것이고, 그러한 각인행위를 행하면서 그 대가로 약간의 감정수수료를 받았다고 하더라도 그 업무의 성질을 달리 볼 수 없다고</w:t>
      </w:r>
      <w:r w:rsidR="00E34AA0">
        <w:rPr>
          <w:rFonts w:ascii="빙그레 메로나체" w:eastAsia="빙그레 메로나체" w:hAnsi="빙그레 메로나체" w:hint="eastAsia"/>
          <w:sz w:val="24"/>
          <w:szCs w:val="24"/>
        </w:rPr>
        <w:t xml:space="preserve"> 판시하였다</w:t>
      </w:r>
      <w:r w:rsidRPr="00A838EC">
        <w:rPr>
          <w:rFonts w:ascii="빙그레 메로나체" w:eastAsia="빙그레 메로나체" w:hAnsi="빙그레 메로나체"/>
          <w:sz w:val="24"/>
          <w:szCs w:val="24"/>
        </w:rPr>
        <w:t>.</w:t>
      </w:r>
    </w:p>
    <w:p w14:paraId="116CF1E9" w14:textId="112ED148" w:rsidR="00E47DAB" w:rsidRDefault="00E47DAB" w:rsidP="00F9134F">
      <w:pPr>
        <w:rPr>
          <w:rFonts w:ascii="빙그레 메로나체" w:eastAsia="빙그레 메로나체" w:hAnsi="빙그레 메로나체"/>
          <w:sz w:val="24"/>
          <w:szCs w:val="24"/>
        </w:rPr>
      </w:pPr>
      <w:r w:rsidRPr="00E47DAB">
        <w:rPr>
          <w:rFonts w:ascii="빙그레 메로나체" w:eastAsia="빙그레 메로나체" w:hAnsi="빙그레 메로나체" w:hint="eastAsia"/>
          <w:sz w:val="24"/>
          <w:szCs w:val="24"/>
        </w:rPr>
        <w:t>피고인들이</w:t>
      </w:r>
      <w:r w:rsidRPr="00E47DAB">
        <w:rPr>
          <w:rFonts w:ascii="빙그레 메로나체" w:eastAsia="빙그레 메로나체" w:hAnsi="빙그레 메로나체"/>
          <w:sz w:val="24"/>
          <w:szCs w:val="24"/>
        </w:rPr>
        <w:t xml:space="preserve"> 사용한 무등산 마크와 태극 마크가 혼합된 표장과 “가"항의 등록 업무표장은 각 그 일 요부를 이루는 태극 마크에 있어서 비록 색상은 다르나 도형 자체는 동일한 것이고, 또한 위 업무표장은 실제 사용시 문자는 생략된 채 태극 마크만을 각인 사용하고 있어 태극 마크를 금반지 등에 각인 사용할 때에는 색상의 차이는 없어지는 점 등 사용의 실태를 고려하면 양 표장은 거래상 오인 혼동의 우려가 있어 유사하다고 볼 수밖에 없다고 하여 업무표장권침해죄를 인</w:t>
      </w:r>
      <w:r w:rsidRPr="00E47DAB">
        <w:rPr>
          <w:rFonts w:ascii="빙그레 메로나체" w:eastAsia="빙그레 메로나체" w:hAnsi="빙그레 메로나체" w:hint="eastAsia"/>
          <w:sz w:val="24"/>
          <w:szCs w:val="24"/>
        </w:rPr>
        <w:t>정</w:t>
      </w:r>
      <w:r w:rsidR="00E34AA0">
        <w:rPr>
          <w:rFonts w:ascii="빙그레 메로나체" w:eastAsia="빙그레 메로나체" w:hAnsi="빙그레 메로나체" w:hint="eastAsia"/>
          <w:sz w:val="24"/>
          <w:szCs w:val="24"/>
        </w:rPr>
        <w:t>했다.</w:t>
      </w:r>
    </w:p>
    <w:p w14:paraId="4C1F6EAD" w14:textId="6CE5D38A" w:rsidR="006B4592" w:rsidRDefault="006B4592" w:rsidP="00F9134F">
      <w:pPr>
        <w:rPr>
          <w:rFonts w:ascii="빙그레 메로나체" w:eastAsia="빙그레 메로나체" w:hAnsi="빙그레 메로나체"/>
          <w:sz w:val="24"/>
          <w:szCs w:val="24"/>
        </w:rPr>
      </w:pPr>
    </w:p>
    <w:p w14:paraId="47F1362A" w14:textId="0742DD5A" w:rsidR="006B4592" w:rsidRDefault="006B4592" w:rsidP="00F9134F">
      <w:pPr>
        <w:rPr>
          <w:rFonts w:ascii="빙그레 메로나체" w:eastAsia="빙그레 메로나체" w:hAnsi="빙그레 메로나체"/>
          <w:sz w:val="24"/>
          <w:szCs w:val="24"/>
        </w:rPr>
      </w:pPr>
      <w:r>
        <w:rPr>
          <w:rFonts w:ascii="빙그레 메로나체" w:eastAsia="빙그레 메로나체" w:hAnsi="빙그레 메로나체"/>
          <w:sz w:val="24"/>
          <w:szCs w:val="24"/>
        </w:rPr>
        <w:t>&lt;</w:t>
      </w:r>
      <w:r w:rsidRPr="006B4592">
        <w:rPr>
          <w:rFonts w:ascii="빙그레 메로나체" w:eastAsia="빙그레 메로나체" w:hAnsi="빙그레 메로나체" w:hint="eastAsia"/>
          <w:sz w:val="24"/>
          <w:szCs w:val="24"/>
        </w:rPr>
        <w:t>특허법원</w:t>
      </w:r>
      <w:r w:rsidRPr="006B4592">
        <w:rPr>
          <w:rFonts w:ascii="빙그레 메로나체" w:eastAsia="빙그레 메로나체" w:hAnsi="빙그레 메로나체"/>
          <w:sz w:val="24"/>
          <w:szCs w:val="24"/>
        </w:rPr>
        <w:t xml:space="preserve"> 2003. 12. 12. 선고 2003허4221 판결</w:t>
      </w:r>
      <w:r>
        <w:rPr>
          <w:rFonts w:ascii="빙그레 메로나체" w:eastAsia="빙그레 메로나체" w:hAnsi="빙그레 메로나체" w:hint="eastAsia"/>
          <w:sz w:val="24"/>
          <w:szCs w:val="24"/>
        </w:rPr>
        <w:t>&gt;</w:t>
      </w:r>
    </w:p>
    <w:p w14:paraId="2B32865C" w14:textId="32B16818" w:rsidR="006B4592" w:rsidRDefault="00B556C8" w:rsidP="00F9134F">
      <w:pPr>
        <w:rPr>
          <w:rFonts w:ascii="빙그레 메로나체" w:eastAsia="빙그레 메로나체" w:hAnsi="빙그레 메로나체"/>
          <w:sz w:val="24"/>
          <w:szCs w:val="24"/>
        </w:rPr>
      </w:pPr>
      <w:r w:rsidRPr="00B556C8">
        <w:rPr>
          <w:rFonts w:ascii="빙그레 메로나체" w:eastAsia="빙그레 메로나체" w:hAnsi="빙그레 메로나체" w:hint="eastAsia"/>
          <w:sz w:val="24"/>
          <w:szCs w:val="24"/>
        </w:rPr>
        <w:t>상표법은</w:t>
      </w:r>
      <w:r w:rsidRPr="00B556C8">
        <w:rPr>
          <w:rFonts w:ascii="빙그레 메로나체" w:eastAsia="빙그레 메로나체" w:hAnsi="빙그레 메로나체"/>
          <w:sz w:val="24"/>
          <w:szCs w:val="24"/>
        </w:rPr>
        <w:t xml:space="preserve"> 사용주의가 아닌 등록주의를 채택하여 상표권은 등록에 의하여 발생하고 실제로 이를 사용한 사실이 있는지 여부는 상표권 발생의 요건이 아니어서, 국내에서 상표/서비스표를 '사용하는 자'는 물론이고 '사용하고자 하는 자'도 자기의 상표/서비스표를 등록받을 수 있지만( 상표법 제3조 본문), 상표/서비스표 등록을 받고자 하는 자는 적어도 '사용하고자 하는' 의사는 있어야만 할 것이고, 사용하고자 하는 의사가 없이 등록된 상표/서비스표는 상표법 제2조에서 말하는 표장, 즉 상표/서비스표에 해당하지 아니하여 이를 등록받을 수 없다고 해석하여야 할 것인바, 상표/서비스표에 대한 사용의사 유무는 상표/서비스표 출원인의 주관적, 내면적인 의지에 의하여만 결정할 것이 아니라 외형적으로 드러나는 사정에 의하여 객관적으로 결정하여야 할 것이다.</w:t>
      </w:r>
    </w:p>
    <w:p w14:paraId="5AF31F6F" w14:textId="3C09C070" w:rsidR="00AB08F8" w:rsidRDefault="00AB08F8" w:rsidP="00F9134F">
      <w:pPr>
        <w:rPr>
          <w:rFonts w:ascii="빙그레 메로나체" w:eastAsia="빙그레 메로나체" w:hAnsi="빙그레 메로나체"/>
          <w:sz w:val="24"/>
          <w:szCs w:val="24"/>
        </w:rPr>
      </w:pPr>
    </w:p>
    <w:p w14:paraId="5D285DBB" w14:textId="7C8E5321" w:rsidR="00AB08F8" w:rsidRDefault="00A66086"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00873D02" w:rsidRPr="00873D02">
        <w:rPr>
          <w:rFonts w:ascii="빙그레 메로나체" w:eastAsia="빙그레 메로나체" w:hAnsi="빙그레 메로나체" w:hint="eastAsia"/>
          <w:sz w:val="24"/>
          <w:szCs w:val="24"/>
        </w:rPr>
        <w:t>대법원</w:t>
      </w:r>
      <w:r w:rsidR="00873D02" w:rsidRPr="00873D02">
        <w:rPr>
          <w:rFonts w:ascii="빙그레 메로나체" w:eastAsia="빙그레 메로나체" w:hAnsi="빙그레 메로나체"/>
          <w:sz w:val="24"/>
          <w:szCs w:val="24"/>
        </w:rPr>
        <w:t xml:space="preserve"> 2014. 10. 15. 선고 2012후3800 판결</w:t>
      </w:r>
      <w:r w:rsidR="00873D02">
        <w:rPr>
          <w:rFonts w:ascii="빙그레 메로나체" w:eastAsia="빙그레 메로나체" w:hAnsi="빙그레 메로나체" w:hint="eastAsia"/>
          <w:sz w:val="24"/>
          <w:szCs w:val="24"/>
        </w:rPr>
        <w:t>&gt;</w:t>
      </w:r>
    </w:p>
    <w:p w14:paraId="7B1822C7" w14:textId="1A2F9AFB" w:rsidR="00873D02" w:rsidRDefault="00873D02" w:rsidP="00F9134F">
      <w:pPr>
        <w:rPr>
          <w:rFonts w:ascii="빙그레 메로나체" w:eastAsia="빙그레 메로나체" w:hAnsi="빙그레 메로나체"/>
          <w:sz w:val="24"/>
          <w:szCs w:val="24"/>
        </w:rPr>
      </w:pPr>
      <w:r w:rsidRPr="00873D02">
        <w:rPr>
          <w:rFonts w:ascii="빙그레 메로나체" w:eastAsia="빙그레 메로나체" w:hAnsi="빙그레 메로나체"/>
          <w:sz w:val="24"/>
          <w:szCs w:val="24"/>
        </w:rPr>
        <w:t xml:space="preserve">상품 등에는 기호·문자·도형 등으로 된 표장이 함께 부착되는 경우가 흔히 있는데, 그러한 사정만으로 곧바로 상품 등의 입체적 형상 자체에 관하여 사용에 의한 식별력 취득을 부정할 수는 없고, 부착되어 있는 표장의 외관·크기·부착 위치·인지도 등을 고려할 때 그 표장과 별도로 상품 등의 입체적 형상이 그 상품의 출처를 표시하는 기능을 독립적으로 </w:t>
      </w:r>
      <w:r w:rsidRPr="00873D02">
        <w:rPr>
          <w:rFonts w:ascii="빙그레 메로나체" w:eastAsia="빙그레 메로나체" w:hAnsi="빙그레 메로나체"/>
          <w:sz w:val="24"/>
          <w:szCs w:val="24"/>
        </w:rPr>
        <w:lastRenderedPageBreak/>
        <w:t>수행하기에 이르렀다면 사용에 의한 식별력 취득을 긍정할 수 있다.</w:t>
      </w:r>
    </w:p>
    <w:p w14:paraId="2F595B76" w14:textId="12169443" w:rsidR="005735D6" w:rsidRDefault="005735D6" w:rsidP="00F9134F">
      <w:pPr>
        <w:rPr>
          <w:rFonts w:ascii="빙그레 메로나체" w:eastAsia="빙그레 메로나체" w:hAnsi="빙그레 메로나체"/>
          <w:sz w:val="24"/>
          <w:szCs w:val="24"/>
        </w:rPr>
      </w:pPr>
    </w:p>
    <w:p w14:paraId="07429261" w14:textId="513C229D" w:rsidR="005735D6" w:rsidRDefault="001E6494" w:rsidP="00F9134F">
      <w:pPr>
        <w:rPr>
          <w:rFonts w:ascii="빙그레 메로나체" w:eastAsia="빙그레 메로나체" w:hAnsi="빙그레 메로나체"/>
          <w:sz w:val="24"/>
          <w:szCs w:val="24"/>
        </w:rPr>
      </w:pPr>
      <w:r>
        <w:rPr>
          <w:rFonts w:ascii="빙그레 메로나체" w:eastAsia="빙그레 메로나체" w:hAnsi="빙그레 메로나체" w:hint="eastAsia"/>
          <w:sz w:val="24"/>
          <w:szCs w:val="24"/>
        </w:rPr>
        <w:t>&lt;</w:t>
      </w:r>
      <w:r w:rsidRPr="001E6494">
        <w:rPr>
          <w:rFonts w:ascii="빙그레 메로나체" w:eastAsia="빙그레 메로나체" w:hAnsi="빙그레 메로나체" w:hint="eastAsia"/>
          <w:sz w:val="24"/>
          <w:szCs w:val="24"/>
        </w:rPr>
        <w:t>대법원</w:t>
      </w:r>
      <w:r w:rsidRPr="001E6494">
        <w:rPr>
          <w:rFonts w:ascii="빙그레 메로나체" w:eastAsia="빙그레 메로나체" w:hAnsi="빙그레 메로나체"/>
          <w:sz w:val="24"/>
          <w:szCs w:val="24"/>
        </w:rPr>
        <w:t xml:space="preserve"> 2012. 12. 20. 선고 2010후2339 전원합의체 판결</w:t>
      </w:r>
      <w:r>
        <w:rPr>
          <w:rFonts w:ascii="빙그레 메로나체" w:eastAsia="빙그레 메로나체" w:hAnsi="빙그레 메로나체" w:hint="eastAsia"/>
          <w:sz w:val="24"/>
          <w:szCs w:val="24"/>
        </w:rPr>
        <w:t>&gt;</w:t>
      </w:r>
    </w:p>
    <w:p w14:paraId="0B08C764" w14:textId="0891FC57" w:rsidR="001E6494" w:rsidRPr="006B4592" w:rsidRDefault="00585418" w:rsidP="00F9134F">
      <w:pPr>
        <w:rPr>
          <w:rFonts w:ascii="빙그레 메로나체" w:eastAsia="빙그레 메로나체" w:hAnsi="빙그레 메로나체" w:hint="eastAsia"/>
          <w:sz w:val="24"/>
          <w:szCs w:val="24"/>
        </w:rPr>
      </w:pPr>
      <w:r w:rsidRPr="00585418">
        <w:rPr>
          <w:rFonts w:ascii="빙그레 메로나체" w:eastAsia="빙그레 메로나체" w:hAnsi="빙그레 메로나체"/>
          <w:sz w:val="24"/>
          <w:szCs w:val="24"/>
        </w:rPr>
        <w:t xml:space="preserve">‘기호·문자·도형 각각 또는 그 결합이 일정한 형상이나 모양을 이루고, 이러한 일정한 형상이나 모양이 지정상품의 특정 위치에 부착되는 것에 의하여 자타상품을 식별하게 되는 표장’도 상표의 한 가지로서 인정될 수 있다(이러한 표장을 이하 ‘위치상표’라고 한다). 위치상표에서는 지정상품에 일정한 형상이나 모양 등이 부착되는 특정 위치를 설명하기 위하여 지정상품의 형상을 표시하는 부분을 필요로 하게 된다. 이때 표장의 전체적인 구성, 표장의 각 부분에 사용된 선의 종류, 지정상품의 종류 및 그 특성 등에 비추어 출원인의 의사가 지정상품의 형상을 표시하는 부분에 대하여는 위와 같은 설명의 의미를 부여한 것뿐임을 쉽사리 알 수 있는 한 이 부분은 위치상표의 표장 자체의 외형을 이루는 도형이 아니라고 파악하여야 한다. 그에 있어서는 출원인이 심사과정 중에 특허청 심사관에게 위와 같은 의사를 의견제출통지에 대한 의견서 제출 등의 방법으로 밝힌 바가 있는지 등의 사정도 고려되어야 할 것이다. 한편 현재 우리나라에서 </w:t>
      </w:r>
      <w:r w:rsidRPr="00585418">
        <w:rPr>
          <w:rFonts w:ascii="빙그레 메로나체" w:eastAsia="빙그레 메로나체" w:hAnsi="빙그레 메로나체" w:hint="eastAsia"/>
          <w:sz w:val="24"/>
          <w:szCs w:val="24"/>
        </w:rPr>
        <w:t>상표의</w:t>
      </w:r>
      <w:r w:rsidRPr="00585418">
        <w:rPr>
          <w:rFonts w:ascii="빙그레 메로나체" w:eastAsia="빙그레 메로나체" w:hAnsi="빙그레 메로나체"/>
          <w:sz w:val="24"/>
          <w:szCs w:val="24"/>
        </w:rPr>
        <w:t xml:space="preserve"> 출원 및 그 심사의 과정에서 출원인이 위치상표라는 취지를 별도로 밝히는 상표설명서를 제출하는 절차 또는 위 지정상품의 형상 표시는 상표권이 행사되지 아니하는 부분임을 미리 밝히는 권리불요구절차 등에 관한 규정이 마련되어 있지 아니하다는 사유는 위와 같은 위치상표의 인정에 방해가 되지 아니한다고 할 것이다. 또한 위치상표는 비록 일정한 형상이나 모양 등이 그 자체로는 식별력을 가지지 아니하더라도 지정상품의 특정 위치에 부착되어 사용됨으로써 당해 상품</w:t>
      </w:r>
      <w:r w:rsidRPr="00585418">
        <w:rPr>
          <w:rFonts w:ascii="빙그레 메로나체" w:eastAsia="빙그레 메로나체" w:hAnsi="빙그레 메로나체" w:hint="eastAsia"/>
          <w:sz w:val="24"/>
          <w:szCs w:val="24"/>
        </w:rPr>
        <w:t>에</w:t>
      </w:r>
      <w:r w:rsidRPr="00585418">
        <w:rPr>
          <w:rFonts w:ascii="빙그레 메로나체" w:eastAsia="빙그레 메로나체" w:hAnsi="빙그레 메로나체"/>
          <w:sz w:val="24"/>
          <w:szCs w:val="24"/>
        </w:rPr>
        <w:t xml:space="preserve"> 대한 거래자 및 수요자 대다수에게 특정인의 상품을 표시하는 것으로 인식되</w:t>
      </w:r>
      <w:r w:rsidR="007D339A" w:rsidRPr="007D339A">
        <w:rPr>
          <w:rFonts w:ascii="빙그레 메로나체" w:eastAsia="빙그레 메로나체" w:hAnsi="빙그레 메로나체" w:hint="eastAsia"/>
          <w:sz w:val="24"/>
          <w:szCs w:val="24"/>
        </w:rPr>
        <w:t>기에</w:t>
      </w:r>
      <w:r w:rsidR="007D339A" w:rsidRPr="007D339A">
        <w:rPr>
          <w:rFonts w:ascii="빙그레 메로나체" w:eastAsia="빙그레 메로나체" w:hAnsi="빙그레 메로나체"/>
          <w:sz w:val="24"/>
          <w:szCs w:val="24"/>
        </w:rPr>
        <w:t xml:space="preserve"> 이르렀다면, 사용에 의한 식별력을 취득한 것으로 인정받아 상표로서 등록될 수 있다.</w:t>
      </w:r>
    </w:p>
    <w:sectPr w:rsidR="001E6494" w:rsidRPr="006B45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빙그레 메로나체">
    <w:panose1 w:val="020B0503000000000000"/>
    <w:charset w:val="81"/>
    <w:family w:val="swiss"/>
    <w:notTrueType/>
    <w:pitch w:val="variable"/>
    <w:sig w:usb0="800002A7" w:usb1="29D7FCFB" w:usb2="00000010"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7B"/>
    <w:rsid w:val="00000606"/>
    <w:rsid w:val="00094354"/>
    <w:rsid w:val="000D3EF7"/>
    <w:rsid w:val="00104795"/>
    <w:rsid w:val="00154BCC"/>
    <w:rsid w:val="001C478B"/>
    <w:rsid w:val="001E6494"/>
    <w:rsid w:val="0020021E"/>
    <w:rsid w:val="00235105"/>
    <w:rsid w:val="002675AA"/>
    <w:rsid w:val="00316916"/>
    <w:rsid w:val="00383F45"/>
    <w:rsid w:val="003D52D9"/>
    <w:rsid w:val="004144D8"/>
    <w:rsid w:val="00447287"/>
    <w:rsid w:val="00487EF0"/>
    <w:rsid w:val="004971EE"/>
    <w:rsid w:val="0050327B"/>
    <w:rsid w:val="005735D6"/>
    <w:rsid w:val="00585418"/>
    <w:rsid w:val="00630FF3"/>
    <w:rsid w:val="006823DD"/>
    <w:rsid w:val="006B4592"/>
    <w:rsid w:val="00796CB1"/>
    <w:rsid w:val="007D339A"/>
    <w:rsid w:val="00834405"/>
    <w:rsid w:val="00873D02"/>
    <w:rsid w:val="00911711"/>
    <w:rsid w:val="0094729F"/>
    <w:rsid w:val="009875FD"/>
    <w:rsid w:val="009A55CA"/>
    <w:rsid w:val="009D550C"/>
    <w:rsid w:val="00A66086"/>
    <w:rsid w:val="00A838EC"/>
    <w:rsid w:val="00AB08F8"/>
    <w:rsid w:val="00B43C29"/>
    <w:rsid w:val="00B556C8"/>
    <w:rsid w:val="00B672EF"/>
    <w:rsid w:val="00BF3A06"/>
    <w:rsid w:val="00C17B18"/>
    <w:rsid w:val="00C550BC"/>
    <w:rsid w:val="00CB755B"/>
    <w:rsid w:val="00D0705F"/>
    <w:rsid w:val="00D177C0"/>
    <w:rsid w:val="00D47CA4"/>
    <w:rsid w:val="00DD0203"/>
    <w:rsid w:val="00DF2EC1"/>
    <w:rsid w:val="00E34AA0"/>
    <w:rsid w:val="00E47DAB"/>
    <w:rsid w:val="00E75A06"/>
    <w:rsid w:val="00EE514F"/>
    <w:rsid w:val="00F02938"/>
    <w:rsid w:val="00F139EA"/>
    <w:rsid w:val="00F913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F172"/>
  <w15:chartTrackingRefBased/>
  <w15:docId w15:val="{99C2D5A3-25F5-4A8F-8381-EDE140D0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Woo-sol</dc:creator>
  <cp:keywords/>
  <dc:description/>
  <cp:lastModifiedBy>Lee Woo-sol</cp:lastModifiedBy>
  <cp:revision>55</cp:revision>
  <dcterms:created xsi:type="dcterms:W3CDTF">2021-01-25T01:40:00Z</dcterms:created>
  <dcterms:modified xsi:type="dcterms:W3CDTF">2021-02-02T12:10:00Z</dcterms:modified>
</cp:coreProperties>
</file>