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AEAE" w14:textId="589E9485" w:rsidR="00AA1402" w:rsidRPr="00B9706D" w:rsidRDefault="00B9706D" w:rsidP="00B9706D">
      <w:r w:rsidRPr="00B9706D">
        <w:rPr>
          <w:lang w:val="es-MX"/>
        </w:rPr>
        <w:t>Al momento del envío del informe no se ha iniciado la formación del segundo trimestre por tanto no se ha dado a conocer el reglamento del aprendiz.</w:t>
      </w:r>
    </w:p>
    <w:sectPr w:rsidR="00AA1402" w:rsidRPr="00B97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9A"/>
    <w:rsid w:val="00766B9A"/>
    <w:rsid w:val="00AA1402"/>
    <w:rsid w:val="00B9706D"/>
    <w:rsid w:val="00C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B7B3"/>
  <w15:chartTrackingRefBased/>
  <w15:docId w15:val="{60241ED7-76B9-4FCB-BFD3-B9697D6F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3</cp:revision>
  <cp:lastPrinted>2023-04-11T20:35:00Z</cp:lastPrinted>
  <dcterms:created xsi:type="dcterms:W3CDTF">2023-04-11T20:41:00Z</dcterms:created>
  <dcterms:modified xsi:type="dcterms:W3CDTF">2023-04-11T20:41:00Z</dcterms:modified>
</cp:coreProperties>
</file>