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3AFAF" w14:textId="7665143F" w:rsidR="0099485A" w:rsidRDefault="003553B1">
      <w:pPr>
        <w:rPr>
          <w:lang w:val="es-MX"/>
        </w:rPr>
      </w:pPr>
      <w:r>
        <w:rPr>
          <w:lang w:val="es-MX"/>
        </w:rPr>
        <w:t>Plan de Trabajo</w:t>
      </w:r>
    </w:p>
    <w:p w14:paraId="58D98693" w14:textId="15904828" w:rsidR="003553B1" w:rsidRPr="003553B1" w:rsidRDefault="003553B1" w:rsidP="003553B1">
      <w:pPr>
        <w:jc w:val="both"/>
        <w:rPr>
          <w:lang w:val="es-MX"/>
        </w:rPr>
      </w:pPr>
      <w:r>
        <w:rPr>
          <w:lang w:val="es-MX"/>
        </w:rPr>
        <w:t>El plan de trabajo no se ha realizado porque a la fecha de generación del informe se realiza alistamiento, y el Sena no ha iniciado la formación del tercer trimestre</w:t>
      </w:r>
      <w:r w:rsidR="004E7F7D">
        <w:rPr>
          <w:lang w:val="es-MX"/>
        </w:rPr>
        <w:t xml:space="preserve"> el cual</w:t>
      </w:r>
      <w:r>
        <w:rPr>
          <w:lang w:val="es-MX"/>
        </w:rPr>
        <w:t xml:space="preserve"> inicia el 17 de julio de 2023</w:t>
      </w:r>
      <w:r w:rsidR="004E7F7D">
        <w:rPr>
          <w:lang w:val="es-MX"/>
        </w:rPr>
        <w:t>.</w:t>
      </w:r>
    </w:p>
    <w:sectPr w:rsidR="003553B1" w:rsidRPr="003553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3B1"/>
    <w:rsid w:val="003553B1"/>
    <w:rsid w:val="004E7F7D"/>
    <w:rsid w:val="0099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4BABC"/>
  <w15:chartTrackingRefBased/>
  <w15:docId w15:val="{7482FA21-34BE-4A15-A6DB-1C224F895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</dc:creator>
  <cp:keywords/>
  <dc:description/>
  <cp:lastModifiedBy>TP</cp:lastModifiedBy>
  <cp:revision>2</cp:revision>
  <dcterms:created xsi:type="dcterms:W3CDTF">2023-07-10T14:05:00Z</dcterms:created>
  <dcterms:modified xsi:type="dcterms:W3CDTF">2023-07-10T14:44:00Z</dcterms:modified>
</cp:coreProperties>
</file>