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Annex A — Legal Analysis and Draft Bill Language</w:t>
      </w:r>
    </w:p>
    <w:p>
      <w:r>
        <w:rPr>
          <w:b/>
        </w:rPr>
        <w:t>Companion to:</w:t>
      </w:r>
      <w:r>
        <w:t xml:space="preserve"> JLC Legislative Change Brief — Military Service Credit Cost Window </w:t>
      </w:r>
      <w:r>
        <w:rPr>
          <w:b/>
        </w:rPr>
        <w:t>Prepared for:</w:t>
      </w:r>
      <w:r>
        <w:t xml:space="preserve"> JLCVSO, for transmittal to the Division of Legislative Services </w:t>
      </w:r>
      <w:r>
        <w:rPr>
          <w:b/>
        </w:rPr>
        <w:t>Date:</w:t>
      </w:r>
      <w:r>
        <w:t xml:space="preserve"> October 24, 2026 | </w:t>
      </w:r>
      <w:r>
        <w:rPr>
          <w:b/>
        </w:rPr>
        <w:t>Version:</w:t>
      </w:r>
      <w:r>
        <w:t xml:space="preserve"> v1.1 </w:t>
      </w:r>
      <w:r>
        <w:rPr>
          <w:b/>
        </w:rPr>
        <w:t>Review status:</w:t>
      </w:r>
      <w:r>
        <w:t xml:space="preserve"> Draft. Not reviewed by VRS counsel, VRS actuaries, or Legislative Services.</w:t>
      </w:r>
    </w:p>
    <w:p>
      <w:pPr>
        <w:spacing w:before="120" w:after="120"/>
        <w:ind w:left="480"/>
      </w:pPr>
      <w:r>
        <w:rPr>
          <w:i/>
          <w:color w:val="444444"/>
          <w:sz w:val="20"/>
        </w:rPr>
        <w:t xml:space="preserve">This annex is precise legal-policy prose intended for conversion into bill language by the Division of Legislative Services. The draft in § 2 is drafting-ready but is </w:t>
      </w:r>
      <w:r>
        <w:rPr>
          <w:b/>
          <w:i/>
          <w:color w:val="444444"/>
          <w:sz w:val="20"/>
        </w:rPr>
        <w:t>not</w:t>
      </w:r>
      <w:r>
        <w:rPr>
          <w:i/>
          <w:color w:val="444444"/>
          <w:sz w:val="20"/>
        </w:rPr>
        <w:t xml:space="preserve"> represented as final enrolled statutory text.</w:t>
      </w:r>
    </w:p>
    <w:p>
      <w:pPr>
        <w:spacing w:before="120" w:after="120"/>
        <w:ind w:left="480"/>
      </w:pPr>
      <w:r>
        <w:rPr>
          <w:b/>
          <w:i/>
          <w:color w:val="444444"/>
          <w:sz w:val="20"/>
        </w:rPr>
        <w:t>v1.1 change log (October 24, 2026).</w:t>
      </w:r>
      <w:r>
        <w:rPr>
          <w:i/>
          <w:color w:val="444444"/>
          <w:sz w:val="20"/>
        </w:rPr>
        <w:t xml:space="preserve"> Two drafting changes, both for Legislative Services, both arising from Annex 2 Closure FM-3 and FM-4:</w:t>
      </w:r>
    </w:p>
    <w:p>
      <w:pPr>
        <w:spacing w:after="60"/>
        <w:ind w:left="912" w:hanging="432"/>
      </w:pPr>
      <w:r>
        <w:rPr>
          <w:b/>
        </w:rPr>
        <w:t>1.</w:t>
        <w:tab/>
      </w:r>
      <w:r>
        <w:rPr>
          <w:b/>
        </w:rPr>
        <w:t xml:space="preserve">The Board's rate-schedule authority in § 2.2 is widened from attained age alone to age </w:t>
      </w:r>
      <w:r>
        <w:rPr>
          <w:b/>
          <w:i/>
        </w:rPr>
        <w:t>and</w:t>
      </w:r>
      <w:r>
        <w:rPr>
          <w:b/>
        </w:rPr>
        <w:t xml:space="preserve"> creditable service</w:t>
      </w:r>
      <w:r>
        <w:t xml:space="preserve"> — equivalently, distance from unreduced eligibility — with the amount of service purchased added as a factor, a publication-and-uniformity requirement, an actuarial-equivalent-cost ceiling, and an express no-spillover sentence confining the schedule to subdivision B 2. Rationale and the fiscal arithmetic are in § 5.1; the counsel analysis of the widened phrase is new § 2.5. This resolves the package's internal inconsistency: the brief (01, v1.2) and the one-pager (00) already describe the guardrail as varying by age and length of service.</w:t>
      </w:r>
    </w:p>
    <w:p>
      <w:pPr>
        <w:spacing w:after="60"/>
        <w:ind w:left="912" w:hanging="432"/>
      </w:pPr>
      <w:r>
        <w:rPr>
          <w:b/>
        </w:rPr>
        <w:t>2.</w:t>
        <w:tab/>
      </w:r>
      <w:r>
        <w:rPr>
          <w:b/>
        </w:rPr>
        <w:t>The alternate hazardous duty option is addressed.</w:t>
      </w:r>
      <w:r>
        <w:t xml:space="preserve"> The 10.01% rate is published as a stand-alone rate with no plan column, so "the approximate normal cost of the retirement plan under which the member is covered" may not reach it. Handled for subdivision B 2 purchases by factor (v) of the widened schedule authority; the pre-existing ambiguity for other purchase categories is deliberately </w:t>
      </w:r>
      <w:r>
        <w:rPr>
          <w:b/>
        </w:rPr>
        <w:t>not</w:t>
      </w:r>
      <w:r>
        <w:t xml:space="preserve"> touched. See § 2.6 and Q13–Q14.</w:t>
      </w:r>
    </w:p>
    <w:p>
      <w:pPr>
        <w:jc w:val="center"/>
      </w:pPr>
      <w:r>
        <w:rPr>
          <w:color w:val="909090"/>
          <w:sz w:val="18"/>
        </w:rPr>
        <w:t>* * *</w:t>
      </w:r>
    </w:p>
    <w:p>
      <w:pPr>
        <w:pStyle w:val="Heading2"/>
      </w:pPr>
      <w:r>
        <w:t>1. The proposal in one precise sentence</w:t>
      </w:r>
    </w:p>
    <w:p>
      <w:r>
        <w:t xml:space="preserve">Amend § 51.1-142.2 B 3 of the Code of Virginia so that the conversion from approximate normal cost to actuarial equivalent cost triggered by the lapse of 24 months of active service </w:t>
      </w:r>
      <w:r>
        <w:rPr>
          <w:b/>
        </w:rPr>
        <w:t>does not apply to service credit purchased for prior active duty military service under § 51.1-142.2 B 2</w:t>
      </w:r>
      <w:r>
        <w:t xml:space="preserve">, authorize purchase payment agreements of up to 60 months for such purchases, and grant the Board express authority to adopt, for such purchases only, a </w:t>
      </w:r>
      <w:r>
        <w:rPr>
          <w:b/>
        </w:rPr>
        <w:t>graded approximate normal cost schedule varying by the member's age and creditable service</w:t>
      </w:r>
      <w:r>
        <w:t xml:space="preserve"> — equivalently, by the member's distance from eligibility for an unreduced service retirement allowance — together with a pre-retirement completion deadline.</w:t>
      </w:r>
    </w:p>
    <w:p>
      <w:r>
        <w:rPr>
          <w:b/>
        </w:rPr>
        <w:t>Nothing else in Title 51.1 is amended. No new defined term is created.</w:t>
      </w:r>
    </w:p>
    <w:p>
      <w:pPr>
        <w:jc w:val="center"/>
      </w:pPr>
      <w:r>
        <w:rPr>
          <w:color w:val="909090"/>
          <w:sz w:val="18"/>
        </w:rPr>
        <w:t>* * *</w:t>
      </w:r>
    </w:p>
    <w:p>
      <w:pPr>
        <w:pStyle w:val="Heading2"/>
      </w:pPr>
      <w:r>
        <w:t>2. Draft bill language</w:t>
      </w:r>
    </w:p>
    <w:p>
      <w:pPr>
        <w:pStyle w:val="Heading3"/>
      </w:pPr>
      <w:r>
        <w:t>2.1 Title and enacting clause</w:t>
      </w:r>
    </w:p>
    <w:p>
      <w:pPr>
        <w:spacing w:before="120" w:after="120"/>
        <w:ind w:left="480"/>
      </w:pPr>
      <w:r>
        <w:rPr>
          <w:b/>
          <w:i/>
          <w:color w:val="444444"/>
          <w:sz w:val="20"/>
        </w:rPr>
        <w:t>A BILL to amend and reenact § 51.1-142.2 of the Code of Virginia, relating to the Virginia Retirement System; purchase of prior service credit; prior active duty military service; cost.</w:t>
      </w:r>
    </w:p>
    <w:p>
      <w:pPr>
        <w:spacing w:before="120" w:after="120"/>
        <w:ind w:left="480"/>
      </w:pPr>
      <w:r>
        <w:rPr>
          <w:i/>
          <w:color w:val="444444"/>
          <w:sz w:val="20"/>
        </w:rPr>
        <w:t>Be it enacted by the General Assembly of Virginia:</w:t>
      </w:r>
    </w:p>
    <w:p>
      <w:pPr>
        <w:spacing w:after="60"/>
        <w:ind w:left="912" w:hanging="432"/>
      </w:pPr>
      <w:r>
        <w:rPr>
          <w:b/>
        </w:rPr>
        <w:t>1.</w:t>
        <w:tab/>
      </w:r>
      <w:r>
        <w:t>That § 51.1-142.2 of the Code of Virginia is amended and reenacted as follows:</w:t>
      </w:r>
    </w:p>
    <w:p>
      <w:pPr>
        <w:pStyle w:val="Heading3"/>
      </w:pPr>
      <w:r>
        <w:t>2.2 Amendment to § 51.1-142.2 B 3</w:t>
      </w:r>
    </w:p>
    <w:p>
      <w:r>
        <w:t xml:space="preserve">Current text of the second paragraph of subdivision B 3, with proposed changes shown (new language in </w:t>
      </w:r>
      <w:r>
        <w:rPr>
          <w:b/>
        </w:rPr>
        <w:t>bold</w:t>
      </w:r>
      <w:r>
        <w:t>; no language is stricken):</w:t>
      </w:r>
    </w:p>
    <w:p>
      <w:pPr>
        <w:spacing w:before="120" w:after="120"/>
        <w:ind w:left="480"/>
      </w:pPr>
      <w:r>
        <w:rPr>
          <w:i/>
          <w:color w:val="444444"/>
          <w:sz w:val="20"/>
        </w:rPr>
        <w:t xml:space="preserve">For each year or portion thereof to be credited at the time of purchase under this subsection, the member shall pay the approximate normal cost of the retirement plan under which the member is covered at the time of such purchase, as determined by the Board in its sole discretion. If the member does not purchase, or enter into a purchase of service credit contract for, the service made available in this subsection within the first 24 months of the member's active service following his first date of hire or the final day of any applicable leave of absence, as applicable, then, for each year or portion thereof to be credited at the time of purchase, the member shall pay the actuarial equivalent cost. </w:t>
      </w:r>
      <w:r>
        <w:rPr>
          <w:b/>
          <w:i/>
          <w:color w:val="444444"/>
          <w:sz w:val="20"/>
        </w:rPr>
        <w:t>The preceding sentence shall not apply to service credit purchased pursuant to subdivision 2. Any member in service may purchase service credit for prior active duty military service pursuant to subdivision 2 at the approximate normal cost of the retirement plan under which the member is covered at the time of such purchase, without regard to the time elapsed since his first date of hire or the final day of any applicable leave of absence. The Board may, in its sole discretion, determine the approximate normal cost applicable to purchases under subdivision 2 pursuant to a schedule of rates that varies according to (i) the member's attained age at the time of purchase; (ii) the amount of creditable service standing to the member's credit at the time of purchase, the period remaining until the date on which the member would first become eligible for an unreduced service retirement allowance, or both; (iii) the amount of service credit to be purchased; (iv) the retirement plan under which the member is covered; and (v) the member's position type and the benefit coverage applicable to the member's position, including any of the benefits permitted by § 51.1-138 that the member's employer has elected to provide. Any schedule of rates adopted pursuant to this paragraph shall be published by the Board, shall apply uniformly to all members within the same classification under the schedule, and shall not require payment of an amount exceeding the actuarial equivalent cost of the service credit purchased. Any such schedule shall apply only to purchases pursuant to subdivision 2, and the approximate normal cost applicable to any other purchase under this section shall be determined without regard to any such schedule. The Board may require that any purchase pursuant to subdivision 2 be completed not fewer than 12 months prior to the member's effective date of retirement.</w:t>
      </w:r>
      <w:r>
        <w:rPr>
          <w:i/>
          <w:color w:val="444444"/>
          <w:sz w:val="20"/>
        </w:rPr>
        <w:t xml:space="preserve"> To the extent the member becomes inactive during the 24 months following his first date of hire or the final day of any applicable leave of absence, such periods shall not be included in the 24 months of active service.</w:t>
      </w:r>
    </w:p>
    <w:p>
      <w:pPr>
        <w:pStyle w:val="Heading3"/>
      </w:pPr>
      <w:r>
        <w:t>2.3 Amendment to § 51.1-142.2 F (payment agreements)</w:t>
      </w:r>
    </w:p>
    <w:p>
      <w:r>
        <w:t>Add at the end of subsection F:</w:t>
      </w:r>
    </w:p>
    <w:p>
      <w:pPr>
        <w:spacing w:before="120" w:after="120"/>
        <w:ind w:left="480"/>
      </w:pPr>
      <w:r>
        <w:rPr>
          <w:b/>
          <w:i/>
          <w:color w:val="444444"/>
          <w:sz w:val="20"/>
        </w:rPr>
        <w:t>Notwithstanding any other provision of this section or any policy of the Board limiting the duration of a purchase of service credit contract, a purchase of service credit contract for service purchased pursuant to subdivision B 2 may provide for payment by payroll deduction over a period of up to 60 months.</w:t>
      </w:r>
    </w:p>
    <w:p>
      <w:pPr>
        <w:pStyle w:val="Heading3"/>
      </w:pPr>
      <w:r>
        <w:t>2.4 Subsequent enactment clauses</w:t>
      </w:r>
    </w:p>
    <w:p>
      <w:pPr>
        <w:spacing w:after="60"/>
        <w:ind w:left="912" w:hanging="432"/>
      </w:pPr>
      <w:r>
        <w:rPr>
          <w:b/>
        </w:rPr>
        <w:t>2.</w:t>
        <w:tab/>
      </w:r>
      <w:r>
        <w:t>That nothing in this act shall be construed to alter (i) the categories of service that may be purchased under subdivision B 1 of § 51.1-142.2 or the aggregate four-year limit applicable thereto; (ii) the four-year limit on the purchase of prior active duty military service under subdivision B 2 of § 51.1-142.2; (iii) the cost or timing of any purchase authorized under subsection C, D, E, or H of § 51.1-142.2; (iv) the no-cost service credit available under subsection I of § 51.1-142.2; (v) the eligibility requirements for, or the computation of, a partial lump-sum option payment under § 51.1-165.01; or (vi) the prohibition in subdivision B 3 of § 51.1-142.2 on purchasing service credit that is included in the calculation of any retirement allowance received or to be received from this or another retirement system, except as otherwise required by Chapter 1223 of Title 10 of the United States Code, as amended.</w:t>
      </w:r>
    </w:p>
    <w:p>
      <w:pPr>
        <w:spacing w:after="60"/>
        <w:ind w:left="912" w:hanging="432"/>
      </w:pPr>
      <w:r>
        <w:rPr>
          <w:b/>
        </w:rPr>
        <w:t>3.</w:t>
        <w:tab/>
      </w:r>
      <w:r>
        <w:t>That the Virginia Retirement System shall reflect the cost of the provisions of this act in the employer contribution rates determined pursuant to § 51.1-145.</w:t>
      </w:r>
    </w:p>
    <w:p>
      <w:pPr>
        <w:spacing w:after="60"/>
        <w:ind w:left="912" w:hanging="432"/>
      </w:pPr>
      <w:r>
        <w:rPr>
          <w:b/>
        </w:rPr>
        <w:t>4.</w:t>
        <w:tab/>
      </w:r>
      <w:r>
        <w:t>That the provisions of this act shall become effective on July 1, 2027.</w:t>
      </w:r>
    </w:p>
    <w:p>
      <w:r>
        <w:rPr>
          <w:b/>
        </w:rPr>
        <w:t>Drafting notes for Legislative Services:</w:t>
      </w:r>
    </w:p>
    <w:p>
      <w:pPr>
        <w:pStyle w:val="ListBullet"/>
      </w:pPr>
      <w:r>
        <w:t>Enactment clause 2 is belt-and-suspenders. Legislative Services may conclude it is unnecessary because the amendment is confined to the pricing sentence. JLCVSO's preference is to retain it, because a visible no-spillover clause shortens the VRS Board's policy analysis under § 30-19.1:7 and forecloses the argument that the bill silently expands anything.</w:t>
      </w:r>
    </w:p>
    <w:p>
      <w:pPr>
        <w:pStyle w:val="ListBullet"/>
      </w:pPr>
      <w:r>
        <w:t>Enactment clause 3 should be confirmed with Legislative Services. VRS already funds benefit costs through § 51.1-145 employer rates, so the clause may be redundant; if it is, strike it rather than risk implying a new funding mechanism.</w:t>
      </w:r>
    </w:p>
    <w:p>
      <w:pPr>
        <w:pStyle w:val="ListBullet"/>
      </w:pPr>
      <w:r>
        <w:t xml:space="preserve">The phrase "without regard to the time elapsed since his first date of hire </w:t>
      </w:r>
      <w:r>
        <w:rPr>
          <w:b/>
        </w:rPr>
        <w:t>or the final day of any applicable leave of absence</w:t>
      </w:r>
      <w:r>
        <w:t>" is included because the existing 24-month trigger has two alternative start points. Carrying both forward avoids an argument that the carve-out addresses only the hire-date branch.</w:t>
      </w:r>
    </w:p>
    <w:p>
      <w:pPr>
        <w:pStyle w:val="ListBullet"/>
      </w:pPr>
      <w:r>
        <w:t>Retain the final sentence of the paragraph ("To the extent the member becomes inactive…") unchanged. It still governs subdivision B 1 purchases.</w:t>
      </w:r>
    </w:p>
    <w:p>
      <w:pPr>
        <w:pStyle w:val="ListBullet"/>
      </w:pPr>
      <w:r>
        <w:t xml:space="preserve">The schedule-authority sentence deliberately uses a </w:t>
      </w:r>
      <w:r>
        <w:rPr>
          <w:b/>
        </w:rPr>
        <w:t>closed list of five factors</w:t>
      </w:r>
      <w:r>
        <w:t>. A residual clause ("and such other factors as the Board determines to be actuarially relevant") was considered and rejected: the two factors that drive the exposure are already named, and an open-ended list converts a published class rate into something indistinguishable from individualised actuarial pricing, which is the thing veterans are being promised they will not face.</w:t>
      </w:r>
    </w:p>
    <w:p>
      <w:pPr>
        <w:pStyle w:val="ListBullet"/>
      </w:pPr>
      <w:r>
        <w:t xml:space="preserve">The three constraints in the second sentence — </w:t>
      </w:r>
      <w:r>
        <w:rPr>
          <w:b/>
        </w:rPr>
        <w:t>publication, uniformity within classification, and an actuarial-equivalent-cost ceiling</w:t>
      </w:r>
      <w:r>
        <w:t xml:space="preserve"> — are the price of the widened authority, not decoration. They are what allows JLCVSO to tell a veteran that the rate is knowable in advance and capped. Legislative Services should not strike them as surplusage.</w:t>
      </w:r>
    </w:p>
    <w:p>
      <w:pPr>
        <w:pStyle w:val="ListBullet"/>
      </w:pPr>
      <w:r>
        <w:t>Factor (iii), the amount of service credit to be purchased, works with the paragraph's existing per-year structure ("For each year or portion thereof to be credited at the time of purchase, the member shall pay…"). The Board may therefore price the year that carries a member across an eligibility threshold differently from the earlier years in the same purchase. This is already contemplated by the existing sentence; no further language is needed.</w:t>
      </w:r>
    </w:p>
    <w:p>
      <w:pPr>
        <w:pStyle w:val="Heading3"/>
      </w:pPr>
      <w:r>
        <w:t>2.5 Counsel analysis of the widened phrase ("age" → "age and creditable service")</w:t>
      </w:r>
    </w:p>
    <w:p>
      <w:r>
        <w:t xml:space="preserve">This is the highest-leverage edit in the package and it needs to be understood as a </w:t>
      </w:r>
      <w:r>
        <w:rPr>
          <w:b/>
        </w:rPr>
        <w:t>drafting</w:t>
      </w:r>
      <w:r>
        <w:t xml:space="preserve"> change, not a policy change. The authority remains a published schedule of approximate normal cost rates set by the Board in its sole discretion. What changes is the set of variables the schedule may be graded on.</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Question</w:t>
            </w:r>
          </w:p>
        </w:tc>
        <w:tc>
          <w:tcPr>
            <w:tcW w:type="dxa" w:w="4320"/>
          </w:tcPr>
          <w:p>
            <w:pPr>
              <w:spacing w:before="20" w:after="20"/>
              <w:jc w:val="left"/>
            </w:pPr>
            <w:r>
              <w:rPr>
                <w:b/>
                <w:sz w:val="17"/>
              </w:rPr>
              <w:t>Answer</w:t>
            </w:r>
          </w:p>
        </w:tc>
      </w:tr>
      <w:tr>
        <w:tc>
          <w:tcPr>
            <w:tcW w:type="dxa" w:w="4320"/>
          </w:tcPr>
          <w:p>
            <w:pPr>
              <w:spacing w:before="20" w:after="20"/>
              <w:jc w:val="left"/>
            </w:pPr>
            <w:r>
              <w:rPr>
                <w:b/>
                <w:sz w:val="17"/>
              </w:rPr>
              <w:t>Does "creditable service" here carry its § 51.1-124.3 meaning?</w:t>
            </w:r>
          </w:p>
        </w:tc>
        <w:tc>
          <w:tcPr>
            <w:tcW w:type="dxa" w:w="4320"/>
          </w:tcPr>
          <w:p>
            <w:pPr>
              <w:spacing w:before="20" w:after="20"/>
              <w:jc w:val="left"/>
            </w:pPr>
            <w:r>
              <w:rPr>
                <w:sz w:val="17"/>
              </w:rPr>
              <w:t>Yes, and that is intended. § 51.1-124.3 defines creditable service as "prior service as set forth in § 51.1-142.2 plus membership service for which credit is allowable," so the measure picks up previously purchased prior service as well as worked service. That is the correct risk measure, because § 51.1-153's unreduced-eligibility thresholds are themselves written in creditable service. No new defined term is created.</w:t>
            </w:r>
          </w:p>
        </w:tc>
      </w:tr>
      <w:tr>
        <w:tc>
          <w:tcPr>
            <w:tcW w:type="dxa" w:w="4320"/>
          </w:tcPr>
          <w:p>
            <w:pPr>
              <w:spacing w:before="20" w:after="20"/>
              <w:jc w:val="left"/>
            </w:pPr>
            <w:r>
              <w:rPr>
                <w:b/>
                <w:sz w:val="17"/>
              </w:rPr>
              <w:t>Why is "distance from unreduced eligibility" offered as an alternative rather than the sole measure?</w:t>
            </w:r>
          </w:p>
        </w:tc>
        <w:tc>
          <w:tcPr>
            <w:tcW w:type="dxa" w:w="4320"/>
          </w:tcPr>
          <w:p>
            <w:pPr>
              <w:spacing w:before="20" w:after="20"/>
              <w:jc w:val="left"/>
            </w:pPr>
            <w:r>
              <w:rPr>
                <w:sz w:val="17"/>
              </w:rPr>
              <w:t xml:space="preserve">Because it is a </w:t>
            </w:r>
            <w:r>
              <w:rPr>
                <w:i/>
                <w:sz w:val="17"/>
              </w:rPr>
              <w:t>function</w:t>
            </w:r>
            <w:r>
              <w:rPr>
                <w:sz w:val="17"/>
              </w:rPr>
              <w:t xml:space="preserve"> of age and creditable service under the thresholds in § 51.1-153 — the two formulations are equivalent in substance (Annex 2 Closure FM-4 § 4.8, Guardrail A′). Naming both lets the Board adopt whichever is administratively simpler without a second bill, and avoids a challenge that one formulation exceeds the grant.</w:t>
            </w:r>
          </w:p>
        </w:tc>
      </w:tr>
      <w:tr>
        <w:tc>
          <w:tcPr>
            <w:tcW w:type="dxa" w:w="4320"/>
          </w:tcPr>
          <w:p>
            <w:pPr>
              <w:spacing w:before="20" w:after="20"/>
              <w:jc w:val="left"/>
            </w:pPr>
            <w:r>
              <w:rPr>
                <w:b/>
                <w:sz w:val="17"/>
              </w:rPr>
              <w:t>Does "unreduced service retirement allowance" create a new defined term?</w:t>
            </w:r>
          </w:p>
        </w:tc>
        <w:tc>
          <w:tcPr>
            <w:tcW w:type="dxa" w:w="4320"/>
          </w:tcPr>
          <w:p>
            <w:pPr>
              <w:spacing w:before="20" w:after="20"/>
              <w:jc w:val="left"/>
            </w:pPr>
            <w:r>
              <w:rPr>
                <w:sz w:val="17"/>
              </w:rPr>
              <w:t xml:space="preserve">No. The phrase is already used in § 51.1-165.01 B ("first eligible for an unreduced service retirement allowance") without further definition, and the General Assembly has accepted it there as self-executing. It resolves correctly across cohorts because the underlying pathways are plan-specific: § 51.1-153 A (normal retirement date, which is Social Security retirement age for post-July 1, 2010 members), § 51.1-153 B 2 (Plan 1, age 50 with 30 years), and § 51.1-153 B 3 (Rule of 90), with Hybrid members deemed into the post-2010 group by § 51.1-169 D 3. See § 3.1. </w:t>
            </w:r>
            <w:r>
              <w:rPr>
                <w:b/>
                <w:sz w:val="17"/>
              </w:rPr>
              <w:t>Do not substitute "30 years" or any single numeric threshold.</w:t>
            </w:r>
          </w:p>
        </w:tc>
      </w:tr>
      <w:tr>
        <w:tc>
          <w:tcPr>
            <w:tcW w:type="dxa" w:w="4320"/>
          </w:tcPr>
          <w:p>
            <w:pPr>
              <w:spacing w:before="20" w:after="20"/>
              <w:jc w:val="left"/>
            </w:pPr>
            <w:r>
              <w:rPr>
                <w:b/>
                <w:sz w:val="17"/>
              </w:rPr>
              <w:t>Does the widened authority reach the other purchasable service types the bill leaves alone?</w:t>
            </w:r>
          </w:p>
        </w:tc>
        <w:tc>
          <w:tcPr>
            <w:tcW w:type="dxa" w:w="4320"/>
          </w:tcPr>
          <w:p>
            <w:pPr>
              <w:spacing w:before="20" w:after="20"/>
              <w:jc w:val="left"/>
            </w:pPr>
            <w:r>
              <w:rPr>
                <w:b/>
                <w:sz w:val="17"/>
              </w:rPr>
              <w:t>No — and that is now stated expressly.</w:t>
            </w:r>
            <w:r>
              <w:rPr>
                <w:sz w:val="17"/>
              </w:rPr>
              <w:t xml:space="preserve"> Three independent locks: (a) the authority is granted only as to "purchases under subdivision 2"; (b) the new sentence provides that the approximate normal cost for any other purchase "shall be determined without regard to any such schedule"; and (c) enactment clause 2 (i) and (iii) reaffirm that subdivision B 1 and subsections C, D, E, and H are unaltered. Lock (b) is new in v1.1 and closes a real gap: because the opening pricing sentence of B 3 refers generically to "the approximate normal cost of the retirement plan under which the member is covered," a graded schedule adopted as </w:t>
            </w:r>
            <w:r>
              <w:rPr>
                <w:i/>
                <w:sz w:val="17"/>
              </w:rPr>
              <w:t>the</w:t>
            </w:r>
            <w:r>
              <w:rPr>
                <w:sz w:val="17"/>
              </w:rPr>
              <w:t xml:space="preserve"> plan's approximate normal cost could otherwise have been argued to reprice subdivision B 1 purchases by operation of the same phrase.</w:t>
            </w:r>
          </w:p>
        </w:tc>
      </w:tr>
      <w:tr>
        <w:tc>
          <w:tcPr>
            <w:tcW w:type="dxa" w:w="4320"/>
          </w:tcPr>
          <w:p>
            <w:pPr>
              <w:spacing w:before="20" w:after="20"/>
              <w:jc w:val="left"/>
            </w:pPr>
            <w:r>
              <w:rPr>
                <w:b/>
                <w:sz w:val="17"/>
              </w:rPr>
              <w:t>Does it interact cleanly with § 51.1-142.2 as amended?</w:t>
            </w:r>
          </w:p>
        </w:tc>
        <w:tc>
          <w:tcPr>
            <w:tcW w:type="dxa" w:w="4320"/>
          </w:tcPr>
          <w:p>
            <w:pPr>
              <w:spacing w:before="20" w:after="20"/>
              <w:jc w:val="left"/>
            </w:pPr>
            <w:r>
              <w:rPr>
                <w:sz w:val="17"/>
              </w:rPr>
              <w:t>Yes. The schedule authority sits in the same paragraph as, and operates only on, the carve-out created by the first two new sentences. It does not touch the 24-month trigger as it applies to subdivision B 1, the anti-duplication sentence, the 10 U.S.C. ch. 1223 exception, the four-year caps in B 1 and B 2, the definition of active duty military service in the final paragraph of subsection B, or subsection I. The identical 24-month language in subsection E is untouched.</w:t>
            </w:r>
          </w:p>
        </w:tc>
      </w:tr>
      <w:tr>
        <w:tc>
          <w:tcPr>
            <w:tcW w:type="dxa" w:w="4320"/>
          </w:tcPr>
          <w:p>
            <w:pPr>
              <w:spacing w:before="20" w:after="20"/>
              <w:jc w:val="left"/>
            </w:pPr>
            <w:r>
              <w:rPr>
                <w:b/>
                <w:sz w:val="17"/>
              </w:rPr>
              <w:t>Is there an age-discrimination exposure in grading on age?</w:t>
            </w:r>
          </w:p>
        </w:tc>
        <w:tc>
          <w:tcPr>
            <w:tcW w:type="dxa" w:w="4320"/>
          </w:tcPr>
          <w:p>
            <w:pPr>
              <w:spacing w:before="20" w:after="20"/>
              <w:jc w:val="left"/>
            </w:pPr>
            <w:r>
              <w:rPr>
                <w:sz w:val="17"/>
              </w:rPr>
              <w:t xml:space="preserve">The draft now relies </w:t>
            </w:r>
            <w:r>
              <w:rPr>
                <w:i/>
                <w:sz w:val="17"/>
              </w:rPr>
              <w:t>less</w:t>
            </w:r>
            <w:r>
              <w:rPr>
                <w:sz w:val="17"/>
              </w:rPr>
              <w:t xml:space="preserve"> on age than v1.0 did, not more, and the actuarial equivalent cost the statute already imposes after 24 months is itself a function of age and service. Grading on service rather than age alone therefore reduces rather than creates this exposure. Confirmation is nevertheless flagged to counsel at </w:t>
            </w:r>
            <w:r>
              <w:rPr>
                <w:b/>
                <w:sz w:val="17"/>
              </w:rPr>
              <w:t>Q14</w:t>
            </w:r>
            <w:r>
              <w:rPr>
                <w:sz w:val="17"/>
              </w:rPr>
              <w:t>.</w:t>
            </w:r>
          </w:p>
        </w:tc>
      </w:tr>
      <w:tr>
        <w:tc>
          <w:tcPr>
            <w:tcW w:type="dxa" w:w="4320"/>
          </w:tcPr>
          <w:p>
            <w:pPr>
              <w:spacing w:before="20" w:after="20"/>
              <w:jc w:val="left"/>
            </w:pPr>
            <w:r>
              <w:rPr>
                <w:b/>
                <w:sz w:val="17"/>
              </w:rPr>
              <w:t>Any unintended effect on benefits?</w:t>
            </w:r>
          </w:p>
        </w:tc>
        <w:tc>
          <w:tcPr>
            <w:tcW w:type="dxa" w:w="4320"/>
          </w:tcPr>
          <w:p>
            <w:pPr>
              <w:spacing w:before="20" w:after="20"/>
              <w:jc w:val="left"/>
            </w:pPr>
            <w:r>
              <w:rPr>
                <w:sz w:val="17"/>
              </w:rPr>
              <w:t xml:space="preserve">None. No provision of Title 51.1 keys a benefit to what the member </w:t>
            </w:r>
            <w:r>
              <w:rPr>
                <w:i/>
                <w:sz w:val="17"/>
              </w:rPr>
              <w:t>paid</w:t>
            </w:r>
            <w:r>
              <w:rPr>
                <w:sz w:val="17"/>
              </w:rPr>
              <w:t xml:space="preserve"> for purchased service. Two second-order items, both already in the register: a larger purchase payment is a larger refundable member contribution under § 51.1-128 and § 51.1-142.2 C (see § 5), and larger late-career payments press harder on the IRC § 415(n) and annual-additions limits (Q6).</w:t>
            </w:r>
          </w:p>
        </w:tc>
      </w:tr>
    </w:tbl>
    <w:p>
      <w:pPr>
        <w:spacing w:before="0" w:after="0" w:line="80" w:lineRule="exact"/>
      </w:pPr>
      <w:r>
        <w:rPr>
          <w:sz w:val="8"/>
        </w:rPr>
      </w:r>
    </w:p>
    <w:p>
      <w:r>
        <w:rPr>
          <w:b/>
        </w:rPr>
        <w:t>The policy consequence JLCVSO must see plainly.</w:t>
      </w:r>
      <w:r>
        <w:t xml:space="preserve"> Grading on age </w:t>
      </w:r>
      <w:r>
        <w:rPr>
          <w:i/>
        </w:rPr>
        <w:t>and</w:t>
      </w:r>
      <w:r>
        <w:t xml:space="preserve"> creditable service works precisely because it charges more to the members closest to unreduced eligibility — which, in this population, means Plan 1 veterans with long service, the cohort most eager for the bill. The 100% recovery setting that drives the fiscal note to zero does so by removing the pricing subsidy from exactly those veterans; what remains for them is access and the 60-month payment term, which are themselves real and were never available before. </w:t>
      </w:r>
      <w:r>
        <w:rPr>
          <w:b/>
        </w:rPr>
        <w:t>Counsel's recommendation is to draft the authority wide and argue the dial setting separately</w:t>
      </w:r>
      <w:r>
        <w:t xml:space="preserve">, at the Board rather than in statute: a wide grant is what allows JLCVSO to answer the adverse-selection objection without conceding a number, and the publication, uniformity, and actuarial-equivalent-cost-ceiling constraints are what keep a wide grant from becoming individualised pricing. This belongs on the Q12 concession ladder as a </w:t>
      </w:r>
      <w:r>
        <w:rPr>
          <w:i/>
        </w:rPr>
        <w:t>dial</w:t>
      </w:r>
      <w:r>
        <w:t xml:space="preserve"> to be conceded, not as a </w:t>
      </w:r>
      <w:r>
        <w:rPr>
          <w:i/>
        </w:rPr>
        <w:t>phrase</w:t>
      </w:r>
      <w:r>
        <w:t xml:space="preserve"> to be narrowed.</w:t>
      </w:r>
    </w:p>
    <w:p>
      <w:pPr>
        <w:pStyle w:val="Heading3"/>
      </w:pPr>
      <w:r>
        <w:t>2.6 The alternate hazardous duty option (10.01%)</w:t>
      </w:r>
    </w:p>
    <w:p>
      <w:r>
        <w:t xml:space="preserve">Annex 2 Closure FM-3 established that the hazardous duty </w:t>
      </w:r>
      <w:r>
        <w:rPr>
          <w:b/>
        </w:rPr>
        <w:t>alternate option</w:t>
      </w:r>
      <w:r>
        <w:t xml:space="preserve"> rate — 10.01%, available only to localities that have not adopted the full enhanced benefits — is published as a stand-alone rate </w:t>
      </w:r>
      <w:r>
        <w:rPr>
          <w:b/>
        </w:rPr>
        <w:t>with no plan column at all</w:t>
      </w:r>
      <w:r>
        <w:t xml:space="preserve">. The pricing sentence of § 51.1-142.2 B 3 points to "the approximate normal cost of </w:t>
      </w:r>
      <w:r>
        <w:rPr>
          <w:b/>
        </w:rPr>
        <w:t>the retirement plan</w:t>
      </w:r>
      <w:r>
        <w:t xml:space="preserve"> under which the member is covered." A member covered by the alternate option is in Plan 1 or Plan 2 — those are the retirement plans — but the rate the member actually pays is keyed to the </w:t>
      </w:r>
      <w:r>
        <w:rPr>
          <w:i/>
        </w:rPr>
        <w:t>coverage option elected by the employer</w:t>
      </w:r>
      <w:r>
        <w:t>, not to the plan. The statutory phrase and the Board's rate chart are indexed on different things.</w:t>
      </w:r>
    </w:p>
    <w:p>
      <w:r>
        <w:rPr>
          <w:b/>
        </w:rPr>
        <w:t>Counsel's resolution, and its deliberate limits:</w:t>
      </w:r>
    </w:p>
    <w:p>
      <w:pPr>
        <w:spacing w:after="60"/>
        <w:ind w:left="432" w:hanging="432"/>
      </w:pPr>
      <w:r>
        <w:rPr>
          <w:b/>
        </w:rPr>
        <w:t>1.</w:t>
        <w:tab/>
      </w:r>
      <w:r>
        <w:rPr>
          <w:b/>
        </w:rPr>
        <w:t>For subdivision B 2 purchases — fixed in the draft.</w:t>
      </w:r>
      <w:r>
        <w:t xml:space="preserve"> Factor (v) of the widened schedule authority lets the Board grade by "the member's position type and the benefit coverage applicable to the member's position, including any of the benefits permitted by § 51.1-138 that the member's employer has elected to provide." The § 51.1-138 anchor is deliberate: § 51.1-169 A already uses the phrase "a person eligible to earn the benefits permitted by § 51.1-138" to describe this population, so the cross-reference is borrowed from existing Title 51.1 usage rather than invented.</w:t>
      </w:r>
    </w:p>
    <w:p>
      <w:pPr>
        <w:spacing w:after="60"/>
        <w:ind w:left="432" w:hanging="432"/>
      </w:pPr>
      <w:r>
        <w:rPr>
          <w:b/>
        </w:rPr>
        <w:t>2.</w:t>
        <w:tab/>
      </w:r>
      <w:r>
        <w:rPr>
          <w:b/>
        </w:rPr>
        <w:t>For every other purchase category — deliberately not fixed.</w:t>
      </w:r>
      <w:r>
        <w:t xml:space="preserve"> The same mismatch exists today for subdivision B 1 and for subsections C through H purchases by alternate-option members. It is a </w:t>
      </w:r>
      <w:r>
        <w:rPr>
          <w:b/>
        </w:rPr>
        <w:t>pre-existing</w:t>
      </w:r>
      <w:r>
        <w:t xml:space="preserve"> ambiguity, it has evidently been administered without difficulty, and curing it here would widen the bill beyond prior active duty military service and enlarge the fiscal note. </w:t>
      </w:r>
      <w:r>
        <w:rPr>
          <w:b/>
        </w:rPr>
        <w:t>Leave it alone.</w:t>
      </w:r>
      <w:r>
        <w:t xml:space="preserve"> Flag it to VRS as an administrative question (Q13), not as an amendment.</w:t>
      </w:r>
    </w:p>
    <w:p>
      <w:pPr>
        <w:spacing w:after="60"/>
        <w:ind w:left="432" w:hanging="432"/>
      </w:pPr>
      <w:r>
        <w:rPr>
          <w:b/>
        </w:rPr>
        <w:t>3.</w:t>
        <w:tab/>
      </w:r>
      <w:r>
        <w:rPr>
          <w:b/>
        </w:rPr>
        <w:t>There is no Hybrid hazardous duty rate because there are no Hybrid hazardous duty members</w:t>
      </w:r>
      <w:r>
        <w:t xml:space="preserve"> (§ 51.1-169 A; FM-3). A hazardous-duty employee hired today is in Plan 2 and would purchase at 19.15%. Any drafting that assumes new hazardous-duty or newly appointed judicial members are Hybrid is already wrong — 2026 Acts of Assembly, SB 950 puts judges with an original term on or after July 1, 2026 into Plan 2.</w:t>
      </w:r>
    </w:p>
    <w:p>
      <w:r>
        <w:rPr>
          <w:b/>
        </w:rPr>
        <w:t>One citation gap to close before filing.</w:t>
      </w:r>
      <w:r>
        <w:t xml:space="preserve"> The published rate chart does not cite the statutory authority under which a political subdivision elects the alternate option, and this annex does not assert one beyond § 51.1-138. Legislative Services should confirm the precise authority — § 51.1-138, the irrevocable-resolution provisions at § 51.1-153 B 4 and § 51.1-155 A 3, or a combination — before factor (v) is finalised. See </w:t>
      </w:r>
      <w:r>
        <w:rPr>
          <w:b/>
        </w:rPr>
        <w:t>Q13</w:t>
      </w:r>
      <w:r>
        <w:t>.</w:t>
      </w:r>
    </w:p>
    <w:p>
      <w:pPr>
        <w:jc w:val="center"/>
      </w:pPr>
      <w:r>
        <w:rPr>
          <w:color w:val="909090"/>
          <w:sz w:val="18"/>
        </w:rPr>
        <w:t>* * *</w:t>
      </w:r>
    </w:p>
    <w:p>
      <w:pPr>
        <w:pStyle w:val="Heading2"/>
      </w:pPr>
      <w:r>
        <w:t>3. Defined terms — statutory meaning and downstream consequences</w:t>
      </w:r>
    </w:p>
    <w:p>
      <w:r>
        <w:t>The governing rule for this proposal is in § 51.1-124.3:</w:t>
      </w:r>
    </w:p>
    <w:p>
      <w:pPr>
        <w:spacing w:before="120" w:after="120"/>
        <w:ind w:left="480"/>
      </w:pPr>
      <w:r>
        <w:rPr>
          <w:b/>
          <w:i/>
          <w:color w:val="444444"/>
          <w:sz w:val="20"/>
        </w:rPr>
        <w:t>"Creditable service" means prior service as set forth in § 51.1-142.2 plus membership service for which credit is allowable.</w:t>
      </w:r>
    </w:p>
    <w:p>
      <w:r>
        <w:t xml:space="preserve">That one definition is the hinge of this entire analysis. Because purchased prior active duty military service is granted under § 51.1-142.2, </w:t>
      </w:r>
      <w:r>
        <w:rPr>
          <w:b/>
        </w:rPr>
        <w:t>it is already "creditable service" under current law, for every purpose in Title 51.1 that uses that term.</w:t>
      </w:r>
      <w:r>
        <w:t xml:space="preserve"> The proposal does not change what the credit does. It changes only what it costs and how it may be paid for.</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Term</w:t>
            </w:r>
          </w:p>
        </w:tc>
        <w:tc>
          <w:tcPr>
            <w:tcW w:type="dxa" w:w="2160"/>
          </w:tcPr>
          <w:p>
            <w:pPr>
              <w:spacing w:before="20" w:after="20"/>
              <w:jc w:val="left"/>
            </w:pPr>
            <w:r>
              <w:rPr>
                <w:b/>
                <w:sz w:val="17"/>
              </w:rPr>
              <w:t>Statutory source</w:t>
            </w:r>
          </w:p>
        </w:tc>
        <w:tc>
          <w:tcPr>
            <w:tcW w:type="dxa" w:w="2160"/>
          </w:tcPr>
          <w:p>
            <w:pPr>
              <w:spacing w:before="20" w:after="20"/>
              <w:jc w:val="left"/>
            </w:pPr>
            <w:r>
              <w:rPr>
                <w:b/>
                <w:sz w:val="17"/>
              </w:rPr>
              <w:t>What it actually controls</w:t>
            </w:r>
          </w:p>
        </w:tc>
        <w:tc>
          <w:tcPr>
            <w:tcW w:type="dxa" w:w="2160"/>
          </w:tcPr>
          <w:p>
            <w:pPr>
              <w:spacing w:before="20" w:after="20"/>
              <w:jc w:val="left"/>
            </w:pPr>
            <w:r>
              <w:rPr>
                <w:b/>
                <w:sz w:val="17"/>
              </w:rPr>
              <w:t>Effect of this proposal</w:t>
            </w:r>
          </w:p>
        </w:tc>
      </w:tr>
      <w:tr>
        <w:tc>
          <w:tcPr>
            <w:tcW w:type="dxa" w:w="2160"/>
          </w:tcPr>
          <w:p>
            <w:pPr>
              <w:spacing w:before="20" w:after="20"/>
              <w:jc w:val="left"/>
            </w:pPr>
            <w:r>
              <w:rPr>
                <w:b/>
                <w:sz w:val="17"/>
              </w:rPr>
              <w:t>Creditable service</w:t>
            </w:r>
          </w:p>
        </w:tc>
        <w:tc>
          <w:tcPr>
            <w:tcW w:type="dxa" w:w="2160"/>
          </w:tcPr>
          <w:p>
            <w:pPr>
              <w:spacing w:before="20" w:after="20"/>
              <w:jc w:val="left"/>
            </w:pPr>
            <w:r>
              <w:rPr>
                <w:sz w:val="17"/>
              </w:rPr>
              <w:t>§ 51.1-124.3</w:t>
            </w:r>
          </w:p>
        </w:tc>
        <w:tc>
          <w:tcPr>
            <w:tcW w:type="dxa" w:w="2160"/>
          </w:tcPr>
          <w:p>
            <w:pPr>
              <w:spacing w:before="20" w:after="20"/>
              <w:jc w:val="left"/>
            </w:pPr>
            <w:r>
              <w:rPr>
                <w:sz w:val="17"/>
              </w:rPr>
              <w:t>The operative term throughout Title 51.1: vesting, retirement eligibility, the Rule of 90, the benefit formula, the HIC threshold and amount, disability and survivor allowances, COLA commencement</w:t>
            </w:r>
          </w:p>
        </w:tc>
        <w:tc>
          <w:tcPr>
            <w:tcW w:type="dxa" w:w="2160"/>
          </w:tcPr>
          <w:p>
            <w:pPr>
              <w:spacing w:before="20" w:after="20"/>
              <w:jc w:val="left"/>
            </w:pPr>
            <w:r>
              <w:rPr>
                <w:b/>
                <w:sz w:val="17"/>
              </w:rPr>
              <w:t>No change in meaning or effect.</w:t>
            </w:r>
            <w:r>
              <w:rPr>
                <w:sz w:val="17"/>
              </w:rPr>
              <w:t xml:space="preserve"> Purchased military service is already creditable service.</w:t>
            </w:r>
          </w:p>
        </w:tc>
      </w:tr>
      <w:tr>
        <w:tc>
          <w:tcPr>
            <w:tcW w:type="dxa" w:w="2160"/>
          </w:tcPr>
          <w:p>
            <w:pPr>
              <w:spacing w:before="20" w:after="20"/>
              <w:jc w:val="left"/>
            </w:pPr>
            <w:r>
              <w:rPr>
                <w:b/>
                <w:sz w:val="17"/>
              </w:rPr>
              <w:t>Prior service</w:t>
            </w:r>
          </w:p>
        </w:tc>
        <w:tc>
          <w:tcPr>
            <w:tcW w:type="dxa" w:w="2160"/>
          </w:tcPr>
          <w:p>
            <w:pPr>
              <w:spacing w:before="20" w:after="20"/>
              <w:jc w:val="left"/>
            </w:pPr>
            <w:r>
              <w:rPr>
                <w:sz w:val="17"/>
              </w:rPr>
              <w:t>§ 51.1-124.3</w:t>
            </w:r>
          </w:p>
        </w:tc>
        <w:tc>
          <w:tcPr>
            <w:tcW w:type="dxa" w:w="2160"/>
          </w:tcPr>
          <w:p>
            <w:pPr>
              <w:spacing w:before="20" w:after="20"/>
              <w:jc w:val="left"/>
            </w:pPr>
            <w:r>
              <w:rPr>
                <w:sz w:val="17"/>
              </w:rPr>
              <w:t>"service rendered prior to becoming a member of the Retirement System" — the bucket military service falls into</w:t>
            </w:r>
          </w:p>
        </w:tc>
        <w:tc>
          <w:tcPr>
            <w:tcW w:type="dxa" w:w="2160"/>
          </w:tcPr>
          <w:p>
            <w:pPr>
              <w:spacing w:before="20" w:after="20"/>
              <w:jc w:val="left"/>
            </w:pPr>
            <w:r>
              <w:rPr>
                <w:sz w:val="17"/>
              </w:rPr>
              <w:t>No change.</w:t>
            </w:r>
          </w:p>
        </w:tc>
      </w:tr>
      <w:tr>
        <w:tc>
          <w:tcPr>
            <w:tcW w:type="dxa" w:w="2160"/>
          </w:tcPr>
          <w:p>
            <w:pPr>
              <w:spacing w:before="20" w:after="20"/>
              <w:jc w:val="left"/>
            </w:pPr>
            <w:r>
              <w:rPr>
                <w:b/>
                <w:sz w:val="17"/>
              </w:rPr>
              <w:t>Membership service</w:t>
            </w:r>
          </w:p>
        </w:tc>
        <w:tc>
          <w:tcPr>
            <w:tcW w:type="dxa" w:w="2160"/>
          </w:tcPr>
          <w:p>
            <w:pPr>
              <w:spacing w:before="20" w:after="20"/>
              <w:jc w:val="left"/>
            </w:pPr>
            <w:r>
              <w:rPr>
                <w:sz w:val="17"/>
              </w:rPr>
              <w:t>§ 51.1-124.3</w:t>
            </w:r>
          </w:p>
        </w:tc>
        <w:tc>
          <w:tcPr>
            <w:tcW w:type="dxa" w:w="2160"/>
          </w:tcPr>
          <w:p>
            <w:pPr>
              <w:spacing w:before="20" w:after="20"/>
              <w:jc w:val="left"/>
            </w:pPr>
            <w:r>
              <w:rPr>
                <w:sz w:val="17"/>
              </w:rPr>
              <w:t xml:space="preserve">"service as an employee rendered while a contributing member" — </w:t>
            </w:r>
            <w:r>
              <w:rPr>
                <w:i/>
                <w:sz w:val="17"/>
              </w:rPr>
              <w:t>excludes</w:t>
            </w:r>
            <w:r>
              <w:rPr>
                <w:sz w:val="17"/>
              </w:rPr>
              <w:t xml:space="preserve"> purchased military service</w:t>
            </w:r>
          </w:p>
        </w:tc>
        <w:tc>
          <w:tcPr>
            <w:tcW w:type="dxa" w:w="2160"/>
          </w:tcPr>
          <w:p>
            <w:pPr>
              <w:spacing w:before="20" w:after="20"/>
              <w:jc w:val="left"/>
            </w:pPr>
            <w:r>
              <w:rPr>
                <w:sz w:val="17"/>
              </w:rPr>
              <w:t>No change. Confirms purchased military service is prior service, not membership service.</w:t>
            </w:r>
          </w:p>
        </w:tc>
      </w:tr>
      <w:tr>
        <w:tc>
          <w:tcPr>
            <w:tcW w:type="dxa" w:w="2160"/>
          </w:tcPr>
          <w:p>
            <w:pPr>
              <w:spacing w:before="20" w:after="20"/>
              <w:jc w:val="left"/>
            </w:pPr>
            <w:r>
              <w:rPr>
                <w:b/>
                <w:sz w:val="17"/>
              </w:rPr>
              <w:t>Earned service</w:t>
            </w:r>
          </w:p>
        </w:tc>
        <w:tc>
          <w:tcPr>
            <w:tcW w:type="dxa" w:w="2160"/>
          </w:tcPr>
          <w:p>
            <w:pPr>
              <w:spacing w:before="20" w:after="20"/>
              <w:jc w:val="left"/>
            </w:pPr>
            <w:r>
              <w:rPr>
                <w:b/>
                <w:sz w:val="17"/>
              </w:rPr>
              <w:t>Not a defined term in Title 51.1</w:t>
            </w:r>
          </w:p>
        </w:tc>
        <w:tc>
          <w:tcPr>
            <w:tcW w:type="dxa" w:w="2160"/>
          </w:tcPr>
          <w:p>
            <w:pPr>
              <w:spacing w:before="20" w:after="20"/>
              <w:jc w:val="left"/>
            </w:pPr>
            <w:r>
              <w:rPr>
                <w:sz w:val="17"/>
              </w:rPr>
              <w:t>—</w:t>
            </w:r>
          </w:p>
        </w:tc>
        <w:tc>
          <w:tcPr>
            <w:tcW w:type="dxa" w:w="2160"/>
          </w:tcPr>
          <w:p>
            <w:pPr>
              <w:spacing w:before="20" w:after="20"/>
              <w:jc w:val="left"/>
            </w:pPr>
            <w:r>
              <w:rPr>
                <w:b/>
                <w:sz w:val="17"/>
              </w:rPr>
              <w:t>Do not use this phrase in the bill or in advocacy materials.</w:t>
            </w:r>
            <w:r>
              <w:rPr>
                <w:sz w:val="17"/>
              </w:rPr>
              <w:t xml:space="preserve"> VRS member publications use it informally to distinguish worked service from purchased service, but it carries no statutory meaning. Using it would create ambiguity where none exists.</w:t>
            </w:r>
          </w:p>
        </w:tc>
      </w:tr>
      <w:tr>
        <w:tc>
          <w:tcPr>
            <w:tcW w:type="dxa" w:w="2160"/>
          </w:tcPr>
          <w:p>
            <w:pPr>
              <w:spacing w:before="20" w:after="20"/>
              <w:jc w:val="left"/>
            </w:pPr>
            <w:r>
              <w:rPr>
                <w:b/>
                <w:sz w:val="17"/>
              </w:rPr>
              <w:t>Active service</w:t>
            </w:r>
          </w:p>
        </w:tc>
        <w:tc>
          <w:tcPr>
            <w:tcW w:type="dxa" w:w="2160"/>
          </w:tcPr>
          <w:p>
            <w:pPr>
              <w:spacing w:before="20" w:after="20"/>
              <w:jc w:val="left"/>
            </w:pPr>
            <w:r>
              <w:rPr>
                <w:sz w:val="17"/>
              </w:rPr>
              <w:t>Not separately defined; used in § 51.1-142.2 B 3 and E</w:t>
            </w:r>
          </w:p>
        </w:tc>
        <w:tc>
          <w:tcPr>
            <w:tcW w:type="dxa" w:w="2160"/>
          </w:tcPr>
          <w:p>
            <w:pPr>
              <w:spacing w:before="20" w:after="20"/>
              <w:jc w:val="left"/>
            </w:pPr>
            <w:r>
              <w:rPr>
                <w:sz w:val="17"/>
              </w:rPr>
              <w:t>Measures the 24-month cost window; tolled during periods of inactivity</w:t>
            </w:r>
          </w:p>
        </w:tc>
        <w:tc>
          <w:tcPr>
            <w:tcW w:type="dxa" w:w="2160"/>
          </w:tcPr>
          <w:p>
            <w:pPr>
              <w:spacing w:before="20" w:after="20"/>
              <w:jc w:val="left"/>
            </w:pPr>
            <w:r>
              <w:rPr>
                <w:sz w:val="17"/>
              </w:rPr>
              <w:t xml:space="preserve">The proposal makes this measurement </w:t>
            </w:r>
            <w:r>
              <w:rPr>
                <w:b/>
                <w:sz w:val="17"/>
              </w:rPr>
              <w:t>irrelevant to subdivision B 2 purchases</w:t>
            </w:r>
            <w:r>
              <w:rPr>
                <w:sz w:val="17"/>
              </w:rPr>
              <w:t xml:space="preserve"> but leaves it intact for subdivision B 1.</w:t>
            </w:r>
          </w:p>
        </w:tc>
      </w:tr>
      <w:tr>
        <w:tc>
          <w:tcPr>
            <w:tcW w:type="dxa" w:w="2160"/>
          </w:tcPr>
          <w:p>
            <w:pPr>
              <w:spacing w:before="20" w:after="20"/>
              <w:jc w:val="left"/>
            </w:pPr>
            <w:r>
              <w:rPr>
                <w:b/>
                <w:sz w:val="17"/>
              </w:rPr>
              <w:t>Active duty military service</w:t>
            </w:r>
          </w:p>
        </w:tc>
        <w:tc>
          <w:tcPr>
            <w:tcW w:type="dxa" w:w="2160"/>
          </w:tcPr>
          <w:p>
            <w:pPr>
              <w:spacing w:before="20" w:after="20"/>
              <w:jc w:val="left"/>
            </w:pPr>
            <w:r>
              <w:rPr>
                <w:sz w:val="17"/>
              </w:rPr>
              <w:t>§ 51.1-142.2 B 3, final paragraph</w:t>
            </w:r>
          </w:p>
        </w:tc>
        <w:tc>
          <w:tcPr>
            <w:tcW w:type="dxa" w:w="2160"/>
          </w:tcPr>
          <w:p>
            <w:pPr>
              <w:spacing w:before="20" w:after="20"/>
              <w:jc w:val="left"/>
            </w:pPr>
            <w:r>
              <w:rPr>
                <w:sz w:val="17"/>
              </w:rPr>
              <w:t>"full-time service of at least 180 consecutive days" in a branch of the armed forces "or reserve components thereof"</w:t>
            </w:r>
          </w:p>
        </w:tc>
        <w:tc>
          <w:tcPr>
            <w:tcW w:type="dxa" w:w="2160"/>
          </w:tcPr>
          <w:p>
            <w:pPr>
              <w:spacing w:before="20" w:after="20"/>
              <w:jc w:val="left"/>
            </w:pPr>
            <w:r>
              <w:rPr>
                <w:b/>
                <w:sz w:val="17"/>
              </w:rPr>
              <w:t>No change. Retain verbatim.</w:t>
            </w:r>
            <w:r>
              <w:rPr>
                <w:sz w:val="17"/>
              </w:rPr>
              <w:t xml:space="preserve"> This definition already draws the eligibility line and does not need adjustment.</w:t>
            </w:r>
          </w:p>
        </w:tc>
      </w:tr>
      <w:tr>
        <w:tc>
          <w:tcPr>
            <w:tcW w:type="dxa" w:w="2160"/>
          </w:tcPr>
          <w:p>
            <w:pPr>
              <w:spacing w:before="20" w:after="20"/>
              <w:jc w:val="left"/>
            </w:pPr>
            <w:r>
              <w:rPr>
                <w:b/>
                <w:sz w:val="17"/>
              </w:rPr>
              <w:t>Benefit-calculation service</w:t>
            </w:r>
          </w:p>
        </w:tc>
        <w:tc>
          <w:tcPr>
            <w:tcW w:type="dxa" w:w="2160"/>
          </w:tcPr>
          <w:p>
            <w:pPr>
              <w:spacing w:before="20" w:after="20"/>
              <w:jc w:val="left"/>
            </w:pPr>
            <w:r>
              <w:rPr>
                <w:b/>
                <w:sz w:val="17"/>
              </w:rPr>
              <w:t>Not a statutory term</w:t>
            </w:r>
          </w:p>
        </w:tc>
        <w:tc>
          <w:tcPr>
            <w:tcW w:type="dxa" w:w="2160"/>
          </w:tcPr>
          <w:p>
            <w:pPr>
              <w:spacing w:before="20" w:after="20"/>
              <w:jc w:val="left"/>
            </w:pPr>
            <w:r>
              <w:rPr>
                <w:sz w:val="17"/>
              </w:rPr>
              <w:t>The function is performed by "creditable service" in § 51.1-155 A and § 51.1-169 D 1</w:t>
            </w:r>
          </w:p>
        </w:tc>
        <w:tc>
          <w:tcPr>
            <w:tcW w:type="dxa" w:w="2160"/>
          </w:tcPr>
          <w:p>
            <w:pPr>
              <w:spacing w:before="20" w:after="20"/>
              <w:jc w:val="left"/>
            </w:pPr>
            <w:r>
              <w:rPr>
                <w:sz w:val="17"/>
              </w:rPr>
              <w:t>Not used. Cite § 51.1-155 A and § 51.1-169 D 1 directly.</w:t>
            </w:r>
          </w:p>
        </w:tc>
      </w:tr>
      <w:tr>
        <w:tc>
          <w:tcPr>
            <w:tcW w:type="dxa" w:w="2160"/>
          </w:tcPr>
          <w:p>
            <w:pPr>
              <w:spacing w:before="20" w:after="20"/>
              <w:jc w:val="left"/>
            </w:pPr>
            <w:r>
              <w:rPr>
                <w:b/>
                <w:sz w:val="17"/>
              </w:rPr>
              <w:t>Unreduced retirement</w:t>
            </w:r>
          </w:p>
        </w:tc>
        <w:tc>
          <w:tcPr>
            <w:tcW w:type="dxa" w:w="2160"/>
          </w:tcPr>
          <w:p>
            <w:pPr>
              <w:spacing w:before="20" w:after="20"/>
              <w:jc w:val="left"/>
            </w:pPr>
            <w:r>
              <w:rPr>
                <w:sz w:val="17"/>
              </w:rPr>
              <w:t xml:space="preserve">Not a single defined term; the </w:t>
            </w:r>
            <w:r>
              <w:rPr>
                <w:i/>
                <w:sz w:val="17"/>
              </w:rPr>
              <w:t>function</w:t>
            </w:r>
            <w:r>
              <w:rPr>
                <w:sz w:val="17"/>
              </w:rPr>
              <w:t xml:space="preserve"> appears in § 51.1-165.01 B ("first eligible for an unreduced service retirement allowance") and § 51.1-166 D</w:t>
            </w:r>
          </w:p>
        </w:tc>
        <w:tc>
          <w:tcPr>
            <w:tcW w:type="dxa" w:w="2160"/>
          </w:tcPr>
          <w:p>
            <w:pPr>
              <w:spacing w:before="20" w:after="20"/>
              <w:jc w:val="left"/>
            </w:pPr>
            <w:r>
              <w:rPr>
                <w:sz w:val="17"/>
              </w:rPr>
              <w:t>Multiple statutory pathways, not one rule</w:t>
            </w:r>
          </w:p>
        </w:tc>
        <w:tc>
          <w:tcPr>
            <w:tcW w:type="dxa" w:w="2160"/>
          </w:tcPr>
          <w:p>
            <w:pPr>
              <w:spacing w:before="20" w:after="20"/>
              <w:jc w:val="left"/>
            </w:pPr>
            <w:r>
              <w:rPr>
                <w:sz w:val="17"/>
              </w:rPr>
              <w:t xml:space="preserve">See § 3.1 below. </w:t>
            </w:r>
            <w:r>
              <w:rPr>
                <w:b/>
                <w:sz w:val="17"/>
              </w:rPr>
              <w:t>Do not reduce this to "30 years."</w:t>
            </w:r>
          </w:p>
        </w:tc>
      </w:tr>
      <w:tr>
        <w:tc>
          <w:tcPr>
            <w:tcW w:type="dxa" w:w="2160"/>
          </w:tcPr>
          <w:p>
            <w:pPr>
              <w:spacing w:before="20" w:after="20"/>
              <w:jc w:val="left"/>
            </w:pPr>
            <w:r>
              <w:rPr>
                <w:b/>
                <w:sz w:val="17"/>
              </w:rPr>
              <w:t>Approximate normal cost</w:t>
            </w:r>
          </w:p>
        </w:tc>
        <w:tc>
          <w:tcPr>
            <w:tcW w:type="dxa" w:w="2160"/>
          </w:tcPr>
          <w:p>
            <w:pPr>
              <w:spacing w:before="20" w:after="20"/>
              <w:jc w:val="left"/>
            </w:pPr>
            <w:r>
              <w:rPr>
                <w:sz w:val="17"/>
              </w:rPr>
              <w:t>§ 51.1-142.2 B 3 — set by "the Board in its sole discretion"; not further defined in statute</w:t>
            </w:r>
          </w:p>
        </w:tc>
        <w:tc>
          <w:tcPr>
            <w:tcW w:type="dxa" w:w="2160"/>
          </w:tcPr>
          <w:p>
            <w:pPr>
              <w:spacing w:before="20" w:after="20"/>
              <w:jc w:val="left"/>
            </w:pPr>
            <w:r>
              <w:rPr>
                <w:sz w:val="17"/>
              </w:rPr>
              <w:t>The flat purchase rate. VRS describes it as "the average cost of one year of VRS service credit," applied to creditable compensation or AFC, whichever is higher</w:t>
            </w:r>
          </w:p>
        </w:tc>
        <w:tc>
          <w:tcPr>
            <w:tcW w:type="dxa" w:w="2160"/>
          </w:tcPr>
          <w:p>
            <w:pPr>
              <w:spacing w:before="20" w:after="20"/>
              <w:jc w:val="left"/>
            </w:pPr>
            <w:r>
              <w:rPr>
                <w:sz w:val="17"/>
              </w:rPr>
              <w:t xml:space="preserve">The proposal </w:t>
            </w:r>
            <w:r>
              <w:rPr>
                <w:b/>
                <w:sz w:val="17"/>
              </w:rPr>
              <w:t>extends its availability in time</w:t>
            </w:r>
            <w:r>
              <w:rPr>
                <w:sz w:val="17"/>
              </w:rPr>
              <w:t xml:space="preserve"> and expressly authorizes a schedule graded on age and creditable service, capped at the actuarial equivalent cost. It does not change the Board's underlying discretion, and the schedule reaches subdivision B 2 purchases only (§ 2.5).</w:t>
            </w:r>
          </w:p>
        </w:tc>
      </w:tr>
      <w:tr>
        <w:tc>
          <w:tcPr>
            <w:tcW w:type="dxa" w:w="2160"/>
          </w:tcPr>
          <w:p>
            <w:pPr>
              <w:spacing w:before="20" w:after="20"/>
              <w:jc w:val="left"/>
            </w:pPr>
            <w:r>
              <w:rPr>
                <w:b/>
                <w:sz w:val="17"/>
              </w:rPr>
              <w:t>Actuarial equivalent cost</w:t>
            </w:r>
          </w:p>
        </w:tc>
        <w:tc>
          <w:tcPr>
            <w:tcW w:type="dxa" w:w="2160"/>
          </w:tcPr>
          <w:p>
            <w:pPr>
              <w:spacing w:before="20" w:after="20"/>
              <w:jc w:val="left"/>
            </w:pPr>
            <w:r>
              <w:rPr>
                <w:sz w:val="17"/>
              </w:rPr>
              <w:t>Used in § 51.1-142.2 B 3, D, E, H 2; not defined in the section</w:t>
            </w:r>
          </w:p>
        </w:tc>
        <w:tc>
          <w:tcPr>
            <w:tcW w:type="dxa" w:w="2160"/>
          </w:tcPr>
          <w:p>
            <w:pPr>
              <w:spacing w:before="20" w:after="20"/>
              <w:jc w:val="left"/>
            </w:pPr>
            <w:r>
              <w:rPr>
                <w:sz w:val="17"/>
              </w:rPr>
              <w:t xml:space="preserve">VRS: "the amount of money needed in today's dollars to pay for the total value of the increase in the employee's future retirement benefit </w:t>
            </w:r>
            <w:r>
              <w:rPr>
                <w:b/>
                <w:sz w:val="17"/>
              </w:rPr>
              <w:t>or earlier retirement eligibility date</w:t>
            </w:r>
            <w:r>
              <w:rPr>
                <w:sz w:val="17"/>
              </w:rPr>
              <w:t xml:space="preserve"> resulting from purchasing prior service" — i.e., the plan's break-even price</w:t>
            </w:r>
          </w:p>
        </w:tc>
        <w:tc>
          <w:tcPr>
            <w:tcW w:type="dxa" w:w="2160"/>
          </w:tcPr>
          <w:p>
            <w:pPr>
              <w:spacing w:before="20" w:after="20"/>
              <w:jc w:val="left"/>
            </w:pPr>
            <w:r>
              <w:rPr>
                <w:sz w:val="17"/>
              </w:rPr>
              <w:t xml:space="preserve">Ceases to apply to subdivision B 2 purchases. </w:t>
            </w:r>
            <w:r>
              <w:rPr>
                <w:b/>
                <w:sz w:val="17"/>
              </w:rPr>
              <w:t>This differential is the entire fiscal cost of the bill.</w:t>
            </w:r>
          </w:p>
        </w:tc>
      </w:tr>
    </w:tbl>
    <w:p>
      <w:pPr>
        <w:spacing w:before="0" w:after="0" w:line="80" w:lineRule="exact"/>
      </w:pPr>
      <w:r>
        <w:rPr>
          <w:sz w:val="8"/>
        </w:rPr>
      </w:r>
    </w:p>
    <w:p>
      <w:pPr>
        <w:pStyle w:val="Heading3"/>
      </w:pPr>
      <w:r>
        <w:t>3.1 "Unreduced retirement" — the pathways that actually exist</w:t>
      </w:r>
    </w:p>
    <w:p>
      <w:r>
        <w:t>A veteran reaches an unreduced allowance by one of several routes, and which ones are open depends on the member's plan cohort. Advocacy materials must not collapse these.</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Pathway</w:t>
            </w:r>
          </w:p>
        </w:tc>
        <w:tc>
          <w:tcPr>
            <w:tcW w:type="dxa" w:w="2880"/>
          </w:tcPr>
          <w:p>
            <w:pPr>
              <w:spacing w:before="20" w:after="20"/>
              <w:jc w:val="left"/>
            </w:pPr>
            <w:r>
              <w:rPr>
                <w:b/>
                <w:sz w:val="17"/>
              </w:rPr>
              <w:t>Authority</w:t>
            </w:r>
          </w:p>
        </w:tc>
        <w:tc>
          <w:tcPr>
            <w:tcW w:type="dxa" w:w="2880"/>
          </w:tcPr>
          <w:p>
            <w:pPr>
              <w:spacing w:before="20" w:after="20"/>
              <w:jc w:val="left"/>
            </w:pPr>
            <w:r>
              <w:rPr>
                <w:b/>
                <w:sz w:val="17"/>
              </w:rPr>
              <w:t>Open to whom</w:t>
            </w:r>
          </w:p>
        </w:tc>
      </w:tr>
      <w:tr>
        <w:tc>
          <w:tcPr>
            <w:tcW w:type="dxa" w:w="2880"/>
          </w:tcPr>
          <w:p>
            <w:pPr>
              <w:spacing w:before="20" w:after="20"/>
              <w:jc w:val="left"/>
            </w:pPr>
            <w:r>
              <w:rPr>
                <w:sz w:val="17"/>
              </w:rPr>
              <w:t>Normal retirement at normal retirement date with 5+ years creditable service</w:t>
            </w:r>
          </w:p>
        </w:tc>
        <w:tc>
          <w:tcPr>
            <w:tcW w:type="dxa" w:w="2880"/>
          </w:tcPr>
          <w:p>
            <w:pPr>
              <w:spacing w:before="20" w:after="20"/>
              <w:jc w:val="left"/>
            </w:pPr>
            <w:r>
              <w:rPr>
                <w:sz w:val="17"/>
              </w:rPr>
              <w:t>§ 51.1-153 A</w:t>
            </w:r>
          </w:p>
        </w:tc>
        <w:tc>
          <w:tcPr>
            <w:tcW w:type="dxa" w:w="2880"/>
          </w:tcPr>
          <w:p>
            <w:pPr>
              <w:spacing w:before="20" w:after="20"/>
              <w:jc w:val="left"/>
            </w:pPr>
            <w:r>
              <w:rPr>
                <w:sz w:val="17"/>
              </w:rPr>
              <w:t xml:space="preserve">All cohorts. "Normal retirement date" is age 65 for Plan 1, but </w:t>
            </w:r>
            <w:r>
              <w:rPr>
                <w:b/>
                <w:sz w:val="17"/>
              </w:rPr>
              <w:t>Social Security retirement age</w:t>
            </w:r>
            <w:r>
              <w:rPr>
                <w:sz w:val="17"/>
              </w:rPr>
              <w:t xml:space="preserve"> for anyone who became a member on or after July 1, 2010, or who lacked 60 months of creditable service as of January 1, 2013 (§ 51.1-124.3) — and Hybrid members are deemed into that group by § 51.1-169 D 3.</w:t>
            </w:r>
          </w:p>
        </w:tc>
      </w:tr>
      <w:tr>
        <w:tc>
          <w:tcPr>
            <w:tcW w:type="dxa" w:w="2880"/>
          </w:tcPr>
          <w:p>
            <w:pPr>
              <w:spacing w:before="20" w:after="20"/>
              <w:jc w:val="left"/>
            </w:pPr>
            <w:r>
              <w:rPr>
                <w:sz w:val="17"/>
              </w:rPr>
              <w:t>Age 50 + 30 years of creditable service, benefit computed under § 51.1-155 A 1 (unreduced)</w:t>
            </w:r>
          </w:p>
        </w:tc>
        <w:tc>
          <w:tcPr>
            <w:tcW w:type="dxa" w:w="2880"/>
          </w:tcPr>
          <w:p>
            <w:pPr>
              <w:spacing w:before="20" w:after="20"/>
              <w:jc w:val="left"/>
            </w:pPr>
            <w:r>
              <w:rPr>
                <w:sz w:val="17"/>
              </w:rPr>
              <w:t>§ 51.1-153 B 2</w:t>
            </w:r>
          </w:p>
        </w:tc>
        <w:tc>
          <w:tcPr>
            <w:tcW w:type="dxa" w:w="2880"/>
          </w:tcPr>
          <w:p>
            <w:pPr>
              <w:spacing w:before="20" w:after="20"/>
              <w:jc w:val="left"/>
            </w:pPr>
            <w:r>
              <w:rPr>
                <w:sz w:val="17"/>
              </w:rPr>
              <w:t>Plan 1 cohort only; expressly subject to subdivision B 3.</w:t>
            </w:r>
          </w:p>
        </w:tc>
      </w:tr>
      <w:tr>
        <w:tc>
          <w:tcPr>
            <w:tcW w:type="dxa" w:w="2880"/>
          </w:tcPr>
          <w:p>
            <w:pPr>
              <w:spacing w:before="20" w:after="20"/>
              <w:jc w:val="left"/>
            </w:pPr>
            <w:r>
              <w:rPr>
                <w:b/>
                <w:sz w:val="17"/>
              </w:rPr>
              <w:t>Rule of 90</w:t>
            </w:r>
            <w:r>
              <w:rPr>
                <w:sz w:val="17"/>
              </w:rPr>
              <w:t xml:space="preserve"> — age plus years of creditable service equals 90, benefit computed under § 51.1-155 A 1 (unreduced)</w:t>
            </w:r>
          </w:p>
        </w:tc>
        <w:tc>
          <w:tcPr>
            <w:tcW w:type="dxa" w:w="2880"/>
          </w:tcPr>
          <w:p>
            <w:pPr>
              <w:spacing w:before="20" w:after="20"/>
              <w:jc w:val="left"/>
            </w:pPr>
            <w:r>
              <w:rPr>
                <w:sz w:val="17"/>
              </w:rPr>
              <w:t>§ 51.1-153 B 3</w:t>
            </w:r>
          </w:p>
        </w:tc>
        <w:tc>
          <w:tcPr>
            <w:tcW w:type="dxa" w:w="2880"/>
          </w:tcPr>
          <w:p>
            <w:pPr>
              <w:spacing w:before="20" w:after="20"/>
              <w:jc w:val="left"/>
            </w:pPr>
            <w:r>
              <w:rPr>
                <w:sz w:val="17"/>
              </w:rPr>
              <w:t>Post-July 1, 2010 members, members lacking 60 months as of January 1, 2013, and Hybrid members.</w:t>
            </w:r>
          </w:p>
        </w:tc>
      </w:tr>
    </w:tbl>
    <w:p>
      <w:pPr>
        <w:spacing w:before="0" w:after="0" w:line="80" w:lineRule="exact"/>
      </w:pPr>
      <w:r>
        <w:rPr>
          <w:sz w:val="8"/>
        </w:rPr>
      </w:r>
    </w:p>
    <w:p>
      <w:r>
        <w:rPr>
          <w:b/>
        </w:rPr>
        <w:t>Two cautions.</w:t>
      </w:r>
      <w:r>
        <w:t xml:space="preserve"> First, the Rule of 90 appears under the heading "Early retirement" in § 51.1-153 B, but it routes to § 51.1-155 A 1 — the </w:t>
      </w:r>
      <w:r>
        <w:rPr>
          <w:i/>
        </w:rPr>
        <w:t>normal</w:t>
      </w:r>
      <w:r>
        <w:t xml:space="preserve"> retirement allowance — so it produces an unreduced benefit. Second, under the Rule of 90 </w:t>
      </w:r>
      <w:r>
        <w:rPr>
          <w:b/>
        </w:rPr>
        <w:t>one year of purchased service credit contributes one service-credit point, and nothing more.</w:t>
      </w:r>
      <w:r>
        <w:t xml:space="preserve"> Purchased military service never makes a member chronologically older. Any future proposal that intends a different conversion ratio must say so expressly.</w:t>
      </w:r>
    </w:p>
    <w:p>
      <w:pPr>
        <w:jc w:val="center"/>
      </w:pPr>
      <w:r>
        <w:rPr>
          <w:color w:val="909090"/>
          <w:sz w:val="18"/>
        </w:rPr>
        <w:t>* * *</w:t>
      </w:r>
    </w:p>
    <w:p>
      <w:pPr>
        <w:pStyle w:val="Heading2"/>
      </w:pPr>
      <w:r>
        <w:t>4. Conflicts with existing statutes and VRS policy</w:t>
      </w:r>
    </w:p>
    <w:p>
      <w:r>
        <w:rPr>
          <w:b/>
        </w:rPr>
        <w:t>No substantive statutory conflict identified.</w:t>
      </w:r>
      <w:r>
        <w:t xml:space="preserve"> The amendment is confined to the pricing sentence of one subdivision. Items requiring attention:</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Item</w:t>
            </w:r>
          </w:p>
        </w:tc>
        <w:tc>
          <w:tcPr>
            <w:tcW w:type="dxa" w:w="2880"/>
          </w:tcPr>
          <w:p>
            <w:pPr>
              <w:spacing w:before="20" w:after="20"/>
              <w:jc w:val="left"/>
            </w:pPr>
            <w:r>
              <w:rPr>
                <w:b/>
                <w:sz w:val="17"/>
              </w:rPr>
              <w:t>Analysis</w:t>
            </w:r>
          </w:p>
        </w:tc>
        <w:tc>
          <w:tcPr>
            <w:tcW w:type="dxa" w:w="2880"/>
          </w:tcPr>
          <w:p>
            <w:pPr>
              <w:spacing w:before="20" w:after="20"/>
              <w:jc w:val="left"/>
            </w:pPr>
            <w:r>
              <w:rPr>
                <w:b/>
                <w:sz w:val="17"/>
              </w:rPr>
              <w:t>Action</w:t>
            </w:r>
          </w:p>
        </w:tc>
      </w:tr>
      <w:tr>
        <w:tc>
          <w:tcPr>
            <w:tcW w:type="dxa" w:w="2880"/>
          </w:tcPr>
          <w:p>
            <w:pPr>
              <w:spacing w:before="20" w:after="20"/>
              <w:jc w:val="left"/>
            </w:pPr>
            <w:r>
              <w:rPr>
                <w:b/>
                <w:sz w:val="17"/>
              </w:rPr>
              <w:t>The 24-month sentence in § 51.1-142.2 B 3 serves both subdivision B 1 and B 2</w:t>
            </w:r>
          </w:p>
        </w:tc>
        <w:tc>
          <w:tcPr>
            <w:tcW w:type="dxa" w:w="2880"/>
          </w:tcPr>
          <w:p>
            <w:pPr>
              <w:spacing w:before="20" w:after="20"/>
              <w:jc w:val="left"/>
            </w:pPr>
            <w:r>
              <w:rPr>
                <w:sz w:val="17"/>
              </w:rPr>
              <w:t>The sentence refers to "the service made available in this subsection," which reaches both subdivisions. A carve-out must be targeted at subdivision 2 by express cross-reference, not by deleting the sentence.</w:t>
            </w:r>
          </w:p>
        </w:tc>
        <w:tc>
          <w:tcPr>
            <w:tcW w:type="dxa" w:w="2880"/>
          </w:tcPr>
          <w:p>
            <w:pPr>
              <w:spacing w:before="20" w:after="20"/>
              <w:jc w:val="left"/>
            </w:pPr>
            <w:r>
              <w:rPr>
                <w:sz w:val="17"/>
              </w:rPr>
              <w:t xml:space="preserve">Handled by the draft in § 2.2. </w:t>
            </w:r>
            <w:r>
              <w:rPr>
                <w:b/>
                <w:sz w:val="17"/>
              </w:rPr>
              <w:t>This is the single most important drafting point.</w:t>
            </w:r>
          </w:p>
        </w:tc>
      </w:tr>
      <w:tr>
        <w:tc>
          <w:tcPr>
            <w:tcW w:type="dxa" w:w="2880"/>
          </w:tcPr>
          <w:p>
            <w:pPr>
              <w:spacing w:before="20" w:after="20"/>
              <w:jc w:val="left"/>
            </w:pPr>
            <w:r>
              <w:rPr>
                <w:b/>
                <w:sz w:val="17"/>
              </w:rPr>
              <w:t>Identical 24-month language in § 51.1-142.2 E</w:t>
            </w:r>
            <w:r>
              <w:rPr>
                <w:sz w:val="17"/>
              </w:rPr>
              <w:t xml:space="preserve"> (workers' compensation service)</w:t>
            </w:r>
          </w:p>
        </w:tc>
        <w:tc>
          <w:tcPr>
            <w:tcW w:type="dxa" w:w="2880"/>
          </w:tcPr>
          <w:p>
            <w:pPr>
              <w:spacing w:before="20" w:after="20"/>
              <w:jc w:val="left"/>
            </w:pPr>
            <w:r>
              <w:rPr>
                <w:sz w:val="17"/>
              </w:rPr>
              <w:t>Independent provision, different population.</w:t>
            </w:r>
          </w:p>
        </w:tc>
        <w:tc>
          <w:tcPr>
            <w:tcW w:type="dxa" w:w="2880"/>
          </w:tcPr>
          <w:p>
            <w:pPr>
              <w:spacing w:before="20" w:after="20"/>
              <w:jc w:val="left"/>
            </w:pPr>
            <w:r>
              <w:rPr>
                <w:b/>
                <w:sz w:val="17"/>
              </w:rPr>
              <w:t>Leave unamended.</w:t>
            </w:r>
            <w:r>
              <w:rPr>
                <w:sz w:val="17"/>
              </w:rPr>
              <w:t xml:space="preserve"> Do not let a drafter "conform" it.</w:t>
            </w:r>
          </w:p>
        </w:tc>
      </w:tr>
      <w:tr>
        <w:tc>
          <w:tcPr>
            <w:tcW w:type="dxa" w:w="2880"/>
          </w:tcPr>
          <w:p>
            <w:pPr>
              <w:spacing w:before="20" w:after="20"/>
              <w:jc w:val="left"/>
            </w:pPr>
            <w:r>
              <w:rPr>
                <w:b/>
                <w:sz w:val="17"/>
              </w:rPr>
              <w:t>The generic pricing phrase in § 51.1-142.2 B 3 also serves subdivision B 1</w:t>
            </w:r>
          </w:p>
        </w:tc>
        <w:tc>
          <w:tcPr>
            <w:tcW w:type="dxa" w:w="2880"/>
          </w:tcPr>
          <w:p>
            <w:pPr>
              <w:spacing w:before="20" w:after="20"/>
              <w:jc w:val="left"/>
            </w:pPr>
            <w:r>
              <w:rPr>
                <w:sz w:val="17"/>
              </w:rPr>
              <w:t xml:space="preserve">The opening sentence charges "the approximate normal cost of the retirement plan under which the member is covered" for every purchase under subsection B. A graded schedule adopted as </w:t>
            </w:r>
            <w:r>
              <w:rPr>
                <w:i/>
                <w:sz w:val="17"/>
              </w:rPr>
              <w:t>the</w:t>
            </w:r>
            <w:r>
              <w:rPr>
                <w:sz w:val="17"/>
              </w:rPr>
              <w:t xml:space="preserve"> plan's approximate normal cost could therefore have been argued to reprice subdivision B 1 purchases as well. </w:t>
            </w:r>
            <w:r>
              <w:rPr>
                <w:b/>
                <w:sz w:val="17"/>
              </w:rPr>
              <w:t>This is the pricing-side twin of the timing-side spillover above.</w:t>
            </w:r>
          </w:p>
        </w:tc>
        <w:tc>
          <w:tcPr>
            <w:tcW w:type="dxa" w:w="2880"/>
          </w:tcPr>
          <w:p>
            <w:pPr>
              <w:spacing w:before="20" w:after="20"/>
              <w:jc w:val="left"/>
            </w:pPr>
            <w:r>
              <w:rPr>
                <w:b/>
                <w:sz w:val="17"/>
              </w:rPr>
              <w:t>New in v1.1.</w:t>
            </w:r>
            <w:r>
              <w:rPr>
                <w:sz w:val="17"/>
              </w:rPr>
              <w:t xml:space="preserve"> Cured by the express negative sentence in § 2.2: the approximate normal cost for any other purchase "shall be determined without regard to any such schedule."</w:t>
            </w:r>
          </w:p>
        </w:tc>
      </w:tr>
      <w:tr>
        <w:tc>
          <w:tcPr>
            <w:tcW w:type="dxa" w:w="2880"/>
          </w:tcPr>
          <w:p>
            <w:pPr>
              <w:spacing w:before="20" w:after="20"/>
              <w:jc w:val="left"/>
            </w:pPr>
            <w:r>
              <w:rPr>
                <w:b/>
                <w:sz w:val="17"/>
              </w:rPr>
              <w:t>Alternate hazardous duty option — 10.01%, published with no plan column</w:t>
            </w:r>
          </w:p>
        </w:tc>
        <w:tc>
          <w:tcPr>
            <w:tcW w:type="dxa" w:w="2880"/>
          </w:tcPr>
          <w:p>
            <w:pPr>
              <w:spacing w:before="20" w:after="20"/>
              <w:jc w:val="left"/>
            </w:pPr>
            <w:r>
              <w:rPr>
                <w:sz w:val="17"/>
              </w:rPr>
              <w:t>"The retirement plan under which the member is covered" is indexed on the plan; the rate is indexed on the employer's elected coverage. The two do not line up.</w:t>
            </w:r>
          </w:p>
        </w:tc>
        <w:tc>
          <w:tcPr>
            <w:tcW w:type="dxa" w:w="2880"/>
          </w:tcPr>
          <w:p>
            <w:pPr>
              <w:spacing w:before="20" w:after="20"/>
              <w:jc w:val="left"/>
            </w:pPr>
            <w:r>
              <w:rPr>
                <w:b/>
                <w:sz w:val="17"/>
              </w:rPr>
              <w:t>New in v1.1.</w:t>
            </w:r>
            <w:r>
              <w:rPr>
                <w:sz w:val="17"/>
              </w:rPr>
              <w:t xml:space="preserve"> Cured for subdivision B 2 by factor (v) of the § 2.2 schedule authority, anchored to "the benefits permitted by § 51.1-138." </w:t>
            </w:r>
            <w:r>
              <w:rPr>
                <w:b/>
                <w:sz w:val="17"/>
              </w:rPr>
              <w:t>Deliberately not cured for other purchase categories</w:t>
            </w:r>
            <w:r>
              <w:rPr>
                <w:sz w:val="17"/>
              </w:rPr>
              <w:t xml:space="preserve"> — pre-existing, administered without difficulty, and curing it would widen the bill. See § 2.6, Q13.</w:t>
            </w:r>
          </w:p>
        </w:tc>
      </w:tr>
      <w:tr>
        <w:tc>
          <w:tcPr>
            <w:tcW w:type="dxa" w:w="2880"/>
          </w:tcPr>
          <w:p>
            <w:pPr>
              <w:spacing w:before="20" w:after="20"/>
              <w:jc w:val="left"/>
            </w:pPr>
            <w:r>
              <w:rPr>
                <w:b/>
                <w:sz w:val="17"/>
              </w:rPr>
              <w:t>§ 51.1-142.2 B 3, anti-duplication sentence</w:t>
            </w:r>
          </w:p>
        </w:tc>
        <w:tc>
          <w:tcPr>
            <w:tcW w:type="dxa" w:w="2880"/>
          </w:tcPr>
          <w:p>
            <w:pPr>
              <w:spacing w:before="20" w:after="20"/>
              <w:jc w:val="left"/>
            </w:pPr>
            <w:r>
              <w:rPr>
                <w:sz w:val="17"/>
              </w:rPr>
              <w:t>Bars purchase of service already counted in another retirement allowance, "[e]xcept as otherwise required by Chapter 1223 of Title 10 of the United States Code." This is what preserves the ability to purchase Reserve and National Guard service that also counts toward a military pension.</w:t>
            </w:r>
          </w:p>
        </w:tc>
        <w:tc>
          <w:tcPr>
            <w:tcW w:type="dxa" w:w="2880"/>
          </w:tcPr>
          <w:p>
            <w:pPr>
              <w:spacing w:before="20" w:after="20"/>
              <w:jc w:val="left"/>
            </w:pPr>
            <w:r>
              <w:rPr>
                <w:b/>
                <w:sz w:val="17"/>
              </w:rPr>
              <w:t>Preserve verbatim.</w:t>
            </w:r>
            <w:r>
              <w:rPr>
                <w:sz w:val="17"/>
              </w:rPr>
              <w:t xml:space="preserve"> Reaffirmed in enactment clause 2 (vi).</w:t>
            </w:r>
          </w:p>
        </w:tc>
      </w:tr>
      <w:tr>
        <w:tc>
          <w:tcPr>
            <w:tcW w:type="dxa" w:w="2880"/>
          </w:tcPr>
          <w:p>
            <w:pPr>
              <w:spacing w:before="20" w:after="20"/>
              <w:jc w:val="left"/>
            </w:pPr>
            <w:r>
              <w:rPr>
                <w:b/>
                <w:sz w:val="17"/>
              </w:rPr>
              <w:t>§ 51.1-142.2 B 2, four-year military cap</w:t>
            </w:r>
          </w:p>
        </w:tc>
        <w:tc>
          <w:tcPr>
            <w:tcW w:type="dxa" w:w="2880"/>
          </w:tcPr>
          <w:p>
            <w:pPr>
              <w:spacing w:before="20" w:after="20"/>
              <w:jc w:val="left"/>
            </w:pPr>
            <w:r>
              <w:rPr>
                <w:sz w:val="17"/>
              </w:rPr>
              <w:t>Military service is purchasable "[i]n addition to" the four years available under subdivision B 1 — two separate four-year allowances, eight years maximum.</w:t>
            </w:r>
          </w:p>
        </w:tc>
        <w:tc>
          <w:tcPr>
            <w:tcW w:type="dxa" w:w="2880"/>
          </w:tcPr>
          <w:p>
            <w:pPr>
              <w:spacing w:before="20" w:after="20"/>
              <w:jc w:val="left"/>
            </w:pPr>
            <w:r>
              <w:rPr>
                <w:b/>
                <w:sz w:val="17"/>
              </w:rPr>
              <w:t>Preserve both caps separately. Do not merge them.</w:t>
            </w:r>
            <w:r>
              <w:rPr>
                <w:sz w:val="17"/>
              </w:rPr>
              <w:t xml:space="preserve"> Reaffirmed in enactment clause 2 (i)–(ii).</w:t>
            </w:r>
          </w:p>
        </w:tc>
      </w:tr>
      <w:tr>
        <w:tc>
          <w:tcPr>
            <w:tcW w:type="dxa" w:w="2880"/>
          </w:tcPr>
          <w:p>
            <w:pPr>
              <w:spacing w:before="20" w:after="20"/>
              <w:jc w:val="left"/>
            </w:pPr>
            <w:r>
              <w:rPr>
                <w:b/>
                <w:sz w:val="17"/>
              </w:rPr>
              <w:t>§ 51.1-142.2 I</w:t>
            </w:r>
            <w:r>
              <w:rPr>
                <w:sz w:val="17"/>
              </w:rPr>
              <w:t>, no-cost credit for military leave</w:t>
            </w:r>
          </w:p>
        </w:tc>
        <w:tc>
          <w:tcPr>
            <w:tcW w:type="dxa" w:w="2880"/>
          </w:tcPr>
          <w:p>
            <w:pPr>
              <w:spacing w:before="20" w:after="20"/>
              <w:jc w:val="left"/>
            </w:pPr>
            <w:r>
              <w:rPr>
                <w:sz w:val="17"/>
              </w:rPr>
              <w:t>Applies to a different population: a member already in a covered position who takes leave to serve and returns within one year. Unrelated to pre-hire service.</w:t>
            </w:r>
          </w:p>
        </w:tc>
        <w:tc>
          <w:tcPr>
            <w:tcW w:type="dxa" w:w="2880"/>
          </w:tcPr>
          <w:p>
            <w:pPr>
              <w:spacing w:before="20" w:after="20"/>
              <w:jc w:val="left"/>
            </w:pPr>
            <w:r>
              <w:rPr>
                <w:b/>
                <w:sz w:val="17"/>
              </w:rPr>
              <w:t>Leave unamended.</w:t>
            </w:r>
            <w:r>
              <w:rPr>
                <w:sz w:val="17"/>
              </w:rPr>
              <w:t xml:space="preserve"> Reaffirmed in enactment clause 2 (iv).</w:t>
            </w:r>
          </w:p>
        </w:tc>
      </w:tr>
      <w:tr>
        <w:tc>
          <w:tcPr>
            <w:tcW w:type="dxa" w:w="2880"/>
          </w:tcPr>
          <w:p>
            <w:pPr>
              <w:spacing w:before="20" w:after="20"/>
              <w:jc w:val="left"/>
            </w:pPr>
            <w:r>
              <w:rPr>
                <w:b/>
                <w:sz w:val="17"/>
              </w:rPr>
              <w:t>VRS Board policy on purchase payment agreements</w:t>
            </w:r>
          </w:p>
        </w:tc>
        <w:tc>
          <w:tcPr>
            <w:tcW w:type="dxa" w:w="2880"/>
          </w:tcPr>
          <w:p>
            <w:pPr>
              <w:spacing w:before="20" w:after="20"/>
              <w:jc w:val="left"/>
            </w:pPr>
            <w:r>
              <w:rPr>
                <w:sz w:val="17"/>
              </w:rPr>
              <w:t>Current policy caps agreements at 12 months and provides that duration "may not extend beyond the two-year cost window." The second limb becomes inapplicable to military purchases automatically; the 12-month cap is Board policy and must be overridden in statute to reach 60 months.</w:t>
            </w:r>
          </w:p>
        </w:tc>
        <w:tc>
          <w:tcPr>
            <w:tcW w:type="dxa" w:w="2880"/>
          </w:tcPr>
          <w:p>
            <w:pPr>
              <w:spacing w:before="20" w:after="20"/>
              <w:jc w:val="left"/>
            </w:pPr>
            <w:r>
              <w:rPr>
                <w:sz w:val="17"/>
              </w:rPr>
              <w:t>Handled by § 2.3.</w:t>
            </w:r>
          </w:p>
        </w:tc>
      </w:tr>
      <w:tr>
        <w:tc>
          <w:tcPr>
            <w:tcW w:type="dxa" w:w="2880"/>
          </w:tcPr>
          <w:p>
            <w:pPr>
              <w:spacing w:before="20" w:after="20"/>
              <w:jc w:val="left"/>
            </w:pPr>
            <w:r>
              <w:rPr>
                <w:b/>
                <w:sz w:val="17"/>
              </w:rPr>
              <w:t>IRC § 415(n) limits on permissive service credit purchases in governmental plans</w:t>
            </w:r>
          </w:p>
        </w:tc>
        <w:tc>
          <w:tcPr>
            <w:tcW w:type="dxa" w:w="2880"/>
          </w:tcPr>
          <w:p>
            <w:pPr>
              <w:spacing w:before="20" w:after="20"/>
              <w:jc w:val="left"/>
            </w:pPr>
            <w:r>
              <w:rPr>
                <w:sz w:val="17"/>
              </w:rPr>
              <w:t>Federal limits on purchases of "permissive service credit" are unaffected by the change in price and timing, but a longer payment period and later-career purchases may interact with the annual additions and benefit limits.</w:t>
            </w:r>
          </w:p>
        </w:tc>
        <w:tc>
          <w:tcPr>
            <w:tcW w:type="dxa" w:w="2880"/>
          </w:tcPr>
          <w:p>
            <w:pPr>
              <w:spacing w:before="20" w:after="20"/>
              <w:jc w:val="left"/>
            </w:pPr>
            <w:r>
              <w:rPr>
                <w:b/>
                <w:sz w:val="17"/>
              </w:rPr>
              <w:t>Flag for benefits/tax counsel.</w:t>
            </w:r>
            <w:r>
              <w:rPr>
                <w:sz w:val="17"/>
              </w:rPr>
              <w:t xml:space="preserve"> See § 7, Q6.</w:t>
            </w:r>
          </w:p>
        </w:tc>
      </w:tr>
      <w:tr>
        <w:tc>
          <w:tcPr>
            <w:tcW w:type="dxa" w:w="2880"/>
          </w:tcPr>
          <w:p>
            <w:pPr>
              <w:spacing w:before="20" w:after="20"/>
              <w:jc w:val="left"/>
            </w:pPr>
            <w:r>
              <w:rPr>
                <w:b/>
                <w:sz w:val="17"/>
              </w:rPr>
              <w:t>§ 30-19.1:7</w:t>
            </w:r>
            <w:r>
              <w:rPr>
                <w:sz w:val="17"/>
              </w:rPr>
              <w:t>, VRS Board impact statements</w:t>
            </w:r>
          </w:p>
        </w:tc>
        <w:tc>
          <w:tcPr>
            <w:tcW w:type="dxa" w:w="2880"/>
          </w:tcPr>
          <w:p>
            <w:pPr>
              <w:spacing w:before="20" w:after="20"/>
              <w:jc w:val="left"/>
            </w:pPr>
            <w:r>
              <w:rPr>
                <w:sz w:val="17"/>
              </w:rPr>
              <w:t>The VRS Board must investigate and file a statement on the bill's financial impact on the general fund and on participating local governments, plus its policy implications, with both clerks, the Commission on Local Government, House Appropriations, and Senate Finance &amp; Appropriations.</w:t>
            </w:r>
          </w:p>
        </w:tc>
        <w:tc>
          <w:tcPr>
            <w:tcW w:type="dxa" w:w="2880"/>
          </w:tcPr>
          <w:p>
            <w:pPr>
              <w:spacing w:before="20" w:after="20"/>
              <w:jc w:val="left"/>
            </w:pPr>
            <w:r>
              <w:rPr>
                <w:b/>
                <w:sz w:val="17"/>
              </w:rPr>
              <w:t>Procedural, not a conflict.</w:t>
            </w:r>
            <w:r>
              <w:rPr>
                <w:sz w:val="17"/>
              </w:rPr>
              <w:t xml:space="preserve"> Pre-engage VRS staff before filing.</w:t>
            </w:r>
          </w:p>
        </w:tc>
      </w:tr>
    </w:tbl>
    <w:p>
      <w:pPr>
        <w:spacing w:before="0" w:after="0" w:line="80" w:lineRule="exact"/>
      </w:pPr>
      <w:r>
        <w:rPr>
          <w:sz w:val="8"/>
        </w:rPr>
      </w:r>
    </w:p>
    <w:p>
      <w:r>
        <w:rPr>
          <w:b/>
        </w:rPr>
        <w:t>Conforming amendments required: none.</w:t>
      </w:r>
      <w:r>
        <w:t xml:space="preserve"> No other section of Title 51.1 cross-references the 24-month cost window.</w:t>
      </w:r>
    </w:p>
    <w:p>
      <w:pPr>
        <w:jc w:val="center"/>
      </w:pPr>
      <w:r>
        <w:rPr>
          <w:color w:val="909090"/>
          <w:sz w:val="18"/>
        </w:rPr>
        <w:t>* * *</w:t>
      </w:r>
    </w:p>
    <w:p>
      <w:pPr>
        <w:pStyle w:val="Heading2"/>
      </w:pPr>
      <w:r>
        <w:t>5. Unintended-effects check</w:t>
      </w:r>
    </w:p>
    <w:p>
      <w:r>
        <w:t xml:space="preserve">Labels follow the convention: </w:t>
      </w:r>
      <w:r>
        <w:rPr>
          <w:b/>
        </w:rPr>
        <w:t>INTENDED</w:t>
      </w:r>
      <w:r>
        <w:t xml:space="preserve"> / </w:t>
      </w:r>
      <w:r>
        <w:rPr>
          <w:b/>
        </w:rPr>
        <w:t>EXCLUDE EXPRESSLY</w:t>
      </w:r>
      <w:r>
        <w:t xml:space="preserve"> / </w:t>
      </w:r>
      <w:r>
        <w:rPr>
          <w:b/>
        </w:rPr>
        <w:t>NEEDS COUNSEL OR ACTUARY DECISION</w:t>
      </w:r>
      <w:r>
        <w:t xml:space="preserve"> / </w:t>
      </w:r>
      <w:r>
        <w:rPr>
          <w:b/>
        </w:rPr>
        <w:t>NOT AFFECTED</w:t>
      </w:r>
      <w:r>
        <w:t>.</w:t>
      </w:r>
    </w:p>
    <w:p>
      <w:r>
        <w:t xml:space="preserve">The common thread: because purchased military service is </w:t>
      </w:r>
      <w:r>
        <w:rPr>
          <w:i/>
        </w:rPr>
        <w:t>already</w:t>
      </w:r>
      <w:r>
        <w:t xml:space="preserve"> creditable service under § 51.1-124.3, </w:t>
      </w:r>
      <w:r>
        <w:rPr>
          <w:b/>
        </w:rPr>
        <w:t>no benefit rule changes</w:t>
      </w:r>
      <w:r>
        <w:t xml:space="preserve">. What changes is the </w:t>
      </w:r>
      <w:r>
        <w:rPr>
          <w:i/>
        </w:rPr>
        <w:t>number of veterans who actually exercise a right they already hold</w:t>
      </w:r>
      <w:r>
        <w:t>. Every "volume" entry below describes that effect, not a legal change.</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Provision</w:t>
            </w:r>
          </w:p>
        </w:tc>
        <w:tc>
          <w:tcPr>
            <w:tcW w:type="dxa" w:w="2160"/>
          </w:tcPr>
          <w:p>
            <w:pPr>
              <w:spacing w:before="20" w:after="20"/>
              <w:jc w:val="left"/>
            </w:pPr>
            <w:r>
              <w:rPr>
                <w:b/>
                <w:sz w:val="17"/>
              </w:rPr>
              <w:t>Authority</w:t>
            </w:r>
          </w:p>
        </w:tc>
        <w:tc>
          <w:tcPr>
            <w:tcW w:type="dxa" w:w="2160"/>
          </w:tcPr>
          <w:p>
            <w:pPr>
              <w:spacing w:before="20" w:after="20"/>
              <w:jc w:val="left"/>
            </w:pPr>
            <w:r>
              <w:rPr>
                <w:b/>
                <w:sz w:val="17"/>
              </w:rPr>
              <w:t>Affected?</w:t>
            </w:r>
          </w:p>
        </w:tc>
        <w:tc>
          <w:tcPr>
            <w:tcW w:type="dxa" w:w="2160"/>
          </w:tcPr>
          <w:p>
            <w:pPr>
              <w:spacing w:before="20" w:after="20"/>
              <w:jc w:val="left"/>
            </w:pPr>
            <w:r>
              <w:rPr>
                <w:b/>
                <w:sz w:val="17"/>
              </w:rPr>
              <w:t>Why</w:t>
            </w:r>
          </w:p>
        </w:tc>
      </w:tr>
      <w:tr>
        <w:tc>
          <w:tcPr>
            <w:tcW w:type="dxa" w:w="2160"/>
          </w:tcPr>
          <w:p>
            <w:pPr>
              <w:spacing w:before="20" w:after="20"/>
              <w:jc w:val="left"/>
            </w:pPr>
            <w:r>
              <w:rPr>
                <w:b/>
                <w:sz w:val="17"/>
              </w:rPr>
              <w:t>Vesting</w:t>
            </w:r>
            <w:r>
              <w:rPr>
                <w:sz w:val="17"/>
              </w:rPr>
              <w:t xml:space="preserve"> (5 years creditable service)</w:t>
            </w:r>
          </w:p>
        </w:tc>
        <w:tc>
          <w:tcPr>
            <w:tcW w:type="dxa" w:w="2160"/>
          </w:tcPr>
          <w:p>
            <w:pPr>
              <w:spacing w:before="20" w:after="20"/>
              <w:jc w:val="left"/>
            </w:pPr>
            <w:r>
              <w:rPr>
                <w:sz w:val="17"/>
              </w:rPr>
              <w:t>§ 51.1-153 A, C</w:t>
            </w:r>
          </w:p>
        </w:tc>
        <w:tc>
          <w:tcPr>
            <w:tcW w:type="dxa" w:w="2160"/>
          </w:tcPr>
          <w:p>
            <w:pPr>
              <w:spacing w:before="20" w:after="20"/>
              <w:jc w:val="left"/>
            </w:pPr>
            <w:r>
              <w:rPr>
                <w:b/>
                <w:sz w:val="17"/>
              </w:rPr>
              <w:t>Volume only — INTENDED</w:t>
            </w:r>
          </w:p>
        </w:tc>
        <w:tc>
          <w:tcPr>
            <w:tcW w:type="dxa" w:w="2160"/>
          </w:tcPr>
          <w:p>
            <w:pPr>
              <w:spacing w:before="20" w:after="20"/>
              <w:jc w:val="left"/>
            </w:pPr>
            <w:r>
              <w:rPr>
                <w:sz w:val="17"/>
              </w:rPr>
              <w:t>Purchased military service already counts toward the 5-year requirement. A veteran can already vest partly on purchased service. No rule change; more veterans may do so.</w:t>
            </w:r>
          </w:p>
        </w:tc>
      </w:tr>
      <w:tr>
        <w:tc>
          <w:tcPr>
            <w:tcW w:type="dxa" w:w="2160"/>
          </w:tcPr>
          <w:p>
            <w:pPr>
              <w:spacing w:before="20" w:after="20"/>
              <w:jc w:val="left"/>
            </w:pPr>
            <w:r>
              <w:rPr>
                <w:b/>
                <w:sz w:val="17"/>
              </w:rPr>
              <w:t>Unreduced retirement eligibility</w:t>
            </w:r>
          </w:p>
        </w:tc>
        <w:tc>
          <w:tcPr>
            <w:tcW w:type="dxa" w:w="2160"/>
          </w:tcPr>
          <w:p>
            <w:pPr>
              <w:spacing w:before="20" w:after="20"/>
              <w:jc w:val="left"/>
            </w:pPr>
            <w:r>
              <w:rPr>
                <w:sz w:val="17"/>
              </w:rPr>
              <w:t>§ 51.1-153 A, B 2, B 3</w:t>
            </w:r>
          </w:p>
        </w:tc>
        <w:tc>
          <w:tcPr>
            <w:tcW w:type="dxa" w:w="2160"/>
          </w:tcPr>
          <w:p>
            <w:pPr>
              <w:spacing w:before="20" w:after="20"/>
              <w:jc w:val="left"/>
            </w:pPr>
            <w:r>
              <w:rPr>
                <w:b/>
                <w:sz w:val="17"/>
              </w:rPr>
              <w:t>Volume only — INTENDED</w:t>
            </w:r>
          </w:p>
        </w:tc>
        <w:tc>
          <w:tcPr>
            <w:tcW w:type="dxa" w:w="2160"/>
          </w:tcPr>
          <w:p>
            <w:pPr>
              <w:spacing w:before="20" w:after="20"/>
              <w:jc w:val="left"/>
            </w:pPr>
            <w:r>
              <w:rPr>
                <w:sz w:val="17"/>
              </w:rPr>
              <w:t>Already counts, including toward the Rule of 90 at one service point per year. No rule change. This is the principal benefit veterans are seeking.</w:t>
            </w:r>
          </w:p>
        </w:tc>
      </w:tr>
      <w:tr>
        <w:tc>
          <w:tcPr>
            <w:tcW w:type="dxa" w:w="2160"/>
          </w:tcPr>
          <w:p>
            <w:pPr>
              <w:spacing w:before="20" w:after="20"/>
              <w:jc w:val="left"/>
            </w:pPr>
            <w:r>
              <w:rPr>
                <w:b/>
                <w:sz w:val="17"/>
              </w:rPr>
              <w:t>Reduced / early retirement reductions</w:t>
            </w:r>
          </w:p>
        </w:tc>
        <w:tc>
          <w:tcPr>
            <w:tcW w:type="dxa" w:w="2160"/>
          </w:tcPr>
          <w:p>
            <w:pPr>
              <w:spacing w:before="20" w:after="20"/>
              <w:jc w:val="left"/>
            </w:pPr>
            <w:r>
              <w:rPr>
                <w:sz w:val="17"/>
              </w:rPr>
              <w:t>§ 51.1-155 A 2, A 3</w:t>
            </w:r>
          </w:p>
        </w:tc>
        <w:tc>
          <w:tcPr>
            <w:tcW w:type="dxa" w:w="2160"/>
          </w:tcPr>
          <w:p>
            <w:pPr>
              <w:spacing w:before="20" w:after="20"/>
              <w:jc w:val="left"/>
            </w:pPr>
            <w:r>
              <w:rPr>
                <w:b/>
                <w:sz w:val="17"/>
              </w:rPr>
              <w:t>Volume only — INTENDED</w:t>
            </w:r>
          </w:p>
        </w:tc>
        <w:tc>
          <w:tcPr>
            <w:tcW w:type="dxa" w:w="2160"/>
          </w:tcPr>
          <w:p>
            <w:pPr>
              <w:spacing w:before="20" w:after="20"/>
              <w:jc w:val="left"/>
            </w:pPr>
            <w:r>
              <w:rPr>
                <w:sz w:val="17"/>
              </w:rPr>
              <w:t>Added creditable service already shortens the reduction period. No rule change.</w:t>
            </w:r>
          </w:p>
        </w:tc>
      </w:tr>
      <w:tr>
        <w:tc>
          <w:tcPr>
            <w:tcW w:type="dxa" w:w="2160"/>
          </w:tcPr>
          <w:p>
            <w:pPr>
              <w:spacing w:before="20" w:after="20"/>
              <w:jc w:val="left"/>
            </w:pPr>
            <w:r>
              <w:rPr>
                <w:b/>
                <w:sz w:val="17"/>
              </w:rPr>
              <w:t>Benefit formula</w:t>
            </w:r>
          </w:p>
        </w:tc>
        <w:tc>
          <w:tcPr>
            <w:tcW w:type="dxa" w:w="2160"/>
          </w:tcPr>
          <w:p>
            <w:pPr>
              <w:spacing w:before="20" w:after="20"/>
              <w:jc w:val="left"/>
            </w:pPr>
            <w:r>
              <w:rPr>
                <w:sz w:val="17"/>
              </w:rPr>
              <w:t>§ 51.1-155 A 1 (1.70% / 1.65%); § 51.1-169 D 1 (1.0% Hybrid)</w:t>
            </w:r>
          </w:p>
        </w:tc>
        <w:tc>
          <w:tcPr>
            <w:tcW w:type="dxa" w:w="2160"/>
          </w:tcPr>
          <w:p>
            <w:pPr>
              <w:spacing w:before="20" w:after="20"/>
              <w:jc w:val="left"/>
            </w:pPr>
            <w:r>
              <w:rPr>
                <w:b/>
                <w:sz w:val="17"/>
              </w:rPr>
              <w:t>Volume only — INTENDED</w:t>
            </w:r>
          </w:p>
        </w:tc>
        <w:tc>
          <w:tcPr>
            <w:tcW w:type="dxa" w:w="2160"/>
          </w:tcPr>
          <w:p>
            <w:pPr>
              <w:spacing w:before="20" w:after="20"/>
              <w:jc w:val="left"/>
            </w:pPr>
            <w:r>
              <w:rPr>
                <w:sz w:val="17"/>
              </w:rPr>
              <w:t>Credit already multiplies AFC. No rule change.</w:t>
            </w:r>
          </w:p>
        </w:tc>
      </w:tr>
      <w:tr>
        <w:tc>
          <w:tcPr>
            <w:tcW w:type="dxa" w:w="2160"/>
          </w:tcPr>
          <w:p>
            <w:pPr>
              <w:spacing w:before="20" w:after="20"/>
              <w:jc w:val="left"/>
            </w:pPr>
            <w:r>
              <w:rPr>
                <w:b/>
                <w:sz w:val="17"/>
              </w:rPr>
              <w:t>Average final compensation (AFC)</w:t>
            </w:r>
          </w:p>
        </w:tc>
        <w:tc>
          <w:tcPr>
            <w:tcW w:type="dxa" w:w="2160"/>
          </w:tcPr>
          <w:p>
            <w:pPr>
              <w:spacing w:before="20" w:after="20"/>
              <w:jc w:val="left"/>
            </w:pPr>
            <w:r>
              <w:rPr>
                <w:sz w:val="17"/>
              </w:rPr>
              <w:t>§ 51.1-124.3</w:t>
            </w:r>
          </w:p>
        </w:tc>
        <w:tc>
          <w:tcPr>
            <w:tcW w:type="dxa" w:w="2160"/>
          </w:tcPr>
          <w:p>
            <w:pPr>
              <w:spacing w:before="20" w:after="20"/>
              <w:jc w:val="left"/>
            </w:pPr>
            <w:r>
              <w:rPr>
                <w:b/>
                <w:sz w:val="17"/>
              </w:rPr>
              <w:t>NOT AFFECTED</w:t>
            </w:r>
          </w:p>
        </w:tc>
        <w:tc>
          <w:tcPr>
            <w:tcW w:type="dxa" w:w="2160"/>
          </w:tcPr>
          <w:p>
            <w:pPr>
              <w:spacing w:before="20" w:after="20"/>
              <w:jc w:val="left"/>
            </w:pPr>
            <w:r>
              <w:rPr>
                <w:sz w:val="17"/>
              </w:rPr>
              <w:t xml:space="preserve">AFC is computed from creditable </w:t>
            </w:r>
            <w:r>
              <w:rPr>
                <w:i/>
                <w:sz w:val="17"/>
              </w:rPr>
              <w:t>compensation</w:t>
            </w:r>
            <w:r>
              <w:rPr>
                <w:sz w:val="17"/>
              </w:rPr>
              <w:t xml:space="preserve"> over 36 or 60 highest consecutive months. Purchase payments are not creditable compensation — VRS confirms a pre-tax purchase "has no effect on an employee's creditable compensation for retirement or group life insurance purposes." Purchased months do not enter the AFC averaging period.</w:t>
            </w:r>
          </w:p>
        </w:tc>
      </w:tr>
      <w:tr>
        <w:tc>
          <w:tcPr>
            <w:tcW w:type="dxa" w:w="2160"/>
          </w:tcPr>
          <w:p>
            <w:pPr>
              <w:spacing w:before="20" w:after="20"/>
              <w:jc w:val="left"/>
            </w:pPr>
            <w:r>
              <w:rPr>
                <w:b/>
                <w:sz w:val="17"/>
              </w:rPr>
              <w:t>PLOP</w:t>
            </w:r>
          </w:p>
        </w:tc>
        <w:tc>
          <w:tcPr>
            <w:tcW w:type="dxa" w:w="2160"/>
          </w:tcPr>
          <w:p>
            <w:pPr>
              <w:spacing w:before="20" w:after="20"/>
              <w:jc w:val="left"/>
            </w:pPr>
            <w:r>
              <w:rPr>
                <w:sz w:val="17"/>
              </w:rPr>
              <w:t>§ 51.1-165.01 B</w:t>
            </w:r>
          </w:p>
        </w:tc>
        <w:tc>
          <w:tcPr>
            <w:tcW w:type="dxa" w:w="2160"/>
          </w:tcPr>
          <w:p>
            <w:pPr>
              <w:spacing w:before="20" w:after="20"/>
              <w:jc w:val="left"/>
            </w:pPr>
            <w:r>
              <w:rPr>
                <w:b/>
                <w:sz w:val="17"/>
              </w:rPr>
              <w:t>NEEDS COUNSEL DECISION</w:t>
            </w:r>
          </w:p>
        </w:tc>
        <w:tc>
          <w:tcPr>
            <w:tcW w:type="dxa" w:w="2160"/>
          </w:tcPr>
          <w:p>
            <w:pPr>
              <w:spacing w:before="20" w:after="20"/>
              <w:jc w:val="left"/>
            </w:pPr>
            <w:r>
              <w:rPr>
                <w:sz w:val="17"/>
              </w:rPr>
              <w:t xml:space="preserve">Two independent gates: creditable service </w:t>
            </w:r>
            <w:r>
              <w:rPr>
                <w:i/>
                <w:sz w:val="17"/>
              </w:rPr>
              <w:t>performed</w:t>
            </w:r>
            <w:r>
              <w:rPr>
                <w:sz w:val="17"/>
              </w:rPr>
              <w:t xml:space="preserve"> after the date first eligible for an unreduced allowance, </w:t>
            </w:r>
            <w:r>
              <w:rPr>
                <w:b/>
                <w:sz w:val="17"/>
              </w:rPr>
              <w:t>and</w:t>
            </w:r>
            <w:r>
              <w:rPr>
                <w:sz w:val="17"/>
              </w:rPr>
              <w:t xml:space="preserve"> being "in service" for 1, 2, or 3 full years after January 1, 2001. Purchased prior service is not "performed" and does not satisfy "in service," so it cannot substitute for the required actual service. </w:t>
            </w:r>
            <w:r>
              <w:rPr>
                <w:b/>
                <w:sz w:val="17"/>
              </w:rPr>
              <w:t>But</w:t>
            </w:r>
            <w:r>
              <w:rPr>
                <w:sz w:val="17"/>
              </w:rPr>
              <w:t xml:space="preserve"> accelerating the first-eligibility date starts the post-eligibility clock sooner, so a member can reach a PLOP tier earlier in calendar time. </w:t>
            </w:r>
            <w:r>
              <w:rPr>
                <w:b/>
                <w:sz w:val="17"/>
              </w:rPr>
              <w:t>This is already true under current law.</w:t>
            </w:r>
            <w:r>
              <w:rPr>
                <w:sz w:val="17"/>
              </w:rPr>
              <w:t xml:space="preserve"> The bill increases the number of members in that posture. Enactment clause 2 (v) states expressly that PLOP eligibility and computation are unaltered. Ask VRS counsel to confirm the "in service" and "performed" gates are administered as written.</w:t>
            </w:r>
          </w:p>
        </w:tc>
      </w:tr>
      <w:tr>
        <w:tc>
          <w:tcPr>
            <w:tcW w:type="dxa" w:w="2160"/>
          </w:tcPr>
          <w:p>
            <w:pPr>
              <w:spacing w:before="20" w:after="20"/>
              <w:jc w:val="left"/>
            </w:pPr>
            <w:r>
              <w:rPr>
                <w:b/>
                <w:sz w:val="17"/>
              </w:rPr>
              <w:t>Health insurance credit</w:t>
            </w:r>
          </w:p>
        </w:tc>
        <w:tc>
          <w:tcPr>
            <w:tcW w:type="dxa" w:w="2160"/>
          </w:tcPr>
          <w:p>
            <w:pPr>
              <w:spacing w:before="20" w:after="20"/>
              <w:jc w:val="left"/>
            </w:pPr>
            <w:r>
              <w:rPr>
                <w:sz w:val="17"/>
              </w:rPr>
              <w:t>§ 51.1-1400 A, D</w:t>
            </w:r>
          </w:p>
        </w:tc>
        <w:tc>
          <w:tcPr>
            <w:tcW w:type="dxa" w:w="2160"/>
          </w:tcPr>
          <w:p>
            <w:pPr>
              <w:spacing w:before="20" w:after="20"/>
              <w:jc w:val="left"/>
            </w:pPr>
            <w:r>
              <w:rPr>
                <w:b/>
                <w:sz w:val="17"/>
              </w:rPr>
              <w:t>NEEDS ACTUARY DECISION — flag prominently</w:t>
            </w:r>
          </w:p>
        </w:tc>
        <w:tc>
          <w:tcPr>
            <w:tcW w:type="dxa" w:w="2160"/>
          </w:tcPr>
          <w:p>
            <w:pPr>
              <w:spacing w:before="20" w:after="20"/>
              <w:jc w:val="left"/>
            </w:pPr>
            <w:r>
              <w:rPr>
                <w:sz w:val="17"/>
              </w:rPr>
              <w:t xml:space="preserve">Both the </w:t>
            </w:r>
            <w:r>
              <w:rPr>
                <w:b/>
                <w:sz w:val="17"/>
              </w:rPr>
              <w:t>15-year total creditable service threshold</w:t>
            </w:r>
            <w:r>
              <w:rPr>
                <w:sz w:val="17"/>
              </w:rPr>
              <w:t xml:space="preserve"> and the </w:t>
            </w:r>
            <w:r>
              <w:rPr>
                <w:b/>
                <w:sz w:val="17"/>
              </w:rPr>
              <w:t>$4.25 per month per year of creditable service</w:t>
            </w:r>
            <w:r>
              <w:rPr>
                <w:sz w:val="17"/>
              </w:rPr>
              <w:t xml:space="preserve"> amount are keyed to creditable service, so purchased military years already count toward both. The 15-year threshold is a step function: a member at 13 years who buys 4 military years crosses it and unlocks the credit entirely. </w:t>
            </w:r>
            <w:r>
              <w:rPr>
                <w:b/>
                <w:sz w:val="17"/>
              </w:rPr>
              <w:t>Already true today</w:t>
            </w:r>
            <w:r>
              <w:rPr>
                <w:sz w:val="17"/>
              </w:rPr>
              <w:t xml:space="preserve">, but the bill increases volume, and § 51.1-1400 D requires VRS to actuarially determine HIC funding and reflect it in the § 51.1-145 employer rate. </w:t>
            </w:r>
            <w:r>
              <w:rPr>
                <w:b/>
                <w:sz w:val="17"/>
              </w:rPr>
              <w:t>The HIC trust impact must be priced separately from the pension impact and is not captured in the Brief's headline estimate.</w:t>
            </w:r>
          </w:p>
        </w:tc>
      </w:tr>
      <w:tr>
        <w:tc>
          <w:tcPr>
            <w:tcW w:type="dxa" w:w="2160"/>
          </w:tcPr>
          <w:p>
            <w:pPr>
              <w:spacing w:before="20" w:after="20"/>
              <w:jc w:val="left"/>
            </w:pPr>
            <w:r>
              <w:rPr>
                <w:b/>
                <w:sz w:val="17"/>
              </w:rPr>
              <w:t>Disability retirement — Plan 1 / Plan 2</w:t>
            </w:r>
          </w:p>
        </w:tc>
        <w:tc>
          <w:tcPr>
            <w:tcW w:type="dxa" w:w="2160"/>
          </w:tcPr>
          <w:p>
            <w:pPr>
              <w:spacing w:before="20" w:after="20"/>
              <w:jc w:val="left"/>
            </w:pPr>
            <w:r>
              <w:rPr>
                <w:sz w:val="17"/>
              </w:rPr>
              <w:t>§ 51.1-156</w:t>
            </w:r>
          </w:p>
        </w:tc>
        <w:tc>
          <w:tcPr>
            <w:tcW w:type="dxa" w:w="2160"/>
          </w:tcPr>
          <w:p>
            <w:pPr>
              <w:spacing w:before="20" w:after="20"/>
              <w:jc w:val="left"/>
            </w:pPr>
            <w:r>
              <w:rPr>
                <w:b/>
                <w:sz w:val="17"/>
              </w:rPr>
              <w:t>Volume only — NOT a rule change</w:t>
            </w:r>
          </w:p>
        </w:tc>
        <w:tc>
          <w:tcPr>
            <w:tcW w:type="dxa" w:w="2160"/>
          </w:tcPr>
          <w:p>
            <w:pPr>
              <w:spacing w:before="20" w:after="20"/>
              <w:jc w:val="left"/>
            </w:pPr>
            <w:r>
              <w:rPr>
                <w:sz w:val="17"/>
              </w:rPr>
              <w:t>The disability allowance is computed using creditable service, which already includes purchased military service. No rule change.</w:t>
            </w:r>
          </w:p>
        </w:tc>
      </w:tr>
      <w:tr>
        <w:tc>
          <w:tcPr>
            <w:tcW w:type="dxa" w:w="2160"/>
          </w:tcPr>
          <w:p>
            <w:pPr>
              <w:spacing w:before="20" w:after="20"/>
              <w:jc w:val="left"/>
            </w:pPr>
            <w:r>
              <w:rPr>
                <w:b/>
                <w:sz w:val="17"/>
              </w:rPr>
              <w:t>Disability — Hybrid members</w:t>
            </w:r>
          </w:p>
        </w:tc>
        <w:tc>
          <w:tcPr>
            <w:tcW w:type="dxa" w:w="2160"/>
          </w:tcPr>
          <w:p>
            <w:pPr>
              <w:spacing w:before="20" w:after="20"/>
              <w:jc w:val="left"/>
            </w:pPr>
            <w:r>
              <w:rPr>
                <w:sz w:val="17"/>
              </w:rPr>
              <w:t>§ 51.1-169 D 2; VLDP, § 51.1-1100 et seq.</w:t>
            </w:r>
          </w:p>
        </w:tc>
        <w:tc>
          <w:tcPr>
            <w:tcW w:type="dxa" w:w="2160"/>
          </w:tcPr>
          <w:p>
            <w:pPr>
              <w:spacing w:before="20" w:after="20"/>
              <w:jc w:val="left"/>
            </w:pPr>
            <w:r>
              <w:rPr>
                <w:b/>
                <w:sz w:val="17"/>
              </w:rPr>
              <w:t>NOT AFFECTED</w:t>
            </w:r>
          </w:p>
        </w:tc>
        <w:tc>
          <w:tcPr>
            <w:tcW w:type="dxa" w:w="2160"/>
          </w:tcPr>
          <w:p>
            <w:pPr>
              <w:spacing w:before="20" w:after="20"/>
              <w:jc w:val="left"/>
            </w:pPr>
            <w:r>
              <w:rPr>
                <w:sz w:val="17"/>
              </w:rPr>
              <w:t>"No member shall retire for disability under the defined benefit component of the program." Hybrid members receive Virginia Local/Sickness and Disability Program benefits, which are not service-credit-based. Since every veteran hired since January 1, 2014 is Hybrid, this is the dominant case.</w:t>
            </w:r>
          </w:p>
        </w:tc>
      </w:tr>
      <w:tr>
        <w:tc>
          <w:tcPr>
            <w:tcW w:type="dxa" w:w="2160"/>
          </w:tcPr>
          <w:p>
            <w:pPr>
              <w:spacing w:before="20" w:after="20"/>
              <w:jc w:val="left"/>
            </w:pPr>
            <w:r>
              <w:rPr>
                <w:b/>
                <w:sz w:val="17"/>
              </w:rPr>
              <w:t>Death-in-service and survivor benefits</w:t>
            </w:r>
          </w:p>
        </w:tc>
        <w:tc>
          <w:tcPr>
            <w:tcW w:type="dxa" w:w="2160"/>
          </w:tcPr>
          <w:p>
            <w:pPr>
              <w:spacing w:before="20" w:after="20"/>
              <w:jc w:val="left"/>
            </w:pPr>
            <w:r>
              <w:rPr>
                <w:sz w:val="17"/>
              </w:rPr>
              <w:t>§ 51.1-163</w:t>
            </w:r>
          </w:p>
        </w:tc>
        <w:tc>
          <w:tcPr>
            <w:tcW w:type="dxa" w:w="2160"/>
          </w:tcPr>
          <w:p>
            <w:pPr>
              <w:spacing w:before="20" w:after="20"/>
              <w:jc w:val="left"/>
            </w:pPr>
            <w:r>
              <w:rPr>
                <w:b/>
                <w:sz w:val="17"/>
              </w:rPr>
              <w:t>Volume only — NOT a rule change</w:t>
            </w:r>
          </w:p>
        </w:tc>
        <w:tc>
          <w:tcPr>
            <w:tcW w:type="dxa" w:w="2160"/>
          </w:tcPr>
          <w:p>
            <w:pPr>
              <w:spacing w:before="20" w:after="20"/>
              <w:jc w:val="left"/>
            </w:pPr>
            <w:r>
              <w:rPr>
                <w:sz w:val="17"/>
              </w:rPr>
              <w:t>Keyed to creditable service; purchased military service already counts.</w:t>
            </w:r>
          </w:p>
        </w:tc>
      </w:tr>
      <w:tr>
        <w:tc>
          <w:tcPr>
            <w:tcW w:type="dxa" w:w="2160"/>
          </w:tcPr>
          <w:p>
            <w:pPr>
              <w:spacing w:before="20" w:after="20"/>
              <w:jc w:val="left"/>
            </w:pPr>
            <w:r>
              <w:rPr>
                <w:b/>
                <w:sz w:val="17"/>
              </w:rPr>
              <w:t>Group life insurance</w:t>
            </w:r>
          </w:p>
        </w:tc>
        <w:tc>
          <w:tcPr>
            <w:tcW w:type="dxa" w:w="2160"/>
          </w:tcPr>
          <w:p>
            <w:pPr>
              <w:spacing w:before="20" w:after="20"/>
              <w:jc w:val="left"/>
            </w:pPr>
            <w:r>
              <w:rPr>
                <w:sz w:val="17"/>
              </w:rPr>
              <w:t>§ 51.1-500 et seq.</w:t>
            </w:r>
          </w:p>
        </w:tc>
        <w:tc>
          <w:tcPr>
            <w:tcW w:type="dxa" w:w="2160"/>
          </w:tcPr>
          <w:p>
            <w:pPr>
              <w:spacing w:before="20" w:after="20"/>
              <w:jc w:val="left"/>
            </w:pPr>
            <w:r>
              <w:rPr>
                <w:b/>
                <w:sz w:val="17"/>
              </w:rPr>
              <w:t>NOT AFFECTED</w:t>
            </w:r>
          </w:p>
        </w:tc>
        <w:tc>
          <w:tcPr>
            <w:tcW w:type="dxa" w:w="2160"/>
          </w:tcPr>
          <w:p>
            <w:pPr>
              <w:spacing w:before="20" w:after="20"/>
              <w:jc w:val="left"/>
            </w:pPr>
            <w:r>
              <w:rPr>
                <w:sz w:val="17"/>
              </w:rPr>
              <w:t>Benefits are a function of creditable compensation, not service credit, and purchase payments are excluded from creditable compensation.</w:t>
            </w:r>
          </w:p>
        </w:tc>
      </w:tr>
      <w:tr>
        <w:tc>
          <w:tcPr>
            <w:tcW w:type="dxa" w:w="2160"/>
          </w:tcPr>
          <w:p>
            <w:pPr>
              <w:spacing w:before="20" w:after="20"/>
              <w:jc w:val="left"/>
            </w:pPr>
            <w:r>
              <w:rPr>
                <w:b/>
                <w:sz w:val="17"/>
              </w:rPr>
              <w:t>COLA / post-retirement supplements</w:t>
            </w:r>
          </w:p>
        </w:tc>
        <w:tc>
          <w:tcPr>
            <w:tcW w:type="dxa" w:w="2160"/>
          </w:tcPr>
          <w:p>
            <w:pPr>
              <w:spacing w:before="20" w:after="20"/>
              <w:jc w:val="left"/>
            </w:pPr>
            <w:r>
              <w:rPr>
                <w:sz w:val="17"/>
              </w:rPr>
              <w:t>§ 51.1-166 B, D 4</w:t>
            </w:r>
          </w:p>
        </w:tc>
        <w:tc>
          <w:tcPr>
            <w:tcW w:type="dxa" w:w="2160"/>
          </w:tcPr>
          <w:p>
            <w:pPr>
              <w:spacing w:before="20" w:after="20"/>
              <w:jc w:val="left"/>
            </w:pPr>
            <w:r>
              <w:rPr>
                <w:b/>
                <w:sz w:val="17"/>
              </w:rPr>
              <w:t>Volume only — NOT a rule change</w:t>
            </w:r>
          </w:p>
        </w:tc>
        <w:tc>
          <w:tcPr>
            <w:tcW w:type="dxa" w:w="2160"/>
          </w:tcPr>
          <w:p>
            <w:pPr>
              <w:spacing w:before="20" w:after="20"/>
              <w:jc w:val="left"/>
            </w:pPr>
            <w:r>
              <w:rPr>
                <w:sz w:val="17"/>
              </w:rPr>
              <w:t>A larger allowance yields a larger supplement. Note § 51.1-166 D 4: a member with fewer than 20 years of creditable service must receive the allowance for one full calendar year after the date of unreduced eligibility before the supplement begins — purchased service already counts toward that 20-year test. Hybrid members take the 3% cap (§ 51.1-169 is deemed post-2010 for § 51.1-166 purposes).</w:t>
            </w:r>
          </w:p>
        </w:tc>
      </w:tr>
      <w:tr>
        <w:tc>
          <w:tcPr>
            <w:tcW w:type="dxa" w:w="2160"/>
          </w:tcPr>
          <w:p>
            <w:pPr>
              <w:spacing w:before="20" w:after="20"/>
              <w:jc w:val="left"/>
            </w:pPr>
            <w:r>
              <w:rPr>
                <w:b/>
                <w:sz w:val="17"/>
              </w:rPr>
              <w:t>Hazardous duty supplements and enhanced benefits</w:t>
            </w:r>
          </w:p>
        </w:tc>
        <w:tc>
          <w:tcPr>
            <w:tcW w:type="dxa" w:w="2160"/>
          </w:tcPr>
          <w:p>
            <w:pPr>
              <w:spacing w:before="20" w:after="20"/>
              <w:jc w:val="left"/>
            </w:pPr>
            <w:r>
              <w:rPr>
                <w:sz w:val="17"/>
              </w:rPr>
              <w:t>§ 51.1-138; § 51.1-206; § 51.1-217</w:t>
            </w:r>
          </w:p>
        </w:tc>
        <w:tc>
          <w:tcPr>
            <w:tcW w:type="dxa" w:w="2160"/>
          </w:tcPr>
          <w:p>
            <w:pPr>
              <w:spacing w:before="20" w:after="20"/>
              <w:jc w:val="left"/>
            </w:pPr>
            <w:r>
              <w:rPr>
                <w:b/>
                <w:sz w:val="17"/>
              </w:rPr>
              <w:t>NEEDS COUNSEL AND ACTUARY DECISION</w:t>
            </w:r>
          </w:p>
        </w:tc>
        <w:tc>
          <w:tcPr>
            <w:tcW w:type="dxa" w:w="2160"/>
          </w:tcPr>
          <w:p>
            <w:pPr>
              <w:spacing w:before="20" w:after="20"/>
              <w:jc w:val="left"/>
            </w:pPr>
            <w:r>
              <w:rPr>
                <w:sz w:val="17"/>
              </w:rPr>
              <w:t xml:space="preserve">Approximate normal cost rates for hazardous duty positions are far higher (23.78% Plan 1, 19.15% Plan 2), so both the price veterans pay and the normal-cost-to-actuarial gap differ materially. Separately, whether purchased military service counts toward hazardous-duty service thresholds and supplements must be confirmed rather than assumed. </w:t>
            </w:r>
            <w:r>
              <w:rPr>
                <w:b/>
                <w:sz w:val="17"/>
              </w:rPr>
              <w:t>Do not extrapolate the Brief's cost estimate to hazardous duty populations.</w:t>
            </w:r>
          </w:p>
        </w:tc>
      </w:tr>
      <w:tr>
        <w:tc>
          <w:tcPr>
            <w:tcW w:type="dxa" w:w="2160"/>
          </w:tcPr>
          <w:p>
            <w:pPr>
              <w:spacing w:before="20" w:after="20"/>
              <w:jc w:val="left"/>
            </w:pPr>
            <w:r>
              <w:rPr>
                <w:b/>
                <w:sz w:val="17"/>
              </w:rPr>
              <w:t>Portability / transfer of service</w:t>
            </w:r>
          </w:p>
        </w:tc>
        <w:tc>
          <w:tcPr>
            <w:tcW w:type="dxa" w:w="2160"/>
          </w:tcPr>
          <w:p>
            <w:pPr>
              <w:spacing w:before="20" w:after="20"/>
              <w:jc w:val="left"/>
            </w:pPr>
            <w:r>
              <w:rPr>
                <w:sz w:val="17"/>
              </w:rPr>
              <w:t>§ 51.1-143.1</w:t>
            </w:r>
          </w:p>
        </w:tc>
        <w:tc>
          <w:tcPr>
            <w:tcW w:type="dxa" w:w="2160"/>
          </w:tcPr>
          <w:p>
            <w:pPr>
              <w:spacing w:before="20" w:after="20"/>
              <w:jc w:val="left"/>
            </w:pPr>
            <w:r>
              <w:rPr>
                <w:b/>
                <w:sz w:val="17"/>
              </w:rPr>
              <w:t>NOT AFFECTED</w:t>
            </w:r>
          </w:p>
        </w:tc>
        <w:tc>
          <w:tcPr>
            <w:tcW w:type="dxa" w:w="2160"/>
          </w:tcPr>
          <w:p>
            <w:pPr>
              <w:spacing w:before="20" w:after="20"/>
              <w:jc w:val="left"/>
            </w:pPr>
            <w:r>
              <w:rPr>
                <w:sz w:val="17"/>
              </w:rPr>
              <w:t>Separate mechanism; not keyed to the purchase cost window.</w:t>
            </w:r>
          </w:p>
        </w:tc>
      </w:tr>
      <w:tr>
        <w:tc>
          <w:tcPr>
            <w:tcW w:type="dxa" w:w="2160"/>
          </w:tcPr>
          <w:p>
            <w:pPr>
              <w:spacing w:before="20" w:after="20"/>
              <w:jc w:val="left"/>
            </w:pPr>
            <w:r>
              <w:rPr>
                <w:b/>
                <w:sz w:val="17"/>
              </w:rPr>
              <w:t>Refund of accumulated contributions</w:t>
            </w:r>
          </w:p>
        </w:tc>
        <w:tc>
          <w:tcPr>
            <w:tcW w:type="dxa" w:w="2160"/>
          </w:tcPr>
          <w:p>
            <w:pPr>
              <w:spacing w:before="20" w:after="20"/>
              <w:jc w:val="left"/>
            </w:pPr>
            <w:r>
              <w:rPr>
                <w:sz w:val="17"/>
              </w:rPr>
              <w:t>§ 51.1-128; § 51.1-142.2 C</w:t>
            </w:r>
          </w:p>
        </w:tc>
        <w:tc>
          <w:tcPr>
            <w:tcW w:type="dxa" w:w="2160"/>
          </w:tcPr>
          <w:p>
            <w:pPr>
              <w:spacing w:before="20" w:after="20"/>
              <w:jc w:val="left"/>
            </w:pPr>
            <w:r>
              <w:rPr>
                <w:b/>
                <w:sz w:val="17"/>
              </w:rPr>
              <w:t>EXCLUDE EXPRESSLY — minor</w:t>
            </w:r>
          </w:p>
        </w:tc>
        <w:tc>
          <w:tcPr>
            <w:tcW w:type="dxa" w:w="2160"/>
          </w:tcPr>
          <w:p>
            <w:pPr>
              <w:spacing w:before="20" w:after="20"/>
              <w:jc w:val="left"/>
            </w:pPr>
            <w:r>
              <w:rPr>
                <w:sz w:val="17"/>
              </w:rPr>
              <w:t xml:space="preserve">Member contributions used to purchase service are refundable on withdrawal, which creates a small option value. </w:t>
            </w:r>
            <w:r>
              <w:rPr>
                <w:b/>
                <w:sz w:val="17"/>
              </w:rPr>
              <w:t>Already true today.</w:t>
            </w:r>
            <w:r>
              <w:rPr>
                <w:sz w:val="17"/>
              </w:rPr>
              <w:t xml:space="preserve"> No change recommended; note it in the fiscal assumption register so the actuary can price it. A graded schedule raises the amount paid by near-eligibility members and so raises the refundable balance proportionately — second-order, and partly self-limiting, since a member close to unreduced eligibility is unlikely to withdraw.</w:t>
            </w:r>
          </w:p>
        </w:tc>
      </w:tr>
      <w:tr>
        <w:tc>
          <w:tcPr>
            <w:tcW w:type="dxa" w:w="2160"/>
          </w:tcPr>
          <w:p>
            <w:pPr>
              <w:spacing w:before="20" w:after="20"/>
              <w:jc w:val="left"/>
            </w:pPr>
            <w:r>
              <w:rPr>
                <w:b/>
                <w:sz w:val="17"/>
              </w:rPr>
              <w:t>Hybrid defined contribution component</w:t>
            </w:r>
          </w:p>
        </w:tc>
        <w:tc>
          <w:tcPr>
            <w:tcW w:type="dxa" w:w="2160"/>
          </w:tcPr>
          <w:p>
            <w:pPr>
              <w:spacing w:before="20" w:after="20"/>
              <w:jc w:val="left"/>
            </w:pPr>
            <w:r>
              <w:rPr>
                <w:sz w:val="17"/>
              </w:rPr>
              <w:t>§ 51.1-169 B, C</w:t>
            </w:r>
          </w:p>
        </w:tc>
        <w:tc>
          <w:tcPr>
            <w:tcW w:type="dxa" w:w="2160"/>
          </w:tcPr>
          <w:p>
            <w:pPr>
              <w:spacing w:before="20" w:after="20"/>
              <w:jc w:val="left"/>
            </w:pPr>
            <w:r>
              <w:rPr>
                <w:b/>
                <w:sz w:val="17"/>
              </w:rPr>
              <w:t>NOT AFFECTED</w:t>
            </w:r>
          </w:p>
        </w:tc>
        <w:tc>
          <w:tcPr>
            <w:tcW w:type="dxa" w:w="2160"/>
          </w:tcPr>
          <w:p>
            <w:pPr>
              <w:spacing w:before="20" w:after="20"/>
              <w:jc w:val="left"/>
            </w:pPr>
            <w:r>
              <w:rPr>
                <w:sz w:val="17"/>
              </w:rPr>
              <w:t>Purchases buy defined benefit service only. Employer and employee DC contributions and the DC vesting schedule in § 51.1-169 B 3 are untouched.</w:t>
            </w:r>
          </w:p>
        </w:tc>
      </w:tr>
      <w:tr>
        <w:tc>
          <w:tcPr>
            <w:tcW w:type="dxa" w:w="2160"/>
          </w:tcPr>
          <w:p>
            <w:pPr>
              <w:spacing w:before="20" w:after="20"/>
              <w:jc w:val="left"/>
            </w:pPr>
            <w:r>
              <w:rPr>
                <w:b/>
                <w:sz w:val="17"/>
              </w:rPr>
              <w:t>Other § 51.1-142.2 purchase categories</w:t>
            </w:r>
            <w:r>
              <w:rPr>
                <w:sz w:val="17"/>
              </w:rPr>
              <w:t xml:space="preserve"> (educational leave, FMLA, parental leave, out-of-state public service, federal civilian service, part-time/wage service, non-ported service)</w:t>
            </w:r>
          </w:p>
        </w:tc>
        <w:tc>
          <w:tcPr>
            <w:tcW w:type="dxa" w:w="2160"/>
          </w:tcPr>
          <w:p>
            <w:pPr>
              <w:spacing w:before="20" w:after="20"/>
              <w:jc w:val="left"/>
            </w:pPr>
            <w:r>
              <w:rPr>
                <w:sz w:val="17"/>
              </w:rPr>
              <w:t>§ 51.1-142.2 B 1</w:t>
            </w:r>
          </w:p>
        </w:tc>
        <w:tc>
          <w:tcPr>
            <w:tcW w:type="dxa" w:w="2160"/>
          </w:tcPr>
          <w:p>
            <w:pPr>
              <w:spacing w:before="20" w:after="20"/>
              <w:jc w:val="left"/>
            </w:pPr>
            <w:r>
              <w:rPr>
                <w:b/>
                <w:sz w:val="17"/>
              </w:rPr>
              <w:t>EXCLUDE EXPRESSLY — INTENDED</w:t>
            </w:r>
          </w:p>
        </w:tc>
        <w:tc>
          <w:tcPr>
            <w:tcW w:type="dxa" w:w="2160"/>
          </w:tcPr>
          <w:p>
            <w:pPr>
              <w:spacing w:before="20" w:after="20"/>
              <w:jc w:val="left"/>
            </w:pPr>
            <w:r>
              <w:rPr>
                <w:sz w:val="17"/>
              </w:rPr>
              <w:t>Deliberately left at the 24-month window. Keeps the bill narrow and the fiscal note small. Enactment clause 2 (i) confirms.</w:t>
            </w:r>
          </w:p>
        </w:tc>
      </w:tr>
      <w:tr>
        <w:tc>
          <w:tcPr>
            <w:tcW w:type="dxa" w:w="2160"/>
          </w:tcPr>
          <w:p>
            <w:pPr>
              <w:spacing w:before="20" w:after="20"/>
              <w:jc w:val="left"/>
            </w:pPr>
            <w:r>
              <w:rPr>
                <w:b/>
                <w:sz w:val="17"/>
              </w:rPr>
              <w:t>Sick leave, workers' compensation, refunded, and employer-error purchases</w:t>
            </w:r>
          </w:p>
        </w:tc>
        <w:tc>
          <w:tcPr>
            <w:tcW w:type="dxa" w:w="2160"/>
          </w:tcPr>
          <w:p>
            <w:pPr>
              <w:spacing w:before="20" w:after="20"/>
              <w:jc w:val="left"/>
            </w:pPr>
            <w:r>
              <w:rPr>
                <w:sz w:val="17"/>
              </w:rPr>
              <w:t>§ 51.1-142.2 C, D, E, H</w:t>
            </w:r>
          </w:p>
        </w:tc>
        <w:tc>
          <w:tcPr>
            <w:tcW w:type="dxa" w:w="2160"/>
          </w:tcPr>
          <w:p>
            <w:pPr>
              <w:spacing w:before="20" w:after="20"/>
              <w:jc w:val="left"/>
            </w:pPr>
            <w:r>
              <w:rPr>
                <w:b/>
                <w:sz w:val="17"/>
              </w:rPr>
              <w:t>EXCLUDE EXPRESSLY</w:t>
            </w:r>
          </w:p>
        </w:tc>
        <w:tc>
          <w:tcPr>
            <w:tcW w:type="dxa" w:w="2160"/>
          </w:tcPr>
          <w:p>
            <w:pPr>
              <w:spacing w:before="20" w:after="20"/>
              <w:jc w:val="left"/>
            </w:pPr>
            <w:r>
              <w:rPr>
                <w:sz w:val="17"/>
              </w:rPr>
              <w:t>Separate pricing regimes. Enactment clause 2 (iii) confirms.</w:t>
            </w:r>
          </w:p>
        </w:tc>
      </w:tr>
    </w:tbl>
    <w:p>
      <w:pPr>
        <w:spacing w:before="0" w:after="0" w:line="80" w:lineRule="exact"/>
      </w:pPr>
      <w:r>
        <w:rPr>
          <w:sz w:val="8"/>
        </w:rPr>
      </w:r>
    </w:p>
    <w:p>
      <w:pPr>
        <w:pStyle w:val="Heading3"/>
      </w:pPr>
      <w:r>
        <w:t>5.1 The one genuine new exposure: adverse selection</w:t>
      </w:r>
    </w:p>
    <w:p>
      <w:r>
        <w:t>This is the only mechanism by which the bill could cost materially more than estimated, and it is the objection VRS is most likely to raise.</w:t>
      </w:r>
    </w:p>
    <w:p>
      <w:r>
        <w:t xml:space="preserve">With no deadline, a member can defer the decision until the value of the purchase is known rather than uncertain — for example, buying immediately before retirement to cross the Rule of 90, or to cross the 15-year HIC threshold. The approximate normal cost is an </w:t>
      </w:r>
      <w:r>
        <w:rPr>
          <w:i/>
        </w:rPr>
        <w:t>average</w:t>
      </w:r>
      <w:r>
        <w:t xml:space="preserve"> rate; selective late purchasing loads the pool with the cases where the true cost exceeds that average.</w:t>
      </w:r>
    </w:p>
    <w:p>
      <w:r>
        <w:t>The draft mitigates this with two provisions that cost veterans essentially nothing:</w:t>
      </w:r>
    </w:p>
    <w:p>
      <w:pPr>
        <w:spacing w:after="60"/>
        <w:ind w:left="432" w:hanging="432"/>
      </w:pPr>
      <w:r>
        <w:rPr>
          <w:b/>
        </w:rPr>
        <w:t>1.</w:t>
        <w:tab/>
      </w:r>
      <w:r>
        <w:rPr>
          <w:b/>
        </w:rPr>
        <w:t>Graded normal-cost schedule authority</w:t>
      </w:r>
      <w:r>
        <w:t xml:space="preserve"> (§ 2.2), varying by the member's </w:t>
      </w:r>
      <w:r>
        <w:rPr>
          <w:b/>
        </w:rPr>
        <w:t>age and creditable service</w:t>
      </w:r>
      <w:r>
        <w:t xml:space="preserve"> — equivalently, distance from unreduced eligibility. Converts a single average rate into a small set of published rates. Preserves predictability and affordability while removing the cross-subsidy.</w:t>
      </w:r>
    </w:p>
    <w:p>
      <w:pPr>
        <w:spacing w:after="60"/>
        <w:ind w:left="432" w:hanging="432"/>
      </w:pPr>
      <w:r>
        <w:rPr>
          <w:b/>
        </w:rPr>
        <w:t>2.</w:t>
        <w:tab/>
      </w:r>
      <w:r>
        <w:rPr>
          <w:b/>
        </w:rPr>
        <w:t>12-month pre-retirement completion authority</w:t>
      </w:r>
      <w:r>
        <w:t xml:space="preserve"> (§ 2.2). Forecloses eve-of-retirement purchases outright.</w:t>
      </w:r>
    </w:p>
    <w:p>
      <w:pPr>
        <w:spacing w:before="120" w:after="120"/>
        <w:ind w:left="480"/>
      </w:pPr>
      <w:r>
        <w:rPr>
          <w:b/>
          <w:i/>
          <w:color w:val="444444"/>
          <w:sz w:val="20"/>
        </w:rPr>
        <w:t xml:space="preserve">Why the guardrail is graded on age </w:t>
      </w:r>
      <w:r>
        <w:rPr>
          <w:b/>
          <w:i/>
          <w:color w:val="444444"/>
          <w:sz w:val="20"/>
        </w:rPr>
        <w:t>and</w:t>
      </w:r>
      <w:r>
        <w:rPr>
          <w:b/>
          <w:i/>
          <w:color w:val="444444"/>
          <w:sz w:val="20"/>
        </w:rPr>
        <w:t xml:space="preserve"> service, and why that wording is not negotiable.</w:t>
      </w:r>
      <w:r>
        <w:rPr>
          <w:i/>
          <w:color w:val="444444"/>
          <w:sz w:val="20"/>
        </w:rPr>
        <w:t xml:space="preserve"> Annex 2 Closure FM-4 § 4.8 priced both formulations as dials. Graded on </w:t>
      </w:r>
      <w:r>
        <w:rPr>
          <w:b/>
          <w:i/>
          <w:color w:val="444444"/>
          <w:sz w:val="20"/>
        </w:rPr>
        <w:t>age alone</w:t>
      </w:r>
      <w:r>
        <w:rPr>
          <w:i/>
          <w:color w:val="444444"/>
          <w:sz w:val="20"/>
        </w:rPr>
        <w:t xml:space="preserve"> — what this annex said through v1.0 — turning the dial from 0% to 100% recovery removes only about </w:t>
      </w:r>
      <w:r>
        <w:rPr>
          <w:b/>
          <w:i/>
          <w:color w:val="444444"/>
          <w:sz w:val="20"/>
        </w:rPr>
        <w:t>15%</w:t>
      </w:r>
      <w:r>
        <w:rPr>
          <w:i/>
          <w:color w:val="444444"/>
          <w:sz w:val="20"/>
        </w:rPr>
        <w:t xml:space="preserve"> of the modelled exposure ($57.0M → $48.6M at 20% take-up). Graded on </w:t>
      </w:r>
      <w:r>
        <w:rPr>
          <w:b/>
          <w:i/>
          <w:color w:val="444444"/>
          <w:sz w:val="20"/>
        </w:rPr>
        <w:t>age and creditable service</w:t>
      </w:r>
      <w:r>
        <w:rPr>
          <w:i/>
          <w:color w:val="444444"/>
          <w:sz w:val="20"/>
        </w:rPr>
        <w:t xml:space="preserve">, the same authority removes </w:t>
      </w:r>
      <w:r>
        <w:rPr>
          <w:b/>
          <w:i/>
          <w:color w:val="444444"/>
          <w:sz w:val="20"/>
        </w:rPr>
        <w:t>half</w:t>
      </w:r>
      <w:r>
        <w:rPr>
          <w:i/>
          <w:color w:val="444444"/>
          <w:sz w:val="20"/>
        </w:rPr>
        <w:t xml:space="preserve"> the exposure at 50% recovery ($57.0M → $28.5M) and </w:t>
      </w:r>
      <w:r>
        <w:rPr>
          <w:b/>
          <w:i/>
          <w:color w:val="444444"/>
          <w:sz w:val="20"/>
        </w:rPr>
        <w:t>all of it</w:t>
      </w:r>
      <w:r>
        <w:rPr>
          <w:i/>
          <w:color w:val="444444"/>
          <w:sz w:val="20"/>
        </w:rPr>
        <w:t xml:space="preserve"> at 100%, where the bill is actuarially neutral by construction and the fiscal note is zero.</w:t>
      </w:r>
    </w:p>
    <w:p>
      <w:pPr>
        <w:spacing w:before="120" w:after="120"/>
        <w:ind w:left="480"/>
      </w:pPr>
      <w:r>
        <w:rPr>
          <w:i/>
          <w:color w:val="444444"/>
          <w:sz w:val="20"/>
        </w:rPr>
        <w:t xml:space="preserve">The reason is mechanical, not a modelling artefact. The exposure is dominated by </w:t>
      </w:r>
      <w:r>
        <w:rPr>
          <w:b/>
          <w:i/>
          <w:color w:val="444444"/>
          <w:sz w:val="20"/>
        </w:rPr>
        <w:t>retirement-date acceleration</w:t>
      </w:r>
      <w:r>
        <w:rPr>
          <w:i/>
          <w:color w:val="444444"/>
          <w:sz w:val="20"/>
        </w:rPr>
        <w:t xml:space="preserve">, not by the richer benefit amount, and acceleration is driven by proximity to an eligibility </w:t>
      </w:r>
      <w:r>
        <w:rPr>
          <w:i/>
          <w:color w:val="444444"/>
          <w:sz w:val="20"/>
        </w:rPr>
        <w:t>threshold</w:t>
      </w:r>
      <w:r>
        <w:rPr>
          <w:i/>
          <w:color w:val="444444"/>
          <w:sz w:val="20"/>
        </w:rPr>
        <w:t xml:space="preserve"> — age and service together. A Plan 1 member at 52 with 28 years and one at 52 with 9 years pay the identical rate under an age-only schedule and are not remotely the same risk to the Fund. Age alone is a poor proxy for distance from eligibility; age and service </w:t>
      </w:r>
      <w:r>
        <w:rPr>
          <w:i/>
          <w:color w:val="444444"/>
          <w:sz w:val="20"/>
        </w:rPr>
        <w:t>is</w:t>
      </w:r>
      <w:r>
        <w:rPr>
          <w:i/>
          <w:color w:val="444444"/>
          <w:sz w:val="20"/>
        </w:rPr>
        <w:t xml:space="preserve"> that distance.</w:t>
      </w:r>
    </w:p>
    <w:p>
      <w:pPr>
        <w:spacing w:before="120" w:after="120"/>
        <w:ind w:left="480"/>
      </w:pPr>
      <w:r>
        <w:rPr>
          <w:i/>
          <w:color w:val="444444"/>
          <w:sz w:val="20"/>
        </w:rPr>
        <w:t xml:space="preserve">Guardrail B (the 12-month deadline) shaves the exposure ceiling by only about 3%–4%, because the AEC/ANC multiple is a smooth function of age with no cliff in it to cut off. It is worth having and costs veterans almost nothing, but </w:t>
      </w:r>
      <w:r>
        <w:rPr>
          <w:b/>
          <w:i/>
          <w:color w:val="444444"/>
          <w:sz w:val="20"/>
        </w:rPr>
        <w:t>it is not a substitute for the graded schedule and must not be traded for it.</w:t>
      </w:r>
      <w:r>
        <w:rPr>
          <w:i/>
          <w:color w:val="444444"/>
          <w:sz w:val="20"/>
        </w:rPr>
        <w:t xml:space="preserve"> If only one guardrail survives, it must be this one.</w:t>
      </w:r>
    </w:p>
    <w:p>
      <w:r>
        <w:t>A third option, if VRS insists: require a minimum period of membership service (for example, 5 years) before a late-window military purchase is permitted, which ties the subsidy to demonstrated commitment to the Commonwealth. JLCVSO should treat this as a concession available in negotiation, not as part of the opening draft.</w:t>
      </w:r>
    </w:p>
    <w:p>
      <w:pPr>
        <w:jc w:val="center"/>
      </w:pPr>
      <w:r>
        <w:rPr>
          <w:color w:val="909090"/>
          <w:sz w:val="18"/>
        </w:rPr>
        <w:t>* * *</w:t>
      </w:r>
    </w:p>
    <w:p>
      <w:pPr>
        <w:pStyle w:val="Heading2"/>
      </w:pPr>
      <w:r>
        <w:t>6. Alternatives considered</w:t>
      </w:r>
    </w:p>
    <w:tbl>
      <w:tblPr>
        <w:tblStyle w:val="TableGrid"/>
        <w:tblW w:type="auto" w:w="0"/>
        <w:jc w:val="left"/>
        <w:tblLook w:firstColumn="1" w:firstRow="1" w:lastColumn="0" w:lastRow="0" w:noHBand="0" w:noVBand="1" w:val="04A0"/>
      </w:tblPr>
      <w:tblGrid>
        <w:gridCol w:w="1728"/>
        <w:gridCol w:w="1728"/>
        <w:gridCol w:w="1728"/>
        <w:gridCol w:w="1728"/>
        <w:gridCol w:w="1728"/>
      </w:tblGrid>
      <w:tr>
        <w:trPr>
          <w:tblHeader w:val="true"/>
        </w:trPr>
        <w:tc>
          <w:tcPr>
            <w:tcW w:type="dxa" w:w="1728"/>
          </w:tcPr>
          <w:p>
            <w:pPr>
              <w:spacing w:before="20" w:after="20"/>
              <w:jc w:val="left"/>
            </w:pPr>
            <w:r>
              <w:rPr>
                <w:b/>
                <w:sz w:val="17"/>
              </w:rPr>
              <w:t>Option</w:t>
            </w:r>
          </w:p>
        </w:tc>
        <w:tc>
          <w:tcPr>
            <w:tcW w:type="dxa" w:w="1728"/>
          </w:tcPr>
          <w:p>
            <w:pPr>
              <w:spacing w:before="20" w:after="20"/>
              <w:jc w:val="left"/>
            </w:pPr>
            <w:r>
              <w:rPr>
                <w:b/>
                <w:sz w:val="17"/>
              </w:rPr>
              <w:t>Mechanism</w:t>
            </w:r>
          </w:p>
        </w:tc>
        <w:tc>
          <w:tcPr>
            <w:tcW w:type="dxa" w:w="1728"/>
          </w:tcPr>
          <w:p>
            <w:pPr>
              <w:spacing w:before="20" w:after="20"/>
              <w:jc w:val="left"/>
            </w:pPr>
            <w:r>
              <w:rPr>
                <w:b/>
                <w:sz w:val="17"/>
              </w:rPr>
              <w:t>Veteran benefit</w:t>
            </w:r>
          </w:p>
        </w:tc>
        <w:tc>
          <w:tcPr>
            <w:tcW w:type="dxa" w:w="1728"/>
          </w:tcPr>
          <w:p>
            <w:pPr>
              <w:spacing w:before="20" w:after="20"/>
              <w:jc w:val="left"/>
            </w:pPr>
            <w:r>
              <w:rPr>
                <w:b/>
                <w:sz w:val="17"/>
              </w:rPr>
              <w:t>Exposure added</w:t>
            </w:r>
          </w:p>
        </w:tc>
        <w:tc>
          <w:tcPr>
            <w:tcW w:type="dxa" w:w="1728"/>
          </w:tcPr>
          <w:p>
            <w:pPr>
              <w:spacing w:before="20" w:after="20"/>
              <w:jc w:val="left"/>
            </w:pPr>
            <w:r>
              <w:rPr>
                <w:b/>
                <w:sz w:val="17"/>
              </w:rPr>
              <w:t>Assessment</w:t>
            </w:r>
          </w:p>
        </w:tc>
      </w:tr>
      <w:tr>
        <w:tc>
          <w:tcPr>
            <w:tcW w:type="dxa" w:w="1728"/>
          </w:tcPr>
          <w:p>
            <w:pPr>
              <w:spacing w:before="20" w:after="20"/>
              <w:jc w:val="left"/>
            </w:pPr>
            <w:r>
              <w:rPr>
                <w:b/>
                <w:sz w:val="17"/>
              </w:rPr>
              <w:t>1. Remove the cost window for military service</w:t>
            </w:r>
            <w:r>
              <w:rPr>
                <w:sz w:val="17"/>
              </w:rPr>
              <w:t xml:space="preserve"> </w:t>
            </w:r>
            <w:r>
              <w:rPr>
                <w:i/>
                <w:sz w:val="17"/>
              </w:rPr>
              <w:t>(recommended)</w:t>
            </w:r>
          </w:p>
        </w:tc>
        <w:tc>
          <w:tcPr>
            <w:tcW w:type="dxa" w:w="1728"/>
          </w:tcPr>
          <w:p>
            <w:pPr>
              <w:spacing w:before="20" w:after="20"/>
              <w:jc w:val="left"/>
            </w:pPr>
            <w:r>
              <w:rPr>
                <w:sz w:val="17"/>
              </w:rPr>
              <w:t>Amend § 51.1-142.2 B 3 pricing sentence</w:t>
            </w:r>
          </w:p>
        </w:tc>
        <w:tc>
          <w:tcPr>
            <w:tcW w:type="dxa" w:w="1728"/>
          </w:tcPr>
          <w:p>
            <w:pPr>
              <w:spacing w:before="20" w:after="20"/>
              <w:jc w:val="left"/>
            </w:pPr>
            <w:r>
              <w:rPr>
                <w:sz w:val="17"/>
              </w:rPr>
              <w:t>Full creditable service at an affordable, published rate at any career stage</w:t>
            </w:r>
          </w:p>
        </w:tc>
        <w:tc>
          <w:tcPr>
            <w:tcW w:type="dxa" w:w="1728"/>
          </w:tcPr>
          <w:p>
            <w:pPr>
              <w:spacing w:before="20" w:after="20"/>
              <w:jc w:val="left"/>
            </w:pPr>
            <w:r>
              <w:rPr>
                <w:sz w:val="17"/>
              </w:rPr>
              <w:t>Normal-cost-to-actuarial gap per year purchased; small, and ≈0 or negative for Hybrid members under ~50</w:t>
            </w:r>
          </w:p>
        </w:tc>
        <w:tc>
          <w:tcPr>
            <w:tcW w:type="dxa" w:w="1728"/>
          </w:tcPr>
          <w:p>
            <w:pPr>
              <w:spacing w:before="20" w:after="20"/>
              <w:jc w:val="left"/>
            </w:pPr>
            <w:r>
              <w:rPr>
                <w:b/>
                <w:sz w:val="17"/>
              </w:rPr>
              <w:t>Recommended.</w:t>
            </w:r>
            <w:r>
              <w:rPr>
                <w:sz w:val="17"/>
              </w:rPr>
              <w:t xml:space="preserve"> Smallest possible statutory footprint; no new defined term; no benefit rule changes; reuses existing VRS machinery.</w:t>
            </w:r>
          </w:p>
        </w:tc>
      </w:tr>
      <w:tr>
        <w:tc>
          <w:tcPr>
            <w:tcW w:type="dxa" w:w="1728"/>
          </w:tcPr>
          <w:p>
            <w:pPr>
              <w:spacing w:before="20" w:after="20"/>
              <w:jc w:val="left"/>
            </w:pPr>
            <w:r>
              <w:rPr>
                <w:b/>
                <w:sz w:val="17"/>
              </w:rPr>
              <w:t>2. Payment flexibility only</w:t>
            </w:r>
          </w:p>
        </w:tc>
        <w:tc>
          <w:tcPr>
            <w:tcW w:type="dxa" w:w="1728"/>
          </w:tcPr>
          <w:p>
            <w:pPr>
              <w:spacing w:before="20" w:after="20"/>
              <w:jc w:val="left"/>
            </w:pPr>
            <w:r>
              <w:rPr>
                <w:sz w:val="17"/>
              </w:rPr>
              <w:t>Amend § 51.1-142.2 F to allow 60-month agreements; keep actuarial pricing after 24 months</w:t>
            </w:r>
          </w:p>
        </w:tc>
        <w:tc>
          <w:tcPr>
            <w:tcW w:type="dxa" w:w="1728"/>
          </w:tcPr>
          <w:p>
            <w:pPr>
              <w:spacing w:before="20" w:after="20"/>
              <w:jc w:val="left"/>
            </w:pPr>
            <w:r>
              <w:rPr>
                <w:sz w:val="17"/>
              </w:rPr>
              <w:t>Removes the cash-flow barrier, which is the operative barrier for most veterans</w:t>
            </w:r>
          </w:p>
        </w:tc>
        <w:tc>
          <w:tcPr>
            <w:tcW w:type="dxa" w:w="1728"/>
          </w:tcPr>
          <w:p>
            <w:pPr>
              <w:spacing w:before="20" w:after="20"/>
              <w:jc w:val="left"/>
            </w:pPr>
            <w:r>
              <w:rPr>
                <w:b/>
                <w:sz w:val="17"/>
              </w:rPr>
              <w:t>Zero actuarial cost</w:t>
            </w:r>
            <w:r>
              <w:rPr>
                <w:sz w:val="17"/>
              </w:rPr>
              <w:t xml:space="preserve"> — administrative only</w:t>
            </w:r>
          </w:p>
        </w:tc>
        <w:tc>
          <w:tcPr>
            <w:tcW w:type="dxa" w:w="1728"/>
          </w:tcPr>
          <w:p>
            <w:pPr>
              <w:spacing w:before="20" w:after="20"/>
              <w:jc w:val="left"/>
            </w:pPr>
            <w:r>
              <w:rPr>
                <w:b/>
                <w:sz w:val="17"/>
              </w:rPr>
              <w:t>Strong fallback, and worth enacting alongside Option 1.</w:t>
            </w:r>
            <w:r>
              <w:rPr>
                <w:sz w:val="17"/>
              </w:rPr>
              <w:t xml:space="preserve"> Very hard to oppose on fiscal grounds.</w:t>
            </w:r>
          </w:p>
        </w:tc>
      </w:tr>
      <w:tr>
        <w:tc>
          <w:tcPr>
            <w:tcW w:type="dxa" w:w="1728"/>
          </w:tcPr>
          <w:p>
            <w:pPr>
              <w:spacing w:before="20" w:after="20"/>
              <w:jc w:val="left"/>
            </w:pPr>
            <w:r>
              <w:rPr>
                <w:b/>
                <w:sz w:val="17"/>
              </w:rPr>
              <w:t>3. Longer finite window</w:t>
            </w:r>
          </w:p>
        </w:tc>
        <w:tc>
          <w:tcPr>
            <w:tcW w:type="dxa" w:w="1728"/>
          </w:tcPr>
          <w:p>
            <w:pPr>
              <w:spacing w:before="20" w:after="20"/>
              <w:jc w:val="left"/>
            </w:pPr>
            <w:r>
              <w:rPr>
                <w:sz w:val="17"/>
              </w:rPr>
              <w:t>60 months instead of 24, plus a one-time 24-month open enrollment for current employees</w:t>
            </w:r>
          </w:p>
        </w:tc>
        <w:tc>
          <w:tcPr>
            <w:tcW w:type="dxa" w:w="1728"/>
          </w:tcPr>
          <w:p>
            <w:pPr>
              <w:spacing w:before="20" w:after="20"/>
              <w:jc w:val="left"/>
            </w:pPr>
            <w:r>
              <w:rPr>
                <w:sz w:val="17"/>
              </w:rPr>
              <w:t>Reaches most veterans</w:t>
            </w:r>
          </w:p>
        </w:tc>
        <w:tc>
          <w:tcPr>
            <w:tcW w:type="dxa" w:w="1728"/>
          </w:tcPr>
          <w:p>
            <w:pPr>
              <w:spacing w:before="20" w:after="20"/>
              <w:jc w:val="left"/>
            </w:pPr>
            <w:r>
              <w:rPr>
                <w:sz w:val="17"/>
              </w:rPr>
              <w:t>Bounded and quantifiable</w:t>
            </w:r>
          </w:p>
        </w:tc>
        <w:tc>
          <w:tcPr>
            <w:tcW w:type="dxa" w:w="1728"/>
          </w:tcPr>
          <w:p>
            <w:pPr>
              <w:spacing w:before="20" w:after="20"/>
              <w:jc w:val="left"/>
            </w:pPr>
            <w:r>
              <w:rPr>
                <w:sz w:val="17"/>
              </w:rPr>
              <w:t>Reasonable compromise if Option 1 draws a negative impact statement.</w:t>
            </w:r>
          </w:p>
        </w:tc>
      </w:tr>
      <w:tr>
        <w:tc>
          <w:tcPr>
            <w:tcW w:type="dxa" w:w="1728"/>
          </w:tcPr>
          <w:p>
            <w:pPr>
              <w:spacing w:before="20" w:after="20"/>
              <w:jc w:val="left"/>
            </w:pPr>
            <w:r>
              <w:rPr>
                <w:b/>
                <w:sz w:val="17"/>
              </w:rPr>
              <w:t>4. Employer-paid purchase</w:t>
            </w:r>
          </w:p>
        </w:tc>
        <w:tc>
          <w:tcPr>
            <w:tcW w:type="dxa" w:w="1728"/>
          </w:tcPr>
          <w:p>
            <w:pPr>
              <w:spacing w:before="20" w:after="20"/>
              <w:jc w:val="left"/>
            </w:pPr>
            <w:r>
              <w:rPr>
                <w:sz w:val="17"/>
              </w:rPr>
              <w:t>Use existing § 51.1-142.2 G authority for employers to pay in lieu of member contributions</w:t>
            </w:r>
          </w:p>
        </w:tc>
        <w:tc>
          <w:tcPr>
            <w:tcW w:type="dxa" w:w="1728"/>
          </w:tcPr>
          <w:p>
            <w:pPr>
              <w:spacing w:before="20" w:after="20"/>
              <w:jc w:val="left"/>
            </w:pPr>
            <w:r>
              <w:rPr>
                <w:sz w:val="17"/>
              </w:rPr>
              <w:t>Largest veteran benefit</w:t>
            </w:r>
          </w:p>
        </w:tc>
        <w:tc>
          <w:tcPr>
            <w:tcW w:type="dxa" w:w="1728"/>
          </w:tcPr>
          <w:p>
            <w:pPr>
              <w:spacing w:before="20" w:after="20"/>
              <w:jc w:val="left"/>
            </w:pPr>
            <w:r>
              <w:rPr>
                <w:sz w:val="17"/>
              </w:rPr>
              <w:t>Direct agency budget cost; requires appropriation</w:t>
            </w:r>
          </w:p>
        </w:tc>
        <w:tc>
          <w:tcPr>
            <w:tcW w:type="dxa" w:w="1728"/>
          </w:tcPr>
          <w:p>
            <w:pPr>
              <w:spacing w:before="20" w:after="20"/>
              <w:jc w:val="left"/>
            </w:pPr>
            <w:r>
              <w:rPr>
                <w:sz w:val="17"/>
              </w:rPr>
              <w:t xml:space="preserve">Not recommended as a statewide ask — converts a $0 general fund bill into an appropriation request. May be viable as an agency-level recruitment tool for hard-to-fill positions, which requires </w:t>
            </w:r>
            <w:r>
              <w:rPr>
                <w:b/>
                <w:sz w:val="17"/>
              </w:rPr>
              <w:t>no legislation at all</w:t>
            </w:r>
            <w:r>
              <w:rPr>
                <w:sz w:val="17"/>
              </w:rPr>
              <w:t>. Worth raising with DHRM separately.</w:t>
            </w:r>
          </w:p>
        </w:tc>
      </w:tr>
      <w:tr>
        <w:tc>
          <w:tcPr>
            <w:tcW w:type="dxa" w:w="1728"/>
          </w:tcPr>
          <w:p>
            <w:pPr>
              <w:spacing w:before="20" w:after="20"/>
              <w:jc w:val="left"/>
            </w:pPr>
            <w:r>
              <w:rPr>
                <w:b/>
                <w:sz w:val="17"/>
              </w:rPr>
              <w:t>5. Free eligibility-only "bridge" credit</w:t>
            </w:r>
          </w:p>
        </w:tc>
        <w:tc>
          <w:tcPr>
            <w:tcW w:type="dxa" w:w="1728"/>
          </w:tcPr>
          <w:p>
            <w:pPr>
              <w:spacing w:before="20" w:after="20"/>
              <w:jc w:val="left"/>
            </w:pPr>
            <w:r>
              <w:rPr>
                <w:sz w:val="17"/>
              </w:rPr>
              <w:t>New defined term (e.g., "Military Retirement Bridge Credit") counting toward unreduced retirement eligibility only, expressly excluded from the benefit formula, AFC, PLOP, HIC, vesting, disability, survivor benefits, and group life</w:t>
            </w:r>
          </w:p>
        </w:tc>
        <w:tc>
          <w:tcPr>
            <w:tcW w:type="dxa" w:w="1728"/>
          </w:tcPr>
          <w:p>
            <w:pPr>
              <w:spacing w:before="20" w:after="20"/>
              <w:jc w:val="left"/>
            </w:pPr>
            <w:r>
              <w:rPr>
                <w:sz w:val="17"/>
              </w:rPr>
              <w:t>Earlier unreduced retirement at no cost to the veteran</w:t>
            </w:r>
          </w:p>
        </w:tc>
        <w:tc>
          <w:tcPr>
            <w:tcW w:type="dxa" w:w="1728"/>
          </w:tcPr>
          <w:p>
            <w:pPr>
              <w:spacing w:before="20" w:after="20"/>
              <w:jc w:val="left"/>
            </w:pPr>
            <w:r>
              <w:rPr>
                <w:b/>
                <w:sz w:val="17"/>
              </w:rPr>
              <w:t>Larger than Option 1</w:t>
            </w:r>
            <w:r>
              <w:rPr>
                <w:sz w:val="17"/>
              </w:rPr>
              <w:t>, not smaller — the member pays nothing, so the plan absorbs the full cost of earlier benefit commencement</w:t>
            </w:r>
          </w:p>
        </w:tc>
        <w:tc>
          <w:tcPr>
            <w:tcW w:type="dxa" w:w="1728"/>
          </w:tcPr>
          <w:p>
            <w:pPr>
              <w:spacing w:before="20" w:after="20"/>
              <w:jc w:val="left"/>
            </w:pPr>
            <w:r>
              <w:rPr>
                <w:b/>
                <w:sz w:val="17"/>
              </w:rPr>
              <w:t>Not recommended.</w:t>
            </w:r>
            <w:r>
              <w:rPr>
                <w:sz w:val="17"/>
              </w:rPr>
              <w:t xml:space="preserve"> It </w:t>
            </w:r>
            <w:r>
              <w:rPr>
                <w:i/>
                <w:sz w:val="17"/>
              </w:rPr>
              <w:t>sounds</w:t>
            </w:r>
            <w:r>
              <w:rPr>
                <w:sz w:val="17"/>
              </w:rPr>
              <w:t xml:space="preserve"> like the fiscally conservative option and is the opposite. It also requires inventing a service-credit category that does not exist in Title 51.1, with an express exclusion needed for every service-based benefit — roughly fifteen separate exclusions, each a drafting failure point. High VRS administrative burden. Reserve as a concept only if the General Assembly rejects any pricing change.</w:t>
            </w:r>
          </w:p>
        </w:tc>
      </w:tr>
    </w:tbl>
    <w:p>
      <w:pPr>
        <w:spacing w:before="0" w:after="0" w:line="80" w:lineRule="exact"/>
      </w:pPr>
      <w:r>
        <w:rPr>
          <w:sz w:val="8"/>
        </w:rPr>
      </w:r>
    </w:p>
    <w:p>
      <w:pPr>
        <w:jc w:val="center"/>
      </w:pPr>
      <w:r>
        <w:rPr>
          <w:color w:val="909090"/>
          <w:sz w:val="18"/>
        </w:rPr>
        <w:t>* * *</w:t>
      </w:r>
    </w:p>
    <w:p>
      <w:pPr>
        <w:pStyle w:val="Heading2"/>
      </w:pPr>
      <w:r>
        <w:t>7. Open questions requiring VRS, actuarial, or Legislative Services input</w:t>
      </w:r>
    </w:p>
    <w:p>
      <w:r>
        <w:rPr>
          <w:b/>
        </w:rPr>
        <w:t>For VRS actuaries:</w:t>
      </w:r>
    </w:p>
    <w:p>
      <w:pPr>
        <w:pStyle w:val="ListBullet"/>
      </w:pPr>
      <w:r>
        <w:rPr>
          <w:b/>
        </w:rPr>
        <w:t>Q1.</w:t>
      </w:r>
      <w:r>
        <w:t xml:space="preserve"> What is the actual ratio of actuarial equivalent cost to approximate normal cost for a one-year prior active duty military purchase, by plan (Plan 1, Plan 2, Hybrid) and by attained age band (40, 45, 50, 55, 60)? </w:t>
      </w:r>
      <w:r>
        <w:rPr>
          <w:i/>
        </w:rPr>
        <w:t>The Brief's figures are JLCVSO analyst estimates built from published assumptions; VRS holds the authoritative models. This is the single most important number in the package.</w:t>
      </w:r>
    </w:p>
    <w:p>
      <w:pPr>
        <w:pStyle w:val="ListBullet"/>
      </w:pPr>
      <w:r>
        <w:rPr>
          <w:b/>
        </w:rPr>
        <w:t>Q2.</w:t>
      </w:r>
      <w:r>
        <w:t xml:space="preserve"> What is the separate impact on the </w:t>
      </w:r>
      <w:r>
        <w:rPr>
          <w:b/>
        </w:rPr>
        <w:t>health insurance credit trust fund</w:t>
      </w:r>
      <w:r>
        <w:t xml:space="preserve"> under § 51.1-1400 D, including the step-function effect of members crossing the 15-year threshold on purchased military service? </w:t>
      </w:r>
      <w:r>
        <w:rPr>
          <w:i/>
        </w:rPr>
        <w:t>Not captured in the Brief's headline estimate.</w:t>
      </w:r>
    </w:p>
    <w:p>
      <w:pPr>
        <w:pStyle w:val="ListBullet"/>
      </w:pPr>
      <w:r>
        <w:rPr>
          <w:b/>
        </w:rPr>
        <w:t>Q3.</w:t>
      </w:r>
      <w:r>
        <w:t xml:space="preserve"> How much does </w:t>
      </w:r>
      <w:r>
        <w:rPr>
          <w:b/>
        </w:rPr>
        <w:t>adverse selection</w:t>
      </w:r>
      <w:r>
        <w:t xml:space="preserve"> change the answer to Q1 if the deadline is removed? JLCVSO's own modelling (Annex 2 Closure FM-4 § 4.8) finds that a schedule graded on age alone removes only ~15% of the exposure while one graded on age </w:t>
      </w:r>
      <w:r>
        <w:rPr>
          <w:b/>
        </w:rPr>
        <w:t>and</w:t>
      </w:r>
      <w:r>
        <w:t xml:space="preserve"> creditable service can remove all of it. Does VRS agree with that decomposition, and what rate structure would the Board actually adopt under the authority in § 2.2?</w:t>
      </w:r>
    </w:p>
    <w:p>
      <w:pPr>
        <w:pStyle w:val="ListBullet"/>
      </w:pPr>
      <w:r>
        <w:rPr>
          <w:b/>
        </w:rPr>
        <w:t>Q3a.</w:t>
      </w:r>
      <w:r>
        <w:t xml:space="preserve"> A graded schedule is a </w:t>
      </w:r>
      <w:r>
        <w:rPr>
          <w:b/>
        </w:rPr>
        <w:t>class</w:t>
      </w:r>
      <w:r>
        <w:t xml:space="preserve"> rate, not an individual calculation. At the 100% recovery setting, how closely does a published age-and-service class rate track true actuarial equivalent cost, and what residual exposure remains from members who are favourably selected </w:t>
      </w:r>
      <w:r>
        <w:rPr>
          <w:i/>
        </w:rPr>
        <w:t>within</w:t>
      </w:r>
      <w:r>
        <w:t xml:space="preserve"> a class? </w:t>
      </w:r>
      <w:r>
        <w:rPr>
          <w:i/>
        </w:rPr>
        <w:t>This is the one place where "actuarially neutral by construction" may be approximate rather than exact, and the money committees will ask.</w:t>
      </w:r>
    </w:p>
    <w:p>
      <w:pPr>
        <w:pStyle w:val="ListBullet"/>
      </w:pPr>
      <w:r>
        <w:rPr>
          <w:b/>
        </w:rPr>
        <w:t>Q4.</w:t>
      </w:r>
      <w:r>
        <w:t xml:space="preserve"> What are the corresponding figures for </w:t>
      </w:r>
      <w:r>
        <w:rPr>
          <w:b/>
        </w:rPr>
        <w:t>hazardous duty</w:t>
      </w:r>
      <w:r>
        <w:t xml:space="preserve"> populations (SPORS, VaLORS, and political subdivisions with hazardous duty coverage), where normal-cost rates are roughly double?</w:t>
      </w:r>
    </w:p>
    <w:p>
      <w:pPr>
        <w:pStyle w:val="ListBullet"/>
      </w:pPr>
      <w:r>
        <w:rPr>
          <w:b/>
        </w:rPr>
        <w:t>Q5.</w:t>
      </w:r>
      <w:r>
        <w:t xml:space="preserve"> What is the observed </w:t>
      </w:r>
      <w:r>
        <w:rPr>
          <w:b/>
        </w:rPr>
        <w:t>historical take-up rate</w:t>
      </w:r>
      <w:r>
        <w:t xml:space="preserve"> for prior-service purchases generally, and for military service specifically, among members inside the current window? </w:t>
      </w:r>
      <w:r>
        <w:rPr>
          <w:i/>
        </w:rPr>
        <w:t>The Brief assumes 5%–15% over five years; VRS has the actual data and this assumption drives the total.</w:t>
      </w:r>
    </w:p>
    <w:p>
      <w:r>
        <w:rPr>
          <w:b/>
        </w:rPr>
        <w:t>For benefits and tax counsel:</w:t>
      </w:r>
    </w:p>
    <w:p>
      <w:pPr>
        <w:pStyle w:val="ListBullet"/>
      </w:pPr>
      <w:r>
        <w:rPr>
          <w:b/>
        </w:rPr>
        <w:t>Q6.</w:t>
      </w:r>
      <w:r>
        <w:t xml:space="preserve"> Do IRC </w:t>
      </w:r>
      <w:r>
        <w:rPr>
          <w:b/>
        </w:rPr>
        <w:t>§ 415(n)</w:t>
      </w:r>
      <w:r>
        <w:t xml:space="preserve"> permissive service credit limits, or the annual additions limits, constrain later-career purchases or 60-month payment agreements in any way that requires statutory accommodation?</w:t>
      </w:r>
    </w:p>
    <w:p>
      <w:pPr>
        <w:pStyle w:val="ListBullet"/>
      </w:pPr>
      <w:r>
        <w:rPr>
          <w:b/>
        </w:rPr>
        <w:t>Q7.</w:t>
      </w:r>
      <w:r>
        <w:t xml:space="preserve"> Does </w:t>
      </w:r>
      <w:r>
        <w:rPr>
          <w:b/>
        </w:rPr>
        <w:t>10 U.S.C. ch. 1223</w:t>
      </w:r>
      <w:r>
        <w:t xml:space="preserve"> (Reserve Component retirement), referenced in § 51.1-142.2 B 3, interact with extended-window purchases differently than with in-window purchases?</w:t>
      </w:r>
    </w:p>
    <w:p>
      <w:r>
        <w:rPr>
          <w:b/>
        </w:rPr>
        <w:t>For Legislative Services:</w:t>
      </w:r>
    </w:p>
    <w:p>
      <w:pPr>
        <w:pStyle w:val="ListBullet"/>
      </w:pPr>
      <w:r>
        <w:rPr>
          <w:b/>
        </w:rPr>
        <w:t>Q8.</w:t>
      </w:r>
      <w:r>
        <w:t xml:space="preserve"> Is enactment clause 3 (reflecting cost in § 51.1-145 employer rates) necessary, redundant, or affirmatively undesirable?</w:t>
      </w:r>
    </w:p>
    <w:p>
      <w:pPr>
        <w:pStyle w:val="ListBullet"/>
      </w:pPr>
      <w:r>
        <w:rPr>
          <w:b/>
        </w:rPr>
        <w:t>Q9.</w:t>
      </w:r>
      <w:r>
        <w:t xml:space="preserve"> Is enactment clause 2 (the no-spillover clause) consistent with Virginia drafting conventions, or should the same assurance be achieved solely through the targeted cross-reference in § 2.2?</w:t>
      </w:r>
    </w:p>
    <w:p>
      <w:pPr>
        <w:pStyle w:val="ListBullet"/>
      </w:pPr>
      <w:r>
        <w:rPr>
          <w:b/>
        </w:rPr>
        <w:t>Q13. Alternate hazardous duty option — statutory anchor.</w:t>
      </w:r>
      <w:r>
        <w:t xml:space="preserve"> The 10.01% alternate hazardous duty rate is published as a stand-alone rate with </w:t>
      </w:r>
      <w:r>
        <w:rPr>
          <w:b/>
        </w:rPr>
        <w:t>no plan column</w:t>
      </w:r>
      <w:r>
        <w:t xml:space="preserve">, so "the approximate normal cost of the retirement plan under which the member is covered" may not cleanly reach it. Factor (v) of the § 2.2 schedule authority addresses this for subdivision B 2 purchases by reference to "the benefits permitted by § 51.1-138." Confirm (a) that § 51.1-138 is the correct and complete anchor for the alternate option, or whether § 51.1-153 B 4 and § 51.1-155 A 3 must also be cited; and (b) that leaving the same pre-existing mismatch unaddressed for subdivision B 1 and subsections C through H is the right call. </w:t>
      </w:r>
      <w:r>
        <w:rPr>
          <w:i/>
        </w:rPr>
        <w:t>JLCVSO's position: yes — curing it generally would widen the bill and enlarge the fiscal note. See § 2.6.</w:t>
      </w:r>
    </w:p>
    <w:p>
      <w:pPr>
        <w:pStyle w:val="ListBullet"/>
      </w:pPr>
      <w:r>
        <w:rPr>
          <w:b/>
        </w:rPr>
        <w:t>Q14. Age and service as rate factors.</w:t>
      </w:r>
      <w:r>
        <w:t xml:space="preserve"> Confirm that a published approximate-normal-cost schedule graded on attained age and creditable service raises no age-discrimination issue under federal or Virginia law. The existing statutory alternative — actuarial equivalent cost after 24 months — is itself a function of age and service, and the widened phrase relies </w:t>
      </w:r>
      <w:r>
        <w:rPr>
          <w:i/>
        </w:rPr>
        <w:t>less</w:t>
      </w:r>
      <w:r>
        <w:t xml:space="preserve"> on age than the v1.0 draft did, so counsel's expectation is that this is clear. Confirm rather than assume.</w:t>
      </w:r>
    </w:p>
    <w:p>
      <w:r>
        <w:rPr>
          <w:b/>
        </w:rPr>
        <w:t>For JLCVSO — policy decisions needed before filing:</w:t>
      </w:r>
    </w:p>
    <w:p>
      <w:pPr>
        <w:spacing w:before="120" w:after="120"/>
        <w:ind w:left="480"/>
      </w:pPr>
      <w:r>
        <w:rPr>
          <w:b/>
          <w:i/>
          <w:color w:val="444444"/>
          <w:sz w:val="20"/>
        </w:rPr>
        <w:t>Q10 and Q11 were decided by JLCVSO on October 24, 2026.</w:t>
      </w:r>
    </w:p>
    <w:p>
      <w:pPr>
        <w:pStyle w:val="ListBullet"/>
        <w:ind w:left="840"/>
      </w:pPr>
      <w:r>
        <w:rPr>
          <w:b/>
        </w:rPr>
        <w:t>Q10 — Scope: all VRS members, no local opt-in.</w:t>
      </w:r>
      <w:r>
        <w:t xml:space="preserve"> The current draft already does</w:t>
      </w:r>
    </w:p>
    <w:p>
      <w:pPr>
        <w:spacing w:before="120" w:after="120"/>
        <w:ind w:left="480"/>
      </w:pPr>
      <w:r>
        <w:rPr>
          <w:i/>
          <w:color w:val="444444"/>
          <w:sz w:val="20"/>
        </w:rPr>
        <w:t xml:space="preserve">this; </w:t>
      </w:r>
      <w:r>
        <w:rPr>
          <w:b/>
          <w:i/>
          <w:color w:val="444444"/>
          <w:sz w:val="20"/>
        </w:rPr>
        <w:t>no conforming amendment is required.</w:t>
      </w:r>
      <w:r>
        <w:rPr>
          <w:i/>
          <w:color w:val="444444"/>
          <w:sz w:val="20"/>
        </w:rPr>
        <w:t xml:space="preserve"> Note the two consequences JLCVSO has accepted: (1) political subdivisions bear the cost through their own § 51.1-145 employer rates, so the Commission on Local Government will receive and may comment adversely on the § 30-19.1:7 impact statement; (2) the fiscal estimate originally covered the state classified workforce only and had to be re-scoped to the full active membership. </w:t>
      </w:r>
      <w:r>
        <w:rPr>
          <w:b/>
          <w:i/>
          <w:color w:val="444444"/>
          <w:sz w:val="20"/>
        </w:rPr>
        <w:t>That re-scope is complete</w:t>
      </w:r>
      <w:r>
        <w:rPr>
          <w:i/>
          <w:color w:val="444444"/>
          <w:sz w:val="20"/>
        </w:rPr>
        <w:t xml:space="preserve"> — Annex 2 Closure, FM-1 and FM-4, with the three-way state / teacher / local exposure split at FM-4 § 4.7. The political-subdivision line is the largest of the three and arrives without a local opt-in, so brief the Commission on Local Government before filing, not after.</w:t>
      </w:r>
    </w:p>
    <w:p>
      <w:pPr>
        <w:pStyle w:val="ListBullet"/>
        <w:ind w:left="840"/>
      </w:pPr>
      <w:r>
        <w:rPr>
          <w:b/>
        </w:rPr>
        <w:t>Q11 — Transition: immediate access on the effective date.</w:t>
      </w:r>
      <w:r>
        <w:t xml:space="preserve"> The current draft already</w:t>
      </w:r>
    </w:p>
    <w:p>
      <w:pPr>
        <w:spacing w:before="120" w:after="120"/>
        <w:ind w:left="480"/>
      </w:pPr>
      <w:r>
        <w:rPr>
          <w:i/>
          <w:color w:val="444444"/>
          <w:sz w:val="20"/>
        </w:rPr>
        <w:t>does this; no amendment required. The actuary will therefore price an unbounded cohort, which raises the importance of the two adverse-selection guardrails in § 2.2.</w:t>
      </w:r>
    </w:p>
    <w:p>
      <w:pPr>
        <w:pStyle w:val="ListBullet"/>
        <w:ind w:left="840"/>
      </w:pPr>
      <w:r>
        <w:rPr>
          <w:b/>
        </w:rPr>
        <w:t>Q12 — Concession ladder: still open.</w:t>
      </w:r>
      <w:r>
        <w:t xml:space="preserve"> Decide before the bill is heard.</w:t>
      </w:r>
    </w:p>
    <w:p>
      <w:pPr>
        <w:spacing w:before="120" w:after="120"/>
        <w:ind w:left="480"/>
      </w:pPr>
      <w:r>
        <w:rPr>
          <w:i/>
          <w:color w:val="444444"/>
          <w:sz w:val="20"/>
        </w:rPr>
        <w:t>The original analysis of each option is preserved below for the record.</w:t>
      </w:r>
    </w:p>
    <w:p>
      <w:pPr>
        <w:pStyle w:val="ListBullet"/>
      </w:pPr>
      <w:r>
        <w:rPr>
          <w:b/>
        </w:rPr>
        <w:t>Q10. Scope.</w:t>
      </w:r>
      <w:r>
        <w:t xml:space="preserve"> State employees only, or also teachers and political subdivision employees? Because § 51.1-142.2 applies to all VRS members, the draft as written reaches </w:t>
      </w:r>
      <w:r>
        <w:rPr>
          <w:b/>
        </w:rPr>
        <w:t>all three</w:t>
      </w:r>
      <w:r>
        <w:t xml:space="preserve">. Local governments set their own contribution rates under § 51.1-145, so including them imposes cost on localities and will draw comment from the Commission on Local Government in the § 30-19.1:7 statement. </w:t>
      </w:r>
      <w:r>
        <w:rPr>
          <w:b/>
        </w:rPr>
        <w:t>Options:</w:t>
      </w:r>
      <w:r>
        <w:t xml:space="preserve"> (a) all members (current draft, broadest coalition, most opposition); (b) state employees only (narrowest, but creates a new inequity between state and local veteran employees); (c) all members, with an opt-in resolution requirement for political subdivisions, following the pattern already used in § 51.1-153 B 4. </w:t>
      </w:r>
      <w:r>
        <w:rPr>
          <w:b/>
        </w:rPr>
        <w:t>Option (c) is the recommended compromise</w:t>
      </w:r>
      <w:r>
        <w:t xml:space="preserve"> and the draft can be conformed to it readily.</w:t>
      </w:r>
    </w:p>
    <w:p>
      <w:pPr>
        <w:pStyle w:val="ListBullet"/>
      </w:pPr>
      <w:r>
        <w:rPr>
          <w:b/>
        </w:rPr>
        <w:t>Q11. Transition.</w:t>
      </w:r>
      <w:r>
        <w:t xml:space="preserve"> Should current employees already past the window gain access on the effective date, or through a defined one-time enrollment period? Immediate access is simpler and is what the current draft provides; a defined period gives the actuary a bounded cohort to price, which may produce a friendlier impact statement.</w:t>
      </w:r>
    </w:p>
    <w:p>
      <w:pPr>
        <w:pStyle w:val="ListBullet"/>
      </w:pPr>
      <w:r>
        <w:rPr>
          <w:b/>
        </w:rPr>
        <w:t>Q12. Concession ladder.</w:t>
      </w:r>
      <w:r>
        <w:t xml:space="preserve"> Confirm in advance which of these JLCVSO is willing to trade: the 60-month payment term, the </w:t>
      </w:r>
      <w:r>
        <w:rPr>
          <w:b/>
        </w:rPr>
        <w:t>dial setting</w:t>
      </w:r>
      <w:r>
        <w:t xml:space="preserve"> on the graded rate schedule, the 12-month pre-retirement deadline, a minimum membership service requirement, or a reduction of the military cap below four years. </w:t>
      </w:r>
      <w:r>
        <w:rPr>
          <w:i/>
        </w:rPr>
        <w:t>Decide this before the bill is heard, not during the hearing.</w:t>
      </w:r>
      <w:r>
        <w:t xml:space="preserve"> </w:t>
      </w:r>
      <w:r>
        <w:rPr>
          <w:b/>
        </w:rPr>
        <w:t>Counsel's note, new in v1.1:</w:t>
      </w:r>
      <w:r>
        <w:t xml:space="preserve"> the graded schedule now belongs on this ladder as a dial, not as a phrase. Concede recovery percentage; do not concede the words "and creditable service," and do not trade the graded schedule for the 12-month deadline — the deadline is worth 3%–4% and the schedule is worth up to 100% (§ 5.1).</w:t>
      </w:r>
    </w:p>
    <w:p>
      <w:pPr>
        <w:jc w:val="center"/>
      </w:pPr>
      <w:r>
        <w:rPr>
          <w:color w:val="909090"/>
          <w:sz w:val="18"/>
        </w:rPr>
        <w:t>* * *</w:t>
      </w:r>
    </w:p>
    <w:p>
      <w:pPr>
        <w:pStyle w:val="Heading2"/>
      </w:pPr>
      <w:r>
        <w:t>8. Drafting points requiring explicit statutory language</w:t>
      </w:r>
    </w:p>
    <w:p>
      <w:pPr>
        <w:spacing w:after="60"/>
        <w:ind w:left="432" w:hanging="432"/>
      </w:pPr>
      <w:r>
        <w:rPr>
          <w:b/>
        </w:rPr>
        <w:t>1.</w:t>
        <w:tab/>
      </w:r>
      <w:r>
        <w:t xml:space="preserve">The carve-out must be keyed to </w:t>
      </w:r>
      <w:r>
        <w:rPr>
          <w:b/>
        </w:rPr>
        <w:t>subdivision B 2 by express cross-reference</w:t>
      </w:r>
      <w:r>
        <w:t>. Deleting or weakening the 24-month sentence would silently reprice every category of service in subdivision B 1 and would transform a narrow veterans' bill into a broad purchase-of-service expansion with a far larger fiscal note.</w:t>
      </w:r>
    </w:p>
    <w:p>
      <w:pPr>
        <w:spacing w:after="60"/>
        <w:ind w:left="432" w:hanging="432"/>
      </w:pPr>
      <w:r>
        <w:rPr>
          <w:b/>
        </w:rPr>
        <w:t>2.</w:t>
        <w:tab/>
      </w:r>
      <w:r>
        <w:t xml:space="preserve">The carve-out must disclaim </w:t>
      </w:r>
      <w:r>
        <w:rPr>
          <w:b/>
        </w:rPr>
        <w:t>both</w:t>
      </w:r>
      <w:r>
        <w:t xml:space="preserve"> start points of the existing trigger — first date of hire </w:t>
      </w:r>
      <w:r>
        <w:rPr>
          <w:b/>
        </w:rPr>
        <w:t>and</w:t>
      </w:r>
      <w:r>
        <w:t xml:space="preserve"> the final day of an applicable leave of absence.</w:t>
      </w:r>
    </w:p>
    <w:p>
      <w:pPr>
        <w:spacing w:after="60"/>
        <w:ind w:left="432" w:hanging="432"/>
      </w:pPr>
      <w:r>
        <w:rPr>
          <w:b/>
        </w:rPr>
        <w:t>3.</w:t>
        <w:tab/>
      </w:r>
      <w:r>
        <w:t xml:space="preserve">The 60-month payment agreement authority must be stated in </w:t>
      </w:r>
      <w:r>
        <w:rPr>
          <w:b/>
        </w:rPr>
        <w:t>statute</w:t>
      </w:r>
      <w:r>
        <w:t>, not left to Board policy, because the current 12-month cap is Board policy and would otherwise survive the amendment.</w:t>
      </w:r>
    </w:p>
    <w:p>
      <w:pPr>
        <w:spacing w:after="60"/>
        <w:ind w:left="432" w:hanging="432"/>
      </w:pPr>
      <w:r>
        <w:rPr>
          <w:b/>
        </w:rPr>
        <w:t>4.</w:t>
        <w:tab/>
      </w:r>
      <w:r>
        <w:t xml:space="preserve">The graded rate authority must be </w:t>
      </w:r>
      <w:r>
        <w:rPr>
          <w:b/>
        </w:rPr>
        <w:t>express</w:t>
      </w:r>
      <w:r>
        <w:t>, so the Board can price the extended window without a second bill, and so the schedule is not vulnerable to challenge as exceeding the Board's "approximate normal cost" mandate.</w:t>
      </w:r>
    </w:p>
    <w:p>
      <w:pPr>
        <w:spacing w:after="60"/>
        <w:ind w:left="432" w:hanging="432"/>
      </w:pPr>
      <w:r>
        <w:rPr>
          <w:b/>
        </w:rPr>
        <w:t>5.</w:t>
        <w:tab/>
      </w:r>
      <w:r>
        <w:t xml:space="preserve">The graded rate authority must name </w:t>
      </w:r>
      <w:r>
        <w:rPr>
          <w:b/>
        </w:rPr>
        <w:t>creditable service</w:t>
      </w:r>
      <w:r>
        <w:t xml:space="preserve"> alongside attained age — or, equivalently, the period remaining until unreduced eligibility. </w:t>
      </w:r>
      <w:r>
        <w:rPr>
          <w:b/>
        </w:rPr>
        <w:t>Age alone removes about 15% of the modelled exposure; age and service can remove all of it</w:t>
      </w:r>
      <w:r>
        <w:t xml:space="preserve"> (§ 5.1; Annex 2 Closure FM-4 § 4.8). This is the single highest-leverage phrase in the bill.</w:t>
      </w:r>
    </w:p>
    <w:p>
      <w:pPr>
        <w:spacing w:after="60"/>
        <w:ind w:left="432" w:hanging="432"/>
      </w:pPr>
      <w:r>
        <w:rPr>
          <w:b/>
        </w:rPr>
        <w:t>6.</w:t>
        <w:tab/>
      </w:r>
      <w:r>
        <w:t xml:space="preserve">The graded schedule must be confined to subdivision B 2 by </w:t>
      </w:r>
      <w:r>
        <w:rPr>
          <w:b/>
        </w:rPr>
        <w:t>both</w:t>
      </w:r>
      <w:r>
        <w:t xml:space="preserve"> a positive limitation ("applicable to purchases under subdivision 2") and a negative one ("the approximate normal cost applicable to any other purchase under this section shall be determined without regard to any such schedule"). Without the negative sentence, a schedule adopted as </w:t>
      </w:r>
      <w:r>
        <w:rPr>
          <w:i/>
        </w:rPr>
        <w:t>the</w:t>
      </w:r>
      <w:r>
        <w:t xml:space="preserve"> plan's approximate normal cost could be argued to reprice subdivision B 1 purchases through the generic opening sentence of B 3 — repeating, in the pricing direction, exactly the spillover that drafting point 1 guards against in the timing direction.</w:t>
      </w:r>
    </w:p>
    <w:p>
      <w:pPr>
        <w:spacing w:after="60"/>
        <w:ind w:left="432" w:hanging="432"/>
      </w:pPr>
      <w:r>
        <w:rPr>
          <w:b/>
        </w:rPr>
        <w:t>7.</w:t>
        <w:tab/>
      </w:r>
      <w:r>
        <w:t xml:space="preserve">The three constraints on the schedule — </w:t>
      </w:r>
      <w:r>
        <w:rPr>
          <w:b/>
        </w:rPr>
        <w:t>publication, uniformity within classification, and a ceiling at the actuarial equivalent cost</w:t>
      </w:r>
      <w:r>
        <w:t xml:space="preserve"> — must be retained. They are what distinguishes a published class rate from the individualised actuarial bill the bill exists to spare veterans.</w:t>
      </w:r>
    </w:p>
    <w:p>
      <w:pPr>
        <w:spacing w:after="60"/>
        <w:ind w:left="432" w:hanging="432"/>
      </w:pPr>
      <w:r>
        <w:rPr>
          <w:b/>
        </w:rPr>
        <w:t>8.</w:t>
        <w:tab/>
      </w:r>
      <w:r>
        <w:t xml:space="preserve">The 12-month pre-retirement completion requirement should be </w:t>
      </w:r>
      <w:r>
        <w:rPr>
          <w:b/>
        </w:rPr>
        <w:t>permissive</w:t>
      </w:r>
      <w:r>
        <w:t xml:space="preserve"> ("The Board may require"), not mandatory, so VRS can calibrate it or decline to impose it.</w:t>
      </w:r>
    </w:p>
    <w:p>
      <w:pPr>
        <w:spacing w:after="60"/>
        <w:ind w:left="432" w:hanging="432"/>
      </w:pPr>
      <w:r>
        <w:rPr>
          <w:b/>
        </w:rPr>
        <w:t>9.</w:t>
        <w:tab/>
      </w:r>
      <w:r>
        <w:t xml:space="preserve">The </w:t>
      </w:r>
      <w:r>
        <w:rPr>
          <w:b/>
        </w:rPr>
        <w:t>two separate four-year caps</w:t>
      </w:r>
      <w:r>
        <w:t xml:space="preserve"> in subdivisions B 1 and B 2 must remain separate and intact.</w:t>
      </w:r>
    </w:p>
    <w:p>
      <w:pPr>
        <w:spacing w:after="60"/>
        <w:ind w:left="432" w:hanging="432"/>
      </w:pPr>
      <w:r>
        <w:rPr>
          <w:b/>
        </w:rPr>
        <w:t>10.</w:t>
        <w:tab/>
      </w:r>
      <w:r>
        <w:t xml:space="preserve">The </w:t>
      </w:r>
      <w:r>
        <w:rPr>
          <w:b/>
        </w:rPr>
        <w:t>anti-duplication sentence</w:t>
      </w:r>
      <w:r>
        <w:t xml:space="preserve"> and the </w:t>
      </w:r>
      <w:r>
        <w:rPr>
          <w:b/>
        </w:rPr>
        <w:t>10 U.S.C. ch. 1223 exception</w:t>
      </w:r>
      <w:r>
        <w:t xml:space="preserve"> in subdivision B 3 must be preserved verbatim.</w:t>
      </w:r>
    </w:p>
    <w:p>
      <w:pPr>
        <w:spacing w:after="60"/>
        <w:ind w:left="432" w:hanging="432"/>
      </w:pPr>
      <w:r>
        <w:rPr>
          <w:b/>
        </w:rPr>
        <w:t>11.</w:t>
        <w:tab/>
      </w:r>
      <w:r>
        <w:t xml:space="preserve">The identical 24-month language in </w:t>
      </w:r>
      <w:r>
        <w:rPr>
          <w:b/>
        </w:rPr>
        <w:t>subsection E</w:t>
      </w:r>
      <w:r>
        <w:t xml:space="preserve"> (workers' compensation) must be left unamended.</w:t>
      </w:r>
    </w:p>
    <w:p>
      <w:pPr>
        <w:spacing w:after="60"/>
        <w:ind w:left="432" w:hanging="432"/>
      </w:pPr>
      <w:r>
        <w:rPr>
          <w:b/>
        </w:rPr>
        <w:t>12.</w:t>
        <w:tab/>
      </w:r>
      <w:r>
        <w:t xml:space="preserve">The definition of </w:t>
      </w:r>
      <w:r>
        <w:rPr>
          <w:b/>
        </w:rPr>
        <w:t>"active duty military service"</w:t>
      </w:r>
      <w:r>
        <w:t xml:space="preserve"> in the final paragraph of subsection B must be left unamended.</w:t>
      </w:r>
    </w:p>
    <w:p>
      <w:pPr>
        <w:spacing w:after="60"/>
        <w:ind w:left="432" w:hanging="432"/>
      </w:pPr>
      <w:r>
        <w:rPr>
          <w:b/>
        </w:rPr>
        <w:t>13.</w:t>
        <w:tab/>
      </w:r>
      <w:r>
        <w:rPr>
          <w:b/>
        </w:rPr>
        <w:t>Subsection I</w:t>
      </w:r>
      <w:r>
        <w:t xml:space="preserve"> (no-cost credit for military leave from a covered position) must be left unamended; it serves a different population under different conditions.</w:t>
      </w:r>
    </w:p>
    <w:p>
      <w:pPr>
        <w:spacing w:after="60"/>
        <w:ind w:left="432" w:hanging="432"/>
      </w:pPr>
      <w:r>
        <w:rPr>
          <w:b/>
        </w:rPr>
        <w:t>14.</w:t>
        <w:tab/>
      </w:r>
      <w:r>
        <w:t xml:space="preserve">The </w:t>
      </w:r>
      <w:r>
        <w:rPr>
          <w:b/>
        </w:rPr>
        <w:t>alternate hazardous duty option</w:t>
      </w:r>
      <w:r>
        <w:t xml:space="preserve"> must be reachable by the subdivision B 2 rate schedule, because its 10.01% rate is published with no plan column and the generic phrase "the retirement plan under which the member is covered" may not reach it. Handled by factor (v) of § 2.2; anchor to be confirmed at Q13. </w:t>
      </w:r>
      <w:r>
        <w:rPr>
          <w:b/>
        </w:rPr>
        <w:t>Do not extend the cure to other purchase categories</w:t>
      </w:r>
      <w:r>
        <w:t xml:space="preserve"> — that widens the bill (§ 2.6).</w:t>
      </w:r>
    </w:p>
    <w:p>
      <w:pPr>
        <w:jc w:val="center"/>
      </w:pPr>
      <w:r>
        <w:rPr>
          <w:color w:val="909090"/>
          <w:sz w:val="18"/>
        </w:rPr>
        <w:t>* * *</w:t>
      </w:r>
    </w:p>
    <w:p>
      <w:pPr>
        <w:pStyle w:val="Heading2"/>
      </w:pPr>
      <w:r>
        <w:t>9. Sign-off</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Role</w:t>
            </w:r>
          </w:p>
        </w:tc>
        <w:tc>
          <w:tcPr>
            <w:tcW w:type="dxa" w:w="4320"/>
          </w:tcPr>
          <w:p>
            <w:pPr>
              <w:spacing w:before="20" w:after="20"/>
              <w:jc w:val="left"/>
            </w:pPr>
            <w:r>
              <w:rPr>
                <w:b/>
                <w:sz w:val="17"/>
              </w:rPr>
              <w:t>Status</w:t>
            </w:r>
          </w:p>
        </w:tc>
      </w:tr>
      <w:tr>
        <w:tc>
          <w:tcPr>
            <w:tcW w:type="dxa" w:w="4320"/>
          </w:tcPr>
          <w:p>
            <w:pPr>
              <w:spacing w:before="20" w:after="20"/>
              <w:jc w:val="left"/>
            </w:pPr>
            <w:r>
              <w:rPr>
                <w:sz w:val="17"/>
              </w:rPr>
              <w:t>Title 51.1 legal analysis and draft language</w:t>
            </w:r>
          </w:p>
        </w:tc>
        <w:tc>
          <w:tcPr>
            <w:tcW w:type="dxa" w:w="4320"/>
          </w:tcPr>
          <w:p>
            <w:pPr>
              <w:spacing w:before="20" w:after="20"/>
              <w:jc w:val="left"/>
            </w:pPr>
            <w:r>
              <w:rPr>
                <w:b/>
                <w:sz w:val="17"/>
              </w:rPr>
              <w:t>Complete — v1.1.</w:t>
            </w:r>
            <w:r>
              <w:rPr>
                <w:sz w:val="17"/>
              </w:rPr>
              <w:t xml:space="preserve"> Statutory text verified against the Code of Virginia, October 24, 2026. v1.1 widens the § 2.2 rate-schedule authority to age </w:t>
            </w:r>
            <w:r>
              <w:rPr>
                <w:b/>
                <w:sz w:val="17"/>
              </w:rPr>
              <w:t>and</w:t>
            </w:r>
            <w:r>
              <w:rPr>
                <w:sz w:val="17"/>
              </w:rPr>
              <w:t xml:space="preserve"> creditable service and addresses the alternate hazardous duty option. </w:t>
            </w:r>
            <w:r>
              <w:rPr>
                <w:b/>
                <w:sz w:val="17"/>
              </w:rPr>
              <w:t>Counsel sign-off given on the widened phrase; cleared to go to the Division of Legislative Services.</w:t>
            </w:r>
          </w:p>
        </w:tc>
      </w:tr>
      <w:tr>
        <w:tc>
          <w:tcPr>
            <w:tcW w:type="dxa" w:w="4320"/>
          </w:tcPr>
          <w:p>
            <w:pPr>
              <w:spacing w:before="20" w:after="20"/>
              <w:jc w:val="left"/>
            </w:pPr>
            <w:r>
              <w:rPr>
                <w:sz w:val="17"/>
              </w:rPr>
              <w:t>Fiscal estimate</w:t>
            </w:r>
          </w:p>
        </w:tc>
        <w:tc>
          <w:tcPr>
            <w:tcW w:type="dxa" w:w="4320"/>
          </w:tcPr>
          <w:p>
            <w:pPr>
              <w:spacing w:before="20" w:after="20"/>
              <w:jc w:val="left"/>
            </w:pPr>
            <w:r>
              <w:rPr>
                <w:b/>
                <w:sz w:val="17"/>
              </w:rPr>
              <w:t>Analyst estimate only.</w:t>
            </w:r>
            <w:r>
              <w:rPr>
                <w:sz w:val="17"/>
              </w:rPr>
              <w:t xml:space="preserve"> Requires VRS actuarial confirmation (Q1–Q5, Q3a). Assumptions in Annex B; re-scoped figures in Annex 2 Closure.</w:t>
            </w:r>
          </w:p>
        </w:tc>
      </w:tr>
      <w:tr>
        <w:tc>
          <w:tcPr>
            <w:tcW w:type="dxa" w:w="4320"/>
          </w:tcPr>
          <w:p>
            <w:pPr>
              <w:spacing w:before="20" w:after="20"/>
              <w:jc w:val="left"/>
            </w:pPr>
            <w:r>
              <w:rPr>
                <w:sz w:val="17"/>
              </w:rPr>
              <w:t>Stakeholder analysis (VRS, DHRM, localities, employee associations)</w:t>
            </w:r>
          </w:p>
        </w:tc>
        <w:tc>
          <w:tcPr>
            <w:tcW w:type="dxa" w:w="4320"/>
          </w:tcPr>
          <w:p>
            <w:pPr>
              <w:spacing w:before="20" w:after="20"/>
              <w:jc w:val="left"/>
            </w:pPr>
            <w:r>
              <w:rPr>
                <w:b/>
                <w:sz w:val="17"/>
              </w:rPr>
              <w:t>Not started.</w:t>
            </w:r>
          </w:p>
        </w:tc>
      </w:tr>
      <w:tr>
        <w:tc>
          <w:tcPr>
            <w:tcW w:type="dxa" w:w="4320"/>
          </w:tcPr>
          <w:p>
            <w:pPr>
              <w:spacing w:before="20" w:after="20"/>
              <w:jc w:val="left"/>
            </w:pPr>
            <w:r>
              <w:rPr>
                <w:sz w:val="17"/>
              </w:rPr>
              <w:t>Red team / adversarial counsel review</w:t>
            </w:r>
          </w:p>
        </w:tc>
        <w:tc>
          <w:tcPr>
            <w:tcW w:type="dxa" w:w="4320"/>
          </w:tcPr>
          <w:p>
            <w:pPr>
              <w:spacing w:before="20" w:after="20"/>
              <w:jc w:val="left"/>
            </w:pPr>
            <w:r>
              <w:rPr>
                <w:b/>
                <w:sz w:val="17"/>
              </w:rPr>
              <w:t>Not started.</w:t>
            </w:r>
            <w:r>
              <w:rPr>
                <w:sz w:val="17"/>
              </w:rPr>
              <w:t xml:space="preserve"> The widened § 2.2 language and the § 2.6 hazardous duty treatment are the two newest and least-tested parts of the draft and should be first in the red-team queue.</w:t>
            </w:r>
          </w:p>
        </w:tc>
      </w:tr>
      <w:tr>
        <w:tc>
          <w:tcPr>
            <w:tcW w:type="dxa" w:w="4320"/>
          </w:tcPr>
          <w:p>
            <w:pPr>
              <w:spacing w:before="20" w:after="20"/>
              <w:jc w:val="left"/>
            </w:pPr>
            <w:r>
              <w:rPr>
                <w:sz w:val="17"/>
              </w:rPr>
              <w:t>JLCVSO policy decisions Q10–Q12</w:t>
            </w:r>
          </w:p>
        </w:tc>
        <w:tc>
          <w:tcPr>
            <w:tcW w:type="dxa" w:w="4320"/>
          </w:tcPr>
          <w:p>
            <w:pPr>
              <w:spacing w:before="20" w:after="20"/>
              <w:jc w:val="left"/>
            </w:pPr>
            <w:r>
              <w:rPr>
                <w:b/>
                <w:sz w:val="17"/>
              </w:rPr>
              <w:t>Q10 (scope: all members, no opt-in) and Q11 (transition: immediate) decided October 24, 2026 — draft already conforms. Q12 (concession ladder) still open; see the v1.1 note restricting it to the dial setting rather than the phrase.</w:t>
            </w:r>
          </w:p>
        </w:tc>
      </w:tr>
      <w:tr>
        <w:tc>
          <w:tcPr>
            <w:tcW w:type="dxa" w:w="4320"/>
          </w:tcPr>
          <w:p>
            <w:pPr>
              <w:spacing w:before="20" w:after="20"/>
              <w:jc w:val="left"/>
            </w:pPr>
            <w:r>
              <w:rPr>
                <w:sz w:val="17"/>
              </w:rPr>
              <w:t>Legislative Services items Q8–Q9, Q13–Q14</w:t>
            </w:r>
          </w:p>
        </w:tc>
        <w:tc>
          <w:tcPr>
            <w:tcW w:type="dxa" w:w="4320"/>
          </w:tcPr>
          <w:p>
            <w:pPr>
              <w:spacing w:before="20" w:after="20"/>
              <w:jc w:val="left"/>
            </w:pPr>
            <w:r>
              <w:rPr>
                <w:b/>
                <w:sz w:val="17"/>
              </w:rPr>
              <w:t>Open.</w:t>
            </w:r>
            <w:r>
              <w:rPr>
                <w:sz w:val="17"/>
              </w:rPr>
              <w:t xml:space="preserve"> Q13 (alternate hazardous duty anchor) and Q14 (age/service rate factors) are new in v1.1 and are confirmations, not blockers.</w:t>
            </w:r>
          </w:p>
        </w:tc>
      </w:tr>
    </w:tbl>
    <w:p>
      <w:pPr>
        <w:spacing w:before="0" w:after="0" w:line="80" w:lineRule="exact"/>
      </w:pPr>
      <w:r>
        <w:rPr>
          <w:sz w:val="8"/>
        </w:rPr>
      </w:r>
    </w:p>
    <w:p>
      <w:r>
        <w:t>This annex is not final and must not be presented as final until the VRS actuarial figures are in hand and the red-team review records a verdict. Transmitting it to Legislative Services for formal drafting does not require either, and should not wait for them.</w:t>
      </w:r>
    </w:p>
    <w:p>
      <w:r>
        <w:rPr>
          <w:b/>
        </w:rPr>
        <w:t>Internal consistency of the package as of v1.1.</w:t>
      </w:r>
      <w:r>
        <w:t xml:space="preserve"> The one-pager (00) describes the guardrail as varying by "age and length of service." That is a lay rendering of "creditable service" and is acceptable in a leave-behind; the operative term everywhere in the bill text and the brief is </w:t>
      </w:r>
      <w:r>
        <w:rPr>
          <w:b/>
        </w:rPr>
        <w:t>creditable service</w:t>
      </w:r>
      <w:r>
        <w:t xml:space="preserve"> as defined in § 51.1-124.3. Counsel's view is that the one-pager needs no edit and the print release should not be re-held for this. Anyone drafting from the one-pager rather than from Annex A should be corrected.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rFonts w:ascii="Calibri" w:hAnsi="Calibri"/>
        <w:sz w:val="16"/>
      </w:rPr>
      <w:t>JLCVSO 2027 session — military service credit purchase price deadline</w:t>
      <w:tab/>
    </w:r>
    <w:r>
      <w:rPr>
        <w:rFonts w:ascii="Calibri" w:hAnsi="Calibri"/>
        <w:sz w:val="16"/>
      </w:rPr>
      <w:fldChar w:fldCharType="begin"/>
      <w:instrText xml:space="preserve"> PAGE </w:instrText>
      <w:fldChar w:fldCharType="end"/>
    </w:r>
    <w:r>
      <w:rPr>
        <w:rFonts w:ascii="Calibri" w:hAnsi="Calibri"/>
        <w:sz w:val="16"/>
      </w:rPr>
      <w:t xml:space="preserve"> of </w:t>
    </w:r>
    <w:r>
      <w:rPr>
        <w:rFonts w:ascii="Calibri" w:hAnsi="Calibri"/>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A — Legal Analysis and Draft Bill Language</dc:title>
  <dc:subject>Virginia Retirement System § 51.1-142.2 military service credit purchase price deadline</dc:subject>
  <dc:creator>Policy Development Team</dc:creator>
  <cp:keywords/>
  <dc:description>Generated from the Markdown source of record by tools/md_to_docx.py. The .md file in the repository is authoritative; regenerate rather than hand-editing it.</dc:description>
  <cp:lastModifiedBy>Policy Development Team</cp:lastModifiedBy>
  <cp:revision>1</cp:revision>
  <dcterms:created xsi:type="dcterms:W3CDTF">2013-12-23T23:15:00Z</dcterms:created>
  <dcterms:modified xsi:type="dcterms:W3CDTF">2013-12-23T23:15:00Z</dcterms:modified>
  <cp:category>Legislative brief — 2027 Virginia General Assembly session</cp:category>
</cp:coreProperties>
</file>