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 B — Fiscal Assumption Register, Claim/Evidence Table and Source Appendix</w:t>
      </w:r>
    </w:p>
    <w:p>
      <w:r>
        <w:rPr>
          <w:b/>
        </w:rPr>
        <w:t>Companion to:</w:t>
      </w:r>
      <w:r>
        <w:t xml:space="preserve"> JLC Legislative Change Brief — Virginia's 24-Month Military-Service Purchase Price Cliff (Va. Code § 51.1-142.2) </w:t>
      </w:r>
      <w:r>
        <w:rPr>
          <w:b/>
        </w:rPr>
        <w:t>Date:</w:t>
      </w:r>
      <w:r>
        <w:t xml:space="preserve"> October 25, 2026 | </w:t>
      </w:r>
      <w:r>
        <w:rPr>
          <w:b/>
        </w:rPr>
        <w:t>Version:</w:t>
      </w:r>
      <w:r>
        <w:t xml:space="preserve"> </w:t>
      </w:r>
      <w:r>
        <w:rPr>
          <w:b/>
        </w:rPr>
        <w:t>v2.1 — reconciled against Annex 2 Closure; A-22 and A-28 restated and A-29 added per red team S-5, F-1 and S-4</w:t>
      </w:r>
      <w:r>
        <w:t xml:space="preserve"> | </w:t>
      </w:r>
      <w:r>
        <w:rPr>
          <w:b/>
        </w:rPr>
        <w:t>Owner:</w:t>
      </w:r>
      <w:r>
        <w:t xml:space="preserve"> Fiscal &amp; Impact Modeler </w:t>
      </w:r>
      <w:r>
        <w:rPr>
          <w:b/>
        </w:rPr>
        <w:t>Supersedes:</w:t>
      </w:r>
      <w:r>
        <w:t xml:space="preserve"> v1.1 in full. </w:t>
      </w:r>
      <w:r>
        <w:rPr>
          <w:b/>
        </w:rPr>
        <w:t>Retrieval date for all sources:</w:t>
      </w:r>
      <w:r>
        <w:t xml:space="preserve"> October 24, 2026 | </w:t>
      </w:r>
      <w:r>
        <w:rPr>
          <w:b/>
        </w:rPr>
        <w:t>Issue:</w:t>
      </w:r>
      <w:r>
        <w:t xml:space="preserve"> MOO-295</w:t>
      </w:r>
    </w:p>
    <w:p>
      <w:pPr>
        <w:jc w:val="center"/>
      </w:pPr>
      <w:r>
        <w:rPr>
          <w:color w:val="909090"/>
          <w:sz w:val="18"/>
        </w:rPr>
        <w:t>* * *</w:t>
      </w:r>
    </w:p>
    <w:p>
      <w:pPr>
        <w:pStyle w:val="Heading2"/>
      </w:pPr>
      <w:r>
        <w:t>0. What this annex is, and the rule that keeps it from diverging from Annex 2 Closure</w:t>
      </w:r>
    </w:p>
    <w:p>
      <w:r>
        <w:t xml:space="preserve">v1.1 of this annex carried its own population figures and its own total-cost arithmetic. Both were built on the state classified workforce alone and on the price-discount channel alone, and both were superseded by </w:t>
      </w:r>
      <w:hyperlink r:id="rId10">
        <w:r>
          <w:rPr>
            <w:rFonts w:ascii="Calibri" w:hAnsi="Calibri"/>
            <w:color w:val="1A4F8A"/>
            <w:u w:val="single"/>
          </w:rPr>
          <w:t xml:space="preserve">Annex 2 Closure (04)</w:t>
        </w:r>
      </w:hyperlink>
      <w:r>
        <w:t>. A package with two fiscal annexes disagreeing about the headline cost was an invitation to quote the wrong one.</w:t>
      </w:r>
    </w:p>
    <w:p>
      <w:r>
        <w:rPr>
          <w:b/>
        </w:rPr>
        <w:t>v2.0 removes that possibility rather than managing it.</w:t>
      </w:r>
      <w:r>
        <w:t xml:space="preserve"> This annex and Annex 2 Closure now divide the work by </w:t>
      </w:r>
      <w:r>
        <w:rPr>
          <w:i/>
        </w:rPr>
        <w:t>kind of number</w:t>
      </w:r>
      <w:r>
        <w:t>, under one rule:</w:t>
      </w:r>
    </w:p>
    <w:p>
      <w:pPr>
        <w:spacing w:before="120" w:after="120"/>
        <w:ind w:left="480"/>
      </w:pPr>
      <w:r>
        <w:rPr>
          <w:b/>
          <w:i/>
          <w:color w:val="444444"/>
          <w:sz w:val="20"/>
        </w:rPr>
        <w:t>OFFICIAL published values live here, in the fact register at § 1, cited once with a pinpoint.</w:t>
      </w:r>
      <w:r>
        <w:rPr>
          <w:i/>
          <w:color w:val="444444"/>
          <w:sz w:val="20"/>
        </w:rPr>
        <w:t xml:space="preserve"> </w:t>
      </w:r>
      <w:r>
        <w:rPr>
          <w:b/>
          <w:i/>
          <w:color w:val="444444"/>
          <w:sz w:val="20"/>
        </w:rPr>
        <w:t>Every DERIVED or ESTIMATED value lives in Annex 2 Closure only.</w:t>
      </w:r>
      <w:r>
        <w:rPr>
          <w:i/>
          <w:color w:val="444444"/>
          <w:sz w:val="20"/>
        </w:rPr>
        <w:t xml:space="preserve"> This annex carries the pointer, the owner and the sensitivity for each — never the figure.</w:t>
      </w:r>
    </w:p>
    <w:p>
      <w:r>
        <w:t>Two documents can only contradict each other about something they both compute. After this edit, they compute nothing in common. Annex A, § 9 already describes the package this way — "Assumptions in Annex B; re-scoped figures in Annex 2 Closure" — so this is the division of labour the rest of the package was already assuming.</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p>
        </w:tc>
        <w:tc>
          <w:tcPr>
            <w:tcW w:type="dxa" w:w="2880"/>
          </w:tcPr>
          <w:p>
            <w:pPr>
              <w:spacing w:before="20" w:after="20"/>
              <w:jc w:val="left"/>
            </w:pPr>
            <w:r>
              <w:rPr>
                <w:b/>
                <w:sz w:val="17"/>
              </w:rPr>
              <w:t>This annex (03)</w:t>
            </w:r>
          </w:p>
        </w:tc>
        <w:tc>
          <w:tcPr>
            <w:tcW w:type="dxa" w:w="2880"/>
          </w:tcPr>
          <w:p>
            <w:pPr>
              <w:spacing w:before="20" w:after="20"/>
              <w:jc w:val="left"/>
            </w:pPr>
            <w:r>
              <w:rPr>
                <w:b/>
                <w:sz w:val="17"/>
              </w:rPr>
              <w:t>Annex 2 Closure (04)</w:t>
            </w:r>
          </w:p>
        </w:tc>
      </w:tr>
      <w:tr>
        <w:tc>
          <w:tcPr>
            <w:tcW w:type="dxa" w:w="2880"/>
          </w:tcPr>
          <w:p>
            <w:pPr>
              <w:spacing w:before="20" w:after="20"/>
              <w:jc w:val="left"/>
            </w:pPr>
            <w:r>
              <w:rPr>
                <w:sz w:val="17"/>
              </w:rPr>
              <w:t>Verified primary-source facts, with pinpoints</w:t>
            </w:r>
          </w:p>
        </w:tc>
        <w:tc>
          <w:tcPr>
            <w:tcW w:type="dxa" w:w="2880"/>
          </w:tcPr>
          <w:p>
            <w:pPr>
              <w:spacing w:before="20" w:after="20"/>
              <w:jc w:val="left"/>
            </w:pPr>
            <w:r>
              <w:rPr>
                <w:b/>
                <w:sz w:val="17"/>
              </w:rPr>
              <w:t>Yes — § 1, the single index for the package</w:t>
            </w:r>
          </w:p>
        </w:tc>
        <w:tc>
          <w:tcPr>
            <w:tcW w:type="dxa" w:w="2880"/>
          </w:tcPr>
          <w:p>
            <w:pPr>
              <w:spacing w:before="20" w:after="20"/>
              <w:jc w:val="left"/>
            </w:pPr>
            <w:r>
              <w:rPr>
                <w:sz w:val="17"/>
              </w:rPr>
              <w:t>Cites; does not re-index</w:t>
            </w:r>
          </w:p>
        </w:tc>
      </w:tr>
      <w:tr>
        <w:tc>
          <w:tcPr>
            <w:tcW w:type="dxa" w:w="2880"/>
          </w:tcPr>
          <w:p>
            <w:pPr>
              <w:spacing w:before="20" w:after="20"/>
              <w:jc w:val="left"/>
            </w:pPr>
            <w:r>
              <w:rPr>
                <w:sz w:val="17"/>
              </w:rPr>
              <w:t>Assumption register: owner, sensitivity, what would resolve it</w:t>
            </w:r>
          </w:p>
        </w:tc>
        <w:tc>
          <w:tcPr>
            <w:tcW w:type="dxa" w:w="2880"/>
          </w:tcPr>
          <w:p>
            <w:pPr>
              <w:spacing w:before="20" w:after="20"/>
              <w:jc w:val="left"/>
            </w:pPr>
            <w:r>
              <w:rPr>
                <w:b/>
                <w:sz w:val="17"/>
              </w:rPr>
              <w:t>Yes — § 2</w:t>
            </w:r>
          </w:p>
        </w:tc>
        <w:tc>
          <w:tcPr>
            <w:tcW w:type="dxa" w:w="2880"/>
          </w:tcPr>
          <w:p>
            <w:pPr>
              <w:spacing w:before="20" w:after="20"/>
              <w:jc w:val="left"/>
            </w:pPr>
            <w:r>
              <w:rPr>
                <w:sz w:val="17"/>
              </w:rPr>
              <w:t>States assumptions inline at point of use</w:t>
            </w:r>
          </w:p>
        </w:tc>
      </w:tr>
      <w:tr>
        <w:tc>
          <w:tcPr>
            <w:tcW w:type="dxa" w:w="2880"/>
          </w:tcPr>
          <w:p>
            <w:pPr>
              <w:spacing w:before="20" w:after="20"/>
              <w:jc w:val="left"/>
            </w:pPr>
            <w:r>
              <w:rPr>
                <w:sz w:val="17"/>
              </w:rPr>
              <w:t>Cost methodology — the governing identity and the AEC formula</w:t>
            </w:r>
          </w:p>
        </w:tc>
        <w:tc>
          <w:tcPr>
            <w:tcW w:type="dxa" w:w="2880"/>
          </w:tcPr>
          <w:p>
            <w:pPr>
              <w:spacing w:before="20" w:after="20"/>
              <w:jc w:val="left"/>
            </w:pPr>
            <w:r>
              <w:rPr>
                <w:b/>
                <w:sz w:val="17"/>
              </w:rPr>
              <w:t>Yes — § 3</w:t>
            </w:r>
          </w:p>
        </w:tc>
        <w:tc>
          <w:tcPr>
            <w:tcW w:type="dxa" w:w="2880"/>
          </w:tcPr>
          <w:p>
            <w:pPr>
              <w:spacing w:before="20" w:after="20"/>
              <w:jc w:val="left"/>
            </w:pPr>
            <w:r>
              <w:rPr>
                <w:sz w:val="17"/>
              </w:rPr>
              <w:t>Applies it</w:t>
            </w:r>
          </w:p>
        </w:tc>
      </w:tr>
      <w:tr>
        <w:tc>
          <w:tcPr>
            <w:tcW w:type="dxa" w:w="2880"/>
          </w:tcPr>
          <w:p>
            <w:pPr>
              <w:spacing w:before="20" w:after="20"/>
              <w:jc w:val="left"/>
            </w:pPr>
            <w:r>
              <w:rPr>
                <w:sz w:val="17"/>
              </w:rPr>
              <w:t>Population counts, eligible pool, veteran shares</w:t>
            </w:r>
          </w:p>
        </w:tc>
        <w:tc>
          <w:tcPr>
            <w:tcW w:type="dxa" w:w="2880"/>
          </w:tcPr>
          <w:p>
            <w:pPr>
              <w:spacing w:before="20" w:after="20"/>
              <w:jc w:val="left"/>
            </w:pPr>
            <w:r>
              <w:rPr>
                <w:sz w:val="17"/>
              </w:rPr>
              <w:t>Pointer only → FM-1</w:t>
            </w:r>
          </w:p>
        </w:tc>
        <w:tc>
          <w:tcPr>
            <w:tcW w:type="dxa" w:w="2880"/>
          </w:tcPr>
          <w:p>
            <w:pPr>
              <w:spacing w:before="20" w:after="20"/>
              <w:jc w:val="left"/>
            </w:pPr>
            <w:r>
              <w:rPr>
                <w:b/>
                <w:sz w:val="17"/>
              </w:rPr>
              <w:t>Yes</w:t>
            </w:r>
          </w:p>
        </w:tc>
      </w:tr>
      <w:tr>
        <w:tc>
          <w:tcPr>
            <w:tcW w:type="dxa" w:w="2880"/>
          </w:tcPr>
          <w:p>
            <w:pPr>
              <w:spacing w:before="20" w:after="20"/>
              <w:jc w:val="left"/>
            </w:pPr>
            <w:r>
              <w:rPr>
                <w:sz w:val="17"/>
              </w:rPr>
              <w:t>Per-member and total cost, take-up grid, exposure split, guardrail dials</w:t>
            </w:r>
          </w:p>
        </w:tc>
        <w:tc>
          <w:tcPr>
            <w:tcW w:type="dxa" w:w="2880"/>
          </w:tcPr>
          <w:p>
            <w:pPr>
              <w:spacing w:before="20" w:after="20"/>
              <w:jc w:val="left"/>
            </w:pPr>
            <w:r>
              <w:rPr>
                <w:sz w:val="17"/>
              </w:rPr>
              <w:t>Pointer only → FM-2, FM-4</w:t>
            </w:r>
          </w:p>
        </w:tc>
        <w:tc>
          <w:tcPr>
            <w:tcW w:type="dxa" w:w="2880"/>
          </w:tcPr>
          <w:p>
            <w:pPr>
              <w:spacing w:before="20" w:after="20"/>
              <w:jc w:val="left"/>
            </w:pPr>
            <w:r>
              <w:rPr>
                <w:b/>
                <w:sz w:val="17"/>
              </w:rPr>
              <w:t>Yes</w:t>
            </w:r>
          </w:p>
        </w:tc>
      </w:tr>
      <w:tr>
        <w:tc>
          <w:tcPr>
            <w:tcW w:type="dxa" w:w="2880"/>
          </w:tcPr>
          <w:p>
            <w:pPr>
              <w:spacing w:before="20" w:after="20"/>
              <w:jc w:val="left"/>
            </w:pPr>
            <w:r>
              <w:rPr>
                <w:sz w:val="17"/>
              </w:rPr>
              <w:t>What a veteran pays today at published rates (member price)</w:t>
            </w:r>
          </w:p>
        </w:tc>
        <w:tc>
          <w:tcPr>
            <w:tcW w:type="dxa" w:w="2880"/>
          </w:tcPr>
          <w:p>
            <w:pPr>
              <w:spacing w:before="20" w:after="20"/>
              <w:jc w:val="left"/>
            </w:pPr>
            <w:r>
              <w:rPr>
                <w:b/>
                <w:sz w:val="17"/>
              </w:rPr>
              <w:t>Yes — § 4.</w:t>
            </w:r>
            <w:r>
              <w:rPr>
                <w:sz w:val="17"/>
              </w:rPr>
              <w:t xml:space="preserve"> No counterpart in 04</w:t>
            </w:r>
          </w:p>
        </w:tc>
        <w:tc>
          <w:tcPr>
            <w:tcW w:type="dxa" w:w="2880"/>
          </w:tcPr>
          <w:p>
            <w:pPr>
              <w:spacing w:before="20" w:after="20"/>
              <w:jc w:val="left"/>
            </w:pPr>
            <w:r>
              <w:rPr>
                <w:sz w:val="17"/>
              </w:rPr>
              <w:t>—</w:t>
            </w:r>
          </w:p>
        </w:tc>
      </w:tr>
      <w:tr>
        <w:tc>
          <w:tcPr>
            <w:tcW w:type="dxa" w:w="2880"/>
          </w:tcPr>
          <w:p>
            <w:pPr>
              <w:spacing w:before="20" w:after="20"/>
              <w:jc w:val="left"/>
            </w:pPr>
            <w:r>
              <w:rPr>
                <w:sz w:val="17"/>
              </w:rPr>
              <w:t>Unverified / open claims and the VRS data request</w:t>
            </w:r>
          </w:p>
        </w:tc>
        <w:tc>
          <w:tcPr>
            <w:tcW w:type="dxa" w:w="2880"/>
          </w:tcPr>
          <w:p>
            <w:pPr>
              <w:spacing w:before="20" w:after="20"/>
              <w:jc w:val="left"/>
            </w:pPr>
            <w:r>
              <w:rPr>
                <w:b/>
                <w:sz w:val="17"/>
              </w:rPr>
              <w:t>Index — § 5</w:t>
            </w:r>
          </w:p>
        </w:tc>
        <w:tc>
          <w:tcPr>
            <w:tcW w:type="dxa" w:w="2880"/>
          </w:tcPr>
          <w:p>
            <w:pPr>
              <w:spacing w:before="20" w:after="20"/>
              <w:jc w:val="left"/>
            </w:pPr>
            <w:r>
              <w:rPr>
                <w:sz w:val="17"/>
              </w:rPr>
              <w:t>Drafts the request at FM-1 § 1.7</w:t>
            </w:r>
          </w:p>
        </w:tc>
      </w:tr>
      <w:tr>
        <w:tc>
          <w:tcPr>
            <w:tcW w:type="dxa" w:w="2880"/>
          </w:tcPr>
          <w:p>
            <w:pPr>
              <w:spacing w:before="20" w:after="20"/>
              <w:jc w:val="left"/>
            </w:pPr>
            <w:r>
              <w:rPr>
                <w:sz w:val="17"/>
              </w:rPr>
              <w:t>Primary source list for the whole package</w:t>
            </w:r>
          </w:p>
        </w:tc>
        <w:tc>
          <w:tcPr>
            <w:tcW w:type="dxa" w:w="2880"/>
          </w:tcPr>
          <w:p>
            <w:pPr>
              <w:spacing w:before="20" w:after="20"/>
              <w:jc w:val="left"/>
            </w:pPr>
            <w:r>
              <w:rPr>
                <w:b/>
                <w:sz w:val="17"/>
              </w:rPr>
              <w:t>Yes — § 6</w:t>
            </w:r>
          </w:p>
        </w:tc>
        <w:tc>
          <w:tcPr>
            <w:tcW w:type="dxa" w:w="2880"/>
          </w:tcPr>
          <w:p>
            <w:pPr>
              <w:spacing w:before="20" w:after="20"/>
              <w:jc w:val="left"/>
            </w:pPr>
            <w:r>
              <w:rPr>
                <w:sz w:val="17"/>
              </w:rPr>
              <w:t>Lists its own additions</w:t>
            </w:r>
          </w:p>
        </w:tc>
      </w:tr>
      <w:tr>
        <w:tc>
          <w:tcPr>
            <w:tcW w:type="dxa" w:w="2880"/>
          </w:tcPr>
          <w:p>
            <w:pPr>
              <w:spacing w:before="20" w:after="20"/>
              <w:jc w:val="left"/>
            </w:pPr>
            <w:r>
              <w:rPr>
                <w:sz w:val="17"/>
              </w:rPr>
              <w:t>Adversarial challenge to any of the above</w:t>
            </w:r>
          </w:p>
        </w:tc>
        <w:tc>
          <w:tcPr>
            <w:tcW w:type="dxa" w:w="2880"/>
          </w:tcPr>
          <w:p>
            <w:pPr>
              <w:spacing w:before="20" w:after="20"/>
              <w:jc w:val="left"/>
            </w:pPr>
            <w:r>
              <w:rPr>
                <w:sz w:val="17"/>
              </w:rPr>
              <w:t>—</w:t>
            </w:r>
          </w:p>
        </w:tc>
        <w:tc>
          <w:tcPr>
            <w:tcW w:type="dxa" w:w="2880"/>
          </w:tcPr>
          <w:p>
            <w:pPr>
              <w:spacing w:before="20" w:after="20"/>
              <w:jc w:val="left"/>
            </w:pPr>
            <w:r>
              <w:rPr>
                <w:sz w:val="17"/>
              </w:rPr>
              <w:t xml:space="preserve">— (see </w:t>
            </w:r>
            <w:hyperlink r:id="rId11">
              <w:r>
                <w:rPr>
                  <w:rFonts w:ascii="Calibri" w:hAnsi="Calibri"/>
                  <w:color w:val="1A4F8A"/>
                  <w:u w:val="single"/>
                  <w:sz w:val="17"/>
                </w:rPr>
                <w:t xml:space="preserve">Red Team Review (05)</w:t>
              </w:r>
            </w:hyperlink>
            <w:r>
              <w:rPr>
                <w:sz w:val="17"/>
              </w:rPr>
              <w:t>, which tests both)</w:t>
            </w:r>
          </w:p>
        </w:tc>
      </w:tr>
    </w:tbl>
    <w:p>
      <w:pPr>
        <w:spacing w:before="0" w:after="0" w:line="80" w:lineRule="exact"/>
      </w:pPr>
      <w:r>
        <w:rPr>
          <w:sz w:val="8"/>
        </w:rPr>
      </w:r>
    </w:p>
    <w:p>
      <w:r>
        <w:rPr>
          <w:b/>
        </w:rPr>
        <w:t>The one deliberate overlap, and why it is safe.</w:t>
      </w:r>
      <w:r>
        <w:t xml:space="preserve"> § 4 multiplies a published rate by a published salary. It is a </w:t>
      </w:r>
      <w:r>
        <w:rPr>
          <w:i/>
        </w:rPr>
        <w:t>member price</w:t>
      </w:r>
      <w:r>
        <w:t>, not a cost to the Fund, and Annex 2 Closure does not compute it. Everything else in § 4 is a pointer.</w:t>
      </w:r>
    </w:p>
    <w:p>
      <w:r>
        <w:rPr>
          <w:b/>
        </w:rPr>
        <w:t>No total-cost figure appears anywhere in this annex.</w:t>
      </w:r>
      <w:r>
        <w:t xml:space="preserve"> If you are looking for the cost of the bill it is </w:t>
      </w:r>
      <w:hyperlink r:id="rId10">
        <w:r>
          <w:rPr>
            <w:rFonts w:ascii="Calibri" w:hAnsi="Calibri"/>
            <w:color w:val="1A4F8A"/>
            <w:u w:val="single"/>
          </w:rPr>
          <w:t xml:space="preserve">Annex 2 Closure, FM-4 § 4.4</w:t>
        </w:r>
      </w:hyperlink>
      <w:r>
        <w:t xml:space="preserve">. The modelled one-time present value of recommendation A-3 is on the order of </w:t>
      </w:r>
      <w:r>
        <w:rPr>
          <w:b/>
        </w:rPr>
        <w:t>$13M–$182M</w:t>
      </w:r>
      <w:r>
        <w:t xml:space="preserve"> depending on eligible pool and take-up.</w:t>
      </w:r>
    </w:p>
    <w:p>
      <w:r>
        <w:rPr>
          <w:b/>
        </w:rPr>
        <w:t>State the general-fund position narrowly.</w:t>
      </w:r>
      <w:r>
        <w:t xml:space="preserve"> </w:t>
      </w:r>
      <w:r>
        <w:rPr>
          <w:b/>
        </w:rPr>
        <w:t>The bill requests no appropriation</w:t>
      </w:r>
      <w:r>
        <w:t xml:space="preserve"> — the cost is absorbed in future employer contribution rates under § 51.1-145 and amortised under the VRS Funding Policy. That is true and defensible. "General fund cost: $0" is </w:t>
      </w:r>
      <w:r>
        <w:rPr>
          <w:b/>
        </w:rPr>
        <w:t>not</w:t>
      </w:r>
      <w:r>
        <w:t xml:space="preserve">, because the state-agency and Standards-of-Quality shares of those rates do reach the general fund in later biennia; see FM-4 § 4.7 and </w:t>
      </w:r>
      <w:r>
        <w:rPr>
          <w:b/>
        </w:rPr>
        <w:t>Red Team finding F-2</w:t>
      </w:r>
      <w:r>
        <w:t>, which should be read before this claim is repeated anywhere.</w:t>
      </w:r>
    </w:p>
    <w:p>
      <w:r>
        <w:rPr>
          <w:b/>
        </w:rPr>
        <w:t>Do not quote "under $2 million one-time" or "under $100,000 per year."</w:t>
      </w:r>
      <w:r>
        <w:t xml:space="preserve"> Those figures originated in v1.1 § 3.4 of this annex. They are withdrawn by name in brief v1.2, in the one-page leave-behind, and here. § 7.4 records exactly what was wrong with them, so that the retraction can be defended rather than merely stated.</w:t>
      </w:r>
    </w:p>
    <w:p>
      <w:pPr>
        <w:spacing w:before="120" w:after="120"/>
        <w:ind w:left="480"/>
      </w:pPr>
      <w:r>
        <w:rPr>
          <w:b/>
          <w:i/>
          <w:color w:val="444444"/>
          <w:sz w:val="20"/>
        </w:rPr>
        <w:t>Status of every number in this package.</w:t>
      </w:r>
      <w:r>
        <w:rPr>
          <w:i/>
          <w:color w:val="444444"/>
          <w:sz w:val="20"/>
        </w:rPr>
        <w:t xml:space="preserve"> All </w:t>
      </w:r>
      <w:r>
        <w:rPr>
          <w:i/>
          <w:color w:val="444444"/>
          <w:sz w:val="20"/>
        </w:rPr>
        <w:t>legal</w:t>
      </w:r>
      <w:r>
        <w:rPr>
          <w:i/>
          <w:color w:val="444444"/>
          <w:sz w:val="20"/>
        </w:rPr>
        <w:t xml:space="preserve"> claims are verified against primary sources. All </w:t>
      </w:r>
      <w:r>
        <w:rPr>
          <w:i/>
          <w:color w:val="444444"/>
          <w:sz w:val="20"/>
        </w:rPr>
        <w:t>published rate</w:t>
      </w:r>
      <w:r>
        <w:rPr>
          <w:i/>
          <w:color w:val="444444"/>
          <w:sz w:val="20"/>
        </w:rPr>
        <w:t xml:space="preserve"> and </w:t>
      </w:r>
      <w:r>
        <w:rPr>
          <w:i/>
          <w:color w:val="444444"/>
          <w:sz w:val="20"/>
        </w:rPr>
        <w:t>published workforce</w:t>
      </w:r>
      <w:r>
        <w:rPr>
          <w:i/>
          <w:color w:val="444444"/>
          <w:sz w:val="20"/>
        </w:rPr>
        <w:t xml:space="preserve"> claims are verified against primary sources. The actuarial-equivalent-cost estimates and all total-cost figures are </w:t>
      </w:r>
      <w:r>
        <w:rPr>
          <w:b/>
          <w:i/>
          <w:color w:val="444444"/>
          <w:sz w:val="20"/>
        </w:rPr>
        <w:t>JLCVSO analyst estimates</w:t>
      </w:r>
      <w:r>
        <w:rPr>
          <w:i/>
          <w:color w:val="444444"/>
          <w:sz w:val="20"/>
        </w:rPr>
        <w:t>, not VRS figures, and are shown with their formulas so VRS can replace them. Under § 30-19.1:7 the VRS Board files the official financial and policy impact statement; nothing in this package is an actuarial certification. See Annex A, § 7, Q1–Q5 and Q3a.</w:t>
      </w:r>
    </w:p>
    <w:p>
      <w:pPr>
        <w:jc w:val="center"/>
      </w:pPr>
      <w:r>
        <w:rPr>
          <w:color w:val="909090"/>
          <w:sz w:val="18"/>
        </w:rPr>
        <w:t>* * *</w:t>
      </w:r>
    </w:p>
    <w:p>
      <w:pPr>
        <w:pStyle w:val="Heading2"/>
      </w:pPr>
      <w:r>
        <w:t>1. Source facts (verified)</w:t>
      </w:r>
    </w:p>
    <w:p>
      <w:r>
        <w:t>Tier 1 = primary legal text. Tier 2 = VRS publication. Tier 3 = other Virginia or federal government publication.</w:t>
      </w:r>
    </w:p>
    <w:p>
      <w:pPr>
        <w:pStyle w:val="Heading3"/>
      </w:pPr>
      <w:r>
        <w:t>1.1 Statutory and legal facts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ID</w:t>
            </w:r>
          </w:p>
        </w:tc>
        <w:tc>
          <w:tcPr>
            <w:tcW w:type="dxa" w:w="1234"/>
          </w:tcPr>
          <w:p>
            <w:pPr>
              <w:spacing w:before="20" w:after="20"/>
              <w:jc w:val="left"/>
            </w:pPr>
            <w:r>
              <w:rPr>
                <w:b/>
                <w:sz w:val="17"/>
              </w:rPr>
              <w:t>Fact</w:t>
            </w:r>
          </w:p>
        </w:tc>
        <w:tc>
          <w:tcPr>
            <w:tcW w:type="dxa" w:w="1234"/>
          </w:tcPr>
          <w:p>
            <w:pPr>
              <w:spacing w:before="20" w:after="20"/>
              <w:jc w:val="left"/>
            </w:pPr>
            <w:r>
              <w:rPr>
                <w:b/>
                <w:sz w:val="17"/>
              </w:rPr>
              <w:t>Value</w:t>
            </w:r>
          </w:p>
        </w:tc>
        <w:tc>
          <w:tcPr>
            <w:tcW w:type="dxa" w:w="1234"/>
          </w:tcPr>
          <w:p>
            <w:pPr>
              <w:spacing w:before="20" w:after="20"/>
              <w:jc w:val="left"/>
            </w:pPr>
            <w:r>
              <w:rPr>
                <w:b/>
                <w:sz w:val="17"/>
              </w:rPr>
              <w:t>Source</w:t>
            </w:r>
          </w:p>
        </w:tc>
        <w:tc>
          <w:tcPr>
            <w:tcW w:type="dxa" w:w="1234"/>
          </w:tcPr>
          <w:p>
            <w:pPr>
              <w:spacing w:before="20" w:after="20"/>
              <w:jc w:val="left"/>
            </w:pPr>
            <w:r>
              <w:rPr>
                <w:b/>
                <w:sz w:val="17"/>
              </w:rPr>
              <w:t>Pinpoint</w:t>
            </w:r>
          </w:p>
        </w:tc>
        <w:tc>
          <w:tcPr>
            <w:tcW w:type="dxa" w:w="1234"/>
          </w:tcPr>
          <w:p>
            <w:pPr>
              <w:spacing w:before="20" w:after="20"/>
              <w:jc w:val="left"/>
            </w:pPr>
            <w:r>
              <w:rPr>
                <w:b/>
                <w:sz w:val="17"/>
              </w:rPr>
              <w:t>Tier</w:t>
            </w:r>
          </w:p>
        </w:tc>
        <w:tc>
          <w:tcPr>
            <w:tcW w:type="dxa" w:w="1234"/>
          </w:tcPr>
          <w:p>
            <w:pPr>
              <w:spacing w:before="20" w:after="20"/>
              <w:jc w:val="left"/>
            </w:pPr>
            <w:r>
              <w:rPr>
                <w:b/>
                <w:sz w:val="17"/>
              </w:rPr>
              <w:t>Confidence</w:t>
            </w:r>
          </w:p>
        </w:tc>
      </w:tr>
      <w:tr>
        <w:tc>
          <w:tcPr>
            <w:tcW w:type="dxa" w:w="1234"/>
          </w:tcPr>
          <w:p>
            <w:pPr>
              <w:spacing w:before="20" w:after="20"/>
              <w:jc w:val="left"/>
            </w:pPr>
            <w:r>
              <w:rPr>
                <w:sz w:val="17"/>
              </w:rPr>
              <w:t>F-01</w:t>
            </w:r>
          </w:p>
        </w:tc>
        <w:tc>
          <w:tcPr>
            <w:tcW w:type="dxa" w:w="1234"/>
          </w:tcPr>
          <w:p>
            <w:pPr>
              <w:spacing w:before="20" w:after="20"/>
              <w:jc w:val="left"/>
            </w:pPr>
            <w:r>
              <w:rPr>
                <w:sz w:val="17"/>
              </w:rPr>
              <w:t>Members may purchase up to 4 years of prior active duty military service credit</w:t>
            </w:r>
          </w:p>
        </w:tc>
        <w:tc>
          <w:tcPr>
            <w:tcW w:type="dxa" w:w="1234"/>
          </w:tcPr>
          <w:p>
            <w:pPr>
              <w:spacing w:before="20" w:after="20"/>
              <w:jc w:val="left"/>
            </w:pPr>
            <w:r>
              <w:rPr>
                <w:sz w:val="17"/>
              </w:rPr>
              <w:t>4 years</w:t>
            </w:r>
          </w:p>
        </w:tc>
        <w:tc>
          <w:tcPr>
            <w:tcW w:type="dxa" w:w="1234"/>
          </w:tcPr>
          <w:p>
            <w:pPr>
              <w:spacing w:before="20" w:after="20"/>
              <w:jc w:val="left"/>
            </w:pPr>
            <w:r>
              <w:rPr>
                <w:sz w:val="17"/>
              </w:rPr>
              <w:t>Code of Virginia § 51.1-142.2</w:t>
            </w:r>
          </w:p>
        </w:tc>
        <w:tc>
          <w:tcPr>
            <w:tcW w:type="dxa" w:w="1234"/>
          </w:tcPr>
          <w:p>
            <w:pPr>
              <w:spacing w:before="20" w:after="20"/>
              <w:jc w:val="left"/>
            </w:pPr>
            <w:r>
              <w:rPr>
                <w:sz w:val="17"/>
              </w:rPr>
              <w:t>subdiv. B 2</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F-02</w:t>
            </w:r>
          </w:p>
        </w:tc>
        <w:tc>
          <w:tcPr>
            <w:tcW w:type="dxa" w:w="1234"/>
          </w:tcPr>
          <w:p>
            <w:pPr>
              <w:spacing w:before="20" w:after="20"/>
              <w:jc w:val="left"/>
            </w:pPr>
            <w:r>
              <w:rPr>
                <w:sz w:val="17"/>
              </w:rPr>
              <w:t xml:space="preserve">Military purchase allowance is </w:t>
            </w:r>
            <w:r>
              <w:rPr>
                <w:b/>
                <w:sz w:val="17"/>
              </w:rPr>
              <w:t>in addition to</w:t>
            </w:r>
            <w:r>
              <w:rPr>
                <w:sz w:val="17"/>
              </w:rPr>
              <w:t xml:space="preserve"> the separate 4-year cap for other service</w:t>
            </w:r>
          </w:p>
        </w:tc>
        <w:tc>
          <w:tcPr>
            <w:tcW w:type="dxa" w:w="1234"/>
          </w:tcPr>
          <w:p>
            <w:pPr>
              <w:spacing w:before="20" w:after="20"/>
              <w:jc w:val="left"/>
            </w:pPr>
            <w:r>
              <w:rPr>
                <w:sz w:val="17"/>
              </w:rPr>
              <w:t>2 separate caps</w:t>
            </w:r>
          </w:p>
        </w:tc>
        <w:tc>
          <w:tcPr>
            <w:tcW w:type="dxa" w:w="1234"/>
          </w:tcPr>
          <w:p>
            <w:pPr>
              <w:spacing w:before="20" w:after="20"/>
              <w:jc w:val="left"/>
            </w:pPr>
            <w:r>
              <w:rPr>
                <w:sz w:val="17"/>
              </w:rPr>
              <w:t>§ 51.1-142.2</w:t>
            </w:r>
          </w:p>
        </w:tc>
        <w:tc>
          <w:tcPr>
            <w:tcW w:type="dxa" w:w="1234"/>
          </w:tcPr>
          <w:p>
            <w:pPr>
              <w:spacing w:before="20" w:after="20"/>
              <w:jc w:val="left"/>
            </w:pPr>
            <w:r>
              <w:rPr>
                <w:sz w:val="17"/>
              </w:rPr>
              <w:t>subdiv. B 1 (last sentence), B 2 (first words)</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F-03</w:t>
            </w:r>
          </w:p>
        </w:tc>
        <w:tc>
          <w:tcPr>
            <w:tcW w:type="dxa" w:w="1234"/>
          </w:tcPr>
          <w:p>
            <w:pPr>
              <w:spacing w:before="20" w:after="20"/>
              <w:jc w:val="left"/>
            </w:pPr>
            <w:r>
              <w:rPr>
                <w:sz w:val="17"/>
              </w:rPr>
              <w:t>Qualifying active duty requires at least 180 consecutive days; non-dishonorable discharge</w:t>
            </w:r>
          </w:p>
        </w:tc>
        <w:tc>
          <w:tcPr>
            <w:tcW w:type="dxa" w:w="1234"/>
          </w:tcPr>
          <w:p>
            <w:pPr>
              <w:spacing w:before="20" w:after="20"/>
              <w:jc w:val="left"/>
            </w:pPr>
            <w:r>
              <w:rPr>
                <w:sz w:val="17"/>
              </w:rPr>
              <w:t>180 days</w:t>
            </w:r>
          </w:p>
        </w:tc>
        <w:tc>
          <w:tcPr>
            <w:tcW w:type="dxa" w:w="1234"/>
          </w:tcPr>
          <w:p>
            <w:pPr>
              <w:spacing w:before="20" w:after="20"/>
              <w:jc w:val="left"/>
            </w:pPr>
            <w:r>
              <w:rPr>
                <w:sz w:val="17"/>
              </w:rPr>
              <w:t>§ 51.1-142.2</w:t>
            </w:r>
          </w:p>
        </w:tc>
        <w:tc>
          <w:tcPr>
            <w:tcW w:type="dxa" w:w="1234"/>
          </w:tcPr>
          <w:p>
            <w:pPr>
              <w:spacing w:before="20" w:after="20"/>
              <w:jc w:val="left"/>
            </w:pPr>
            <w:r>
              <w:rPr>
                <w:sz w:val="17"/>
              </w:rPr>
              <w:t>subdiv. B 2; final para. of subsec. B</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F-04</w:t>
            </w:r>
          </w:p>
        </w:tc>
        <w:tc>
          <w:tcPr>
            <w:tcW w:type="dxa" w:w="1234"/>
          </w:tcPr>
          <w:p>
            <w:pPr>
              <w:spacing w:before="20" w:after="20"/>
              <w:jc w:val="left"/>
            </w:pPr>
            <w:r>
              <w:rPr>
                <w:sz w:val="17"/>
              </w:rPr>
              <w:t>Price is approximate normal cost if purchased or contracted within the first 24 months of active service following first date of hire; actuarial equivalent cost thereafter</w:t>
            </w:r>
          </w:p>
        </w:tc>
        <w:tc>
          <w:tcPr>
            <w:tcW w:type="dxa" w:w="1234"/>
          </w:tcPr>
          <w:p>
            <w:pPr>
              <w:spacing w:before="20" w:after="20"/>
              <w:jc w:val="left"/>
            </w:pPr>
            <w:r>
              <w:rPr>
                <w:sz w:val="17"/>
              </w:rPr>
              <w:t>24 months</w:t>
            </w:r>
          </w:p>
        </w:tc>
        <w:tc>
          <w:tcPr>
            <w:tcW w:type="dxa" w:w="1234"/>
          </w:tcPr>
          <w:p>
            <w:pPr>
              <w:spacing w:before="20" w:after="20"/>
              <w:jc w:val="left"/>
            </w:pPr>
            <w:r>
              <w:rPr>
                <w:sz w:val="17"/>
              </w:rPr>
              <w:t>§ 51.1-142.2</w:t>
            </w:r>
          </w:p>
        </w:tc>
        <w:tc>
          <w:tcPr>
            <w:tcW w:type="dxa" w:w="1234"/>
          </w:tcPr>
          <w:p>
            <w:pPr>
              <w:spacing w:before="20" w:after="20"/>
              <w:jc w:val="left"/>
            </w:pPr>
            <w:r>
              <w:rPr>
                <w:sz w:val="17"/>
              </w:rPr>
              <w:t>subdiv. B 3, 2nd para.</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F-05</w:t>
            </w:r>
          </w:p>
        </w:tc>
        <w:tc>
          <w:tcPr>
            <w:tcW w:type="dxa" w:w="1234"/>
          </w:tcPr>
          <w:p>
            <w:pPr>
              <w:spacing w:before="20" w:after="20"/>
              <w:jc w:val="left"/>
            </w:pPr>
            <w:r>
              <w:rPr>
                <w:sz w:val="17"/>
              </w:rPr>
              <w:t xml:space="preserve">Purchased prior service under § 51.1-142.2 </w:t>
            </w:r>
            <w:r>
              <w:rPr>
                <w:b/>
                <w:sz w:val="17"/>
              </w:rPr>
              <w:t>is</w:t>
            </w:r>
            <w:r>
              <w:rPr>
                <w:sz w:val="17"/>
              </w:rPr>
              <w:t xml:space="preserve"> "creditable service"</w:t>
            </w:r>
          </w:p>
        </w:tc>
        <w:tc>
          <w:tcPr>
            <w:tcW w:type="dxa" w:w="1234"/>
          </w:tcPr>
          <w:p>
            <w:pPr>
              <w:spacing w:before="20" w:after="20"/>
              <w:jc w:val="left"/>
            </w:pPr>
            <w:r>
              <w:rPr>
                <w:sz w:val="17"/>
              </w:rPr>
              <w:t>—</w:t>
            </w:r>
          </w:p>
        </w:tc>
        <w:tc>
          <w:tcPr>
            <w:tcW w:type="dxa" w:w="1234"/>
          </w:tcPr>
          <w:p>
            <w:pPr>
              <w:spacing w:before="20" w:after="20"/>
              <w:jc w:val="left"/>
            </w:pPr>
            <w:r>
              <w:rPr>
                <w:sz w:val="17"/>
              </w:rPr>
              <w:t>§ 51.1-124.3</w:t>
            </w:r>
          </w:p>
        </w:tc>
        <w:tc>
          <w:tcPr>
            <w:tcW w:type="dxa" w:w="1234"/>
          </w:tcPr>
          <w:p>
            <w:pPr>
              <w:spacing w:before="20" w:after="20"/>
              <w:jc w:val="left"/>
            </w:pPr>
            <w:r>
              <w:rPr>
                <w:sz w:val="17"/>
              </w:rPr>
              <w:t>definition of "Creditable service"</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F-06</w:t>
            </w:r>
          </w:p>
        </w:tc>
        <w:tc>
          <w:tcPr>
            <w:tcW w:type="dxa" w:w="1234"/>
          </w:tcPr>
          <w:p>
            <w:pPr>
              <w:spacing w:before="20" w:after="20"/>
              <w:jc w:val="left"/>
            </w:pPr>
            <w:r>
              <w:rPr>
                <w:sz w:val="17"/>
              </w:rPr>
              <w:t>Rule of 90: age + years of creditable service = 90 permits retirement with the allowance computed under § 51.1-155 A 1 (unreduced)</w:t>
            </w:r>
          </w:p>
        </w:tc>
        <w:tc>
          <w:tcPr>
            <w:tcW w:type="dxa" w:w="1234"/>
          </w:tcPr>
          <w:p>
            <w:pPr>
              <w:spacing w:before="20" w:after="20"/>
              <w:jc w:val="left"/>
            </w:pPr>
            <w:r>
              <w:rPr>
                <w:sz w:val="17"/>
              </w:rPr>
              <w:t>90</w:t>
            </w:r>
          </w:p>
        </w:tc>
        <w:tc>
          <w:tcPr>
            <w:tcW w:type="dxa" w:w="1234"/>
          </w:tcPr>
          <w:p>
            <w:pPr>
              <w:spacing w:before="20" w:after="20"/>
              <w:jc w:val="left"/>
            </w:pPr>
            <w:r>
              <w:rPr>
                <w:sz w:val="17"/>
              </w:rPr>
              <w:t>§ 51.1-153</w:t>
            </w:r>
          </w:p>
        </w:tc>
        <w:tc>
          <w:tcPr>
            <w:tcW w:type="dxa" w:w="1234"/>
          </w:tcPr>
          <w:p>
            <w:pPr>
              <w:spacing w:before="20" w:after="20"/>
              <w:jc w:val="left"/>
            </w:pPr>
            <w:r>
              <w:rPr>
                <w:sz w:val="17"/>
              </w:rPr>
              <w:t>subdiv. B 3</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F-07</w:t>
            </w:r>
          </w:p>
        </w:tc>
        <w:tc>
          <w:tcPr>
            <w:tcW w:type="dxa" w:w="1234"/>
          </w:tcPr>
          <w:p>
            <w:pPr>
              <w:spacing w:before="20" w:after="20"/>
              <w:jc w:val="left"/>
            </w:pPr>
            <w:r>
              <w:rPr>
                <w:sz w:val="17"/>
              </w:rPr>
              <w:t>Normal retirement date is Social Security retirement age for post-7/1/2010 members and those lacking 60 months of creditable service as of 1/1/2013</w:t>
            </w:r>
          </w:p>
        </w:tc>
        <w:tc>
          <w:tcPr>
            <w:tcW w:type="dxa" w:w="1234"/>
          </w:tcPr>
          <w:p>
            <w:pPr>
              <w:spacing w:before="20" w:after="20"/>
              <w:jc w:val="left"/>
            </w:pPr>
            <w:r>
              <w:rPr>
                <w:sz w:val="17"/>
              </w:rPr>
              <w:t>SSA NRA</w:t>
            </w:r>
          </w:p>
        </w:tc>
        <w:tc>
          <w:tcPr>
            <w:tcW w:type="dxa" w:w="1234"/>
          </w:tcPr>
          <w:p>
            <w:pPr>
              <w:spacing w:before="20" w:after="20"/>
              <w:jc w:val="left"/>
            </w:pPr>
            <w:r>
              <w:rPr>
                <w:sz w:val="17"/>
              </w:rPr>
              <w:t>§ 51.1-124.3</w:t>
            </w:r>
          </w:p>
        </w:tc>
        <w:tc>
          <w:tcPr>
            <w:tcW w:type="dxa" w:w="1234"/>
          </w:tcPr>
          <w:p>
            <w:pPr>
              <w:spacing w:before="20" w:after="20"/>
              <w:jc w:val="left"/>
            </w:pPr>
            <w:r>
              <w:rPr>
                <w:sz w:val="17"/>
              </w:rPr>
              <w:t>definition of "Normal retirement date"</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F-08</w:t>
            </w:r>
          </w:p>
        </w:tc>
        <w:tc>
          <w:tcPr>
            <w:tcW w:type="dxa" w:w="1234"/>
          </w:tcPr>
          <w:p>
            <w:pPr>
              <w:spacing w:before="20" w:after="20"/>
              <w:jc w:val="left"/>
            </w:pPr>
            <w:r>
              <w:rPr>
                <w:sz w:val="17"/>
              </w:rPr>
              <w:t>Hybrid plan DB multiplier</w:t>
            </w:r>
          </w:p>
        </w:tc>
        <w:tc>
          <w:tcPr>
            <w:tcW w:type="dxa" w:w="1234"/>
          </w:tcPr>
          <w:p>
            <w:pPr>
              <w:spacing w:before="20" w:after="20"/>
              <w:jc w:val="left"/>
            </w:pPr>
            <w:r>
              <w:rPr>
                <w:sz w:val="17"/>
              </w:rPr>
              <w:t>1.0% of AFC per year</w:t>
            </w:r>
          </w:p>
        </w:tc>
        <w:tc>
          <w:tcPr>
            <w:tcW w:type="dxa" w:w="1234"/>
          </w:tcPr>
          <w:p>
            <w:pPr>
              <w:spacing w:before="20" w:after="20"/>
              <w:jc w:val="left"/>
            </w:pPr>
            <w:r>
              <w:rPr>
                <w:sz w:val="17"/>
              </w:rPr>
              <w:t>§ 51.1-169</w:t>
            </w:r>
          </w:p>
        </w:tc>
        <w:tc>
          <w:tcPr>
            <w:tcW w:type="dxa" w:w="1234"/>
          </w:tcPr>
          <w:p>
            <w:pPr>
              <w:spacing w:before="20" w:after="20"/>
              <w:jc w:val="left"/>
            </w:pPr>
            <w:r>
              <w:rPr>
                <w:sz w:val="17"/>
              </w:rPr>
              <w:t>subdiv. D 1</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F-09</w:t>
            </w:r>
          </w:p>
        </w:tc>
        <w:tc>
          <w:tcPr>
            <w:tcW w:type="dxa" w:w="1234"/>
          </w:tcPr>
          <w:p>
            <w:pPr>
              <w:spacing w:before="20" w:after="20"/>
              <w:jc w:val="left"/>
            </w:pPr>
            <w:r>
              <w:rPr>
                <w:sz w:val="17"/>
              </w:rPr>
              <w:t xml:space="preserve">Everyone not already a VRS member who is first hired or rehired into a covered position on or after January 1, 2014 is in the Hybrid plan — </w:t>
            </w:r>
            <w:r>
              <w:rPr>
                <w:b/>
                <w:sz w:val="17"/>
              </w:rPr>
              <w:t>subject to the exclusions at F-41</w:t>
            </w:r>
          </w:p>
        </w:tc>
        <w:tc>
          <w:tcPr>
            <w:tcW w:type="dxa" w:w="1234"/>
          </w:tcPr>
          <w:p>
            <w:pPr>
              <w:spacing w:before="20" w:after="20"/>
              <w:jc w:val="left"/>
            </w:pPr>
            <w:r>
              <w:rPr>
                <w:sz w:val="17"/>
              </w:rPr>
              <w:t>1/1/2014</w:t>
            </w:r>
          </w:p>
        </w:tc>
        <w:tc>
          <w:tcPr>
            <w:tcW w:type="dxa" w:w="1234"/>
          </w:tcPr>
          <w:p>
            <w:pPr>
              <w:spacing w:before="20" w:after="20"/>
              <w:jc w:val="left"/>
            </w:pPr>
            <w:r>
              <w:rPr>
                <w:sz w:val="17"/>
              </w:rPr>
              <w:t>§ 51.1-169</w:t>
            </w:r>
          </w:p>
        </w:tc>
        <w:tc>
          <w:tcPr>
            <w:tcW w:type="dxa" w:w="1234"/>
          </w:tcPr>
          <w:p>
            <w:pPr>
              <w:spacing w:before="20" w:after="20"/>
              <w:jc w:val="left"/>
            </w:pPr>
            <w:r>
              <w:rPr>
                <w:sz w:val="17"/>
              </w:rPr>
              <w:t>subsec. A, 3rd para.</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F-10</w:t>
            </w:r>
          </w:p>
        </w:tc>
        <w:tc>
          <w:tcPr>
            <w:tcW w:type="dxa" w:w="1234"/>
          </w:tcPr>
          <w:p>
            <w:pPr>
              <w:spacing w:before="20" w:after="20"/>
              <w:jc w:val="left"/>
            </w:pPr>
            <w:r>
              <w:rPr>
                <w:sz w:val="17"/>
              </w:rPr>
              <w:t>Hybrid members are deemed "a person who becomes a member on or after July 1, 2010"</w:t>
            </w:r>
          </w:p>
        </w:tc>
        <w:tc>
          <w:tcPr>
            <w:tcW w:type="dxa" w:w="1234"/>
          </w:tcPr>
          <w:p>
            <w:pPr>
              <w:spacing w:before="20" w:after="20"/>
              <w:jc w:val="left"/>
            </w:pPr>
            <w:r>
              <w:rPr>
                <w:sz w:val="17"/>
              </w:rPr>
              <w:t>—</w:t>
            </w:r>
          </w:p>
        </w:tc>
        <w:tc>
          <w:tcPr>
            <w:tcW w:type="dxa" w:w="1234"/>
          </w:tcPr>
          <w:p>
            <w:pPr>
              <w:spacing w:before="20" w:after="20"/>
              <w:jc w:val="left"/>
            </w:pPr>
            <w:r>
              <w:rPr>
                <w:sz w:val="17"/>
              </w:rPr>
              <w:t>§ 51.1-169</w:t>
            </w:r>
          </w:p>
        </w:tc>
        <w:tc>
          <w:tcPr>
            <w:tcW w:type="dxa" w:w="1234"/>
          </w:tcPr>
          <w:p>
            <w:pPr>
              <w:spacing w:before="20" w:after="20"/>
              <w:jc w:val="left"/>
            </w:pPr>
            <w:r>
              <w:rPr>
                <w:sz w:val="17"/>
              </w:rPr>
              <w:t>subdiv. D 3</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F-11</w:t>
            </w:r>
          </w:p>
        </w:tc>
        <w:tc>
          <w:tcPr>
            <w:tcW w:type="dxa" w:w="1234"/>
          </w:tcPr>
          <w:p>
            <w:pPr>
              <w:spacing w:before="20" w:after="20"/>
              <w:jc w:val="left"/>
            </w:pPr>
            <w:r>
              <w:rPr>
                <w:sz w:val="17"/>
              </w:rPr>
              <w:t>Hybrid members may not retire for disability under the DB component</w:t>
            </w:r>
          </w:p>
        </w:tc>
        <w:tc>
          <w:tcPr>
            <w:tcW w:type="dxa" w:w="1234"/>
          </w:tcPr>
          <w:p>
            <w:pPr>
              <w:spacing w:before="20" w:after="20"/>
              <w:jc w:val="left"/>
            </w:pPr>
            <w:r>
              <w:rPr>
                <w:sz w:val="17"/>
              </w:rPr>
              <w:t>—</w:t>
            </w:r>
          </w:p>
        </w:tc>
        <w:tc>
          <w:tcPr>
            <w:tcW w:type="dxa" w:w="1234"/>
          </w:tcPr>
          <w:p>
            <w:pPr>
              <w:spacing w:before="20" w:after="20"/>
              <w:jc w:val="left"/>
            </w:pPr>
            <w:r>
              <w:rPr>
                <w:sz w:val="17"/>
              </w:rPr>
              <w:t>§ 51.1-169</w:t>
            </w:r>
          </w:p>
        </w:tc>
        <w:tc>
          <w:tcPr>
            <w:tcW w:type="dxa" w:w="1234"/>
          </w:tcPr>
          <w:p>
            <w:pPr>
              <w:spacing w:before="20" w:after="20"/>
              <w:jc w:val="left"/>
            </w:pPr>
            <w:r>
              <w:rPr>
                <w:sz w:val="17"/>
              </w:rPr>
              <w:t>subdiv. D 2</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F-12</w:t>
            </w:r>
          </w:p>
        </w:tc>
        <w:tc>
          <w:tcPr>
            <w:tcW w:type="dxa" w:w="1234"/>
          </w:tcPr>
          <w:p>
            <w:pPr>
              <w:spacing w:before="20" w:after="20"/>
              <w:jc w:val="left"/>
            </w:pPr>
            <w:r>
              <w:rPr>
                <w:sz w:val="17"/>
              </w:rPr>
              <w:t>Plan 1 / Plan 2 benefit multipliers</w:t>
            </w:r>
          </w:p>
        </w:tc>
        <w:tc>
          <w:tcPr>
            <w:tcW w:type="dxa" w:w="1234"/>
          </w:tcPr>
          <w:p>
            <w:pPr>
              <w:spacing w:before="20" w:after="20"/>
              <w:jc w:val="left"/>
            </w:pPr>
            <w:r>
              <w:rPr>
                <w:sz w:val="17"/>
              </w:rPr>
              <w:t>1.70% / 1.65%–1.70%</w:t>
            </w:r>
          </w:p>
        </w:tc>
        <w:tc>
          <w:tcPr>
            <w:tcW w:type="dxa" w:w="1234"/>
          </w:tcPr>
          <w:p>
            <w:pPr>
              <w:spacing w:before="20" w:after="20"/>
              <w:jc w:val="left"/>
            </w:pPr>
            <w:r>
              <w:rPr>
                <w:sz w:val="17"/>
              </w:rPr>
              <w:t>§ 51.1-155</w:t>
            </w:r>
          </w:p>
        </w:tc>
        <w:tc>
          <w:tcPr>
            <w:tcW w:type="dxa" w:w="1234"/>
          </w:tcPr>
          <w:p>
            <w:pPr>
              <w:spacing w:before="20" w:after="20"/>
              <w:jc w:val="left"/>
            </w:pPr>
            <w:r>
              <w:rPr>
                <w:sz w:val="17"/>
              </w:rPr>
              <w:t>subdiv. A 1</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F-13</w:t>
            </w:r>
          </w:p>
        </w:tc>
        <w:tc>
          <w:tcPr>
            <w:tcW w:type="dxa" w:w="1234"/>
          </w:tcPr>
          <w:p>
            <w:pPr>
              <w:spacing w:before="20" w:after="20"/>
              <w:jc w:val="left"/>
            </w:pPr>
            <w:r>
              <w:rPr>
                <w:sz w:val="17"/>
              </w:rPr>
              <w:t>COLA: first 2% of CPI-U plus half the next 2%, max 3% (post-2010 members and Hybrid); 3% plus half of next 4%, max 5% for Plan 1 cohort</w:t>
            </w:r>
          </w:p>
        </w:tc>
        <w:tc>
          <w:tcPr>
            <w:tcW w:type="dxa" w:w="1234"/>
          </w:tcPr>
          <w:p>
            <w:pPr>
              <w:spacing w:before="20" w:after="20"/>
              <w:jc w:val="left"/>
            </w:pPr>
            <w:r>
              <w:rPr>
                <w:sz w:val="17"/>
              </w:rPr>
              <w:t>3% / 5% caps</w:t>
            </w:r>
          </w:p>
        </w:tc>
        <w:tc>
          <w:tcPr>
            <w:tcW w:type="dxa" w:w="1234"/>
          </w:tcPr>
          <w:p>
            <w:pPr>
              <w:spacing w:before="20" w:after="20"/>
              <w:jc w:val="left"/>
            </w:pPr>
            <w:r>
              <w:rPr>
                <w:sz w:val="17"/>
              </w:rPr>
              <w:t>§ 51.1-166</w:t>
            </w:r>
          </w:p>
        </w:tc>
        <w:tc>
          <w:tcPr>
            <w:tcW w:type="dxa" w:w="1234"/>
          </w:tcPr>
          <w:p>
            <w:pPr>
              <w:spacing w:before="20" w:after="20"/>
              <w:jc w:val="left"/>
            </w:pPr>
            <w:r>
              <w:rPr>
                <w:sz w:val="17"/>
              </w:rPr>
              <w:t>subsec. B</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F-14</w:t>
            </w:r>
          </w:p>
        </w:tc>
        <w:tc>
          <w:tcPr>
            <w:tcW w:type="dxa" w:w="1234"/>
          </w:tcPr>
          <w:p>
            <w:pPr>
              <w:spacing w:before="20" w:after="20"/>
              <w:jc w:val="left"/>
            </w:pPr>
            <w:r>
              <w:rPr>
                <w:sz w:val="17"/>
              </w:rPr>
              <w:t>HIC: requires 15 years of total creditable service; $4.25/month per year of creditable service effective July 1, 2024</w:t>
            </w:r>
          </w:p>
        </w:tc>
        <w:tc>
          <w:tcPr>
            <w:tcW w:type="dxa" w:w="1234"/>
          </w:tcPr>
          <w:p>
            <w:pPr>
              <w:spacing w:before="20" w:after="20"/>
              <w:jc w:val="left"/>
            </w:pPr>
            <w:r>
              <w:rPr>
                <w:sz w:val="17"/>
              </w:rPr>
              <w:t>15 yrs; $4.25</w:t>
            </w:r>
          </w:p>
        </w:tc>
        <w:tc>
          <w:tcPr>
            <w:tcW w:type="dxa" w:w="1234"/>
          </w:tcPr>
          <w:p>
            <w:pPr>
              <w:spacing w:before="20" w:after="20"/>
              <w:jc w:val="left"/>
            </w:pPr>
            <w:r>
              <w:rPr>
                <w:sz w:val="17"/>
              </w:rPr>
              <w:t>§ 51.1-1400</w:t>
            </w:r>
          </w:p>
        </w:tc>
        <w:tc>
          <w:tcPr>
            <w:tcW w:type="dxa" w:w="1234"/>
          </w:tcPr>
          <w:p>
            <w:pPr>
              <w:spacing w:before="20" w:after="20"/>
              <w:jc w:val="left"/>
            </w:pPr>
            <w:r>
              <w:rPr>
                <w:sz w:val="17"/>
              </w:rPr>
              <w:t>subsec. A</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F-15</w:t>
            </w:r>
          </w:p>
        </w:tc>
        <w:tc>
          <w:tcPr>
            <w:tcW w:type="dxa" w:w="1234"/>
          </w:tcPr>
          <w:p>
            <w:pPr>
              <w:spacing w:before="20" w:after="20"/>
              <w:jc w:val="left"/>
            </w:pPr>
            <w:r>
              <w:rPr>
                <w:sz w:val="17"/>
              </w:rPr>
              <w:t>VRS must actuarially determine HIC funding and reflect it in the employer contribution rate</w:t>
            </w:r>
          </w:p>
        </w:tc>
        <w:tc>
          <w:tcPr>
            <w:tcW w:type="dxa" w:w="1234"/>
          </w:tcPr>
          <w:p>
            <w:pPr>
              <w:spacing w:before="20" w:after="20"/>
              <w:jc w:val="left"/>
            </w:pPr>
            <w:r>
              <w:rPr>
                <w:sz w:val="17"/>
              </w:rPr>
              <w:t>—</w:t>
            </w:r>
          </w:p>
        </w:tc>
        <w:tc>
          <w:tcPr>
            <w:tcW w:type="dxa" w:w="1234"/>
          </w:tcPr>
          <w:p>
            <w:pPr>
              <w:spacing w:before="20" w:after="20"/>
              <w:jc w:val="left"/>
            </w:pPr>
            <w:r>
              <w:rPr>
                <w:sz w:val="17"/>
              </w:rPr>
              <w:t>§ 51.1-1400</w:t>
            </w:r>
          </w:p>
        </w:tc>
        <w:tc>
          <w:tcPr>
            <w:tcW w:type="dxa" w:w="1234"/>
          </w:tcPr>
          <w:p>
            <w:pPr>
              <w:spacing w:before="20" w:after="20"/>
              <w:jc w:val="left"/>
            </w:pPr>
            <w:r>
              <w:rPr>
                <w:sz w:val="17"/>
              </w:rPr>
              <w:t>subsec. D</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F-16</w:t>
            </w:r>
          </w:p>
        </w:tc>
        <w:tc>
          <w:tcPr>
            <w:tcW w:type="dxa" w:w="1234"/>
          </w:tcPr>
          <w:p>
            <w:pPr>
              <w:spacing w:before="20" w:after="20"/>
              <w:jc w:val="left"/>
            </w:pPr>
            <w:r>
              <w:rPr>
                <w:sz w:val="17"/>
              </w:rPr>
              <w:t xml:space="preserve">PLOP requires creditable service </w:t>
            </w:r>
            <w:r>
              <w:rPr>
                <w:b/>
                <w:sz w:val="17"/>
              </w:rPr>
              <w:t>performed</w:t>
            </w:r>
            <w:r>
              <w:rPr>
                <w:sz w:val="17"/>
              </w:rPr>
              <w:t xml:space="preserve"> after first unreduced eligibility </w:t>
            </w:r>
            <w:r>
              <w:rPr>
                <w:b/>
                <w:sz w:val="17"/>
              </w:rPr>
              <w:t>and</w:t>
            </w:r>
            <w:r>
              <w:rPr>
                <w:sz w:val="17"/>
              </w:rPr>
              <w:t xml:space="preserve"> being "in service" 1/2/3 full years after 1/1/2001</w:t>
            </w:r>
          </w:p>
        </w:tc>
        <w:tc>
          <w:tcPr>
            <w:tcW w:type="dxa" w:w="1234"/>
          </w:tcPr>
          <w:p>
            <w:pPr>
              <w:spacing w:before="20" w:after="20"/>
              <w:jc w:val="left"/>
            </w:pPr>
            <w:r>
              <w:rPr>
                <w:sz w:val="17"/>
              </w:rPr>
              <w:t>—</w:t>
            </w:r>
          </w:p>
        </w:tc>
        <w:tc>
          <w:tcPr>
            <w:tcW w:type="dxa" w:w="1234"/>
          </w:tcPr>
          <w:p>
            <w:pPr>
              <w:spacing w:before="20" w:after="20"/>
              <w:jc w:val="left"/>
            </w:pPr>
            <w:r>
              <w:rPr>
                <w:sz w:val="17"/>
              </w:rPr>
              <w:t>§ 51.1-165.01</w:t>
            </w:r>
          </w:p>
        </w:tc>
        <w:tc>
          <w:tcPr>
            <w:tcW w:type="dxa" w:w="1234"/>
          </w:tcPr>
          <w:p>
            <w:pPr>
              <w:spacing w:before="20" w:after="20"/>
              <w:jc w:val="left"/>
            </w:pPr>
            <w:r>
              <w:rPr>
                <w:sz w:val="17"/>
              </w:rPr>
              <w:t>subsec. B</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F-17</w:t>
            </w:r>
          </w:p>
        </w:tc>
        <w:tc>
          <w:tcPr>
            <w:tcW w:type="dxa" w:w="1234"/>
          </w:tcPr>
          <w:p>
            <w:pPr>
              <w:spacing w:before="20" w:after="20"/>
              <w:jc w:val="left"/>
            </w:pPr>
            <w:r>
              <w:rPr>
                <w:sz w:val="17"/>
              </w:rPr>
              <w:t>VRS Board must file a financial and policy impact statement on VRS bills with both clerks, the Commission on Local Government, House Appropriations, and Senate Finance &amp; Appropriations</w:t>
            </w:r>
          </w:p>
        </w:tc>
        <w:tc>
          <w:tcPr>
            <w:tcW w:type="dxa" w:w="1234"/>
          </w:tcPr>
          <w:p>
            <w:pPr>
              <w:spacing w:before="20" w:after="20"/>
              <w:jc w:val="left"/>
            </w:pPr>
            <w:r>
              <w:rPr>
                <w:sz w:val="17"/>
              </w:rPr>
              <w:t>—</w:t>
            </w:r>
          </w:p>
        </w:tc>
        <w:tc>
          <w:tcPr>
            <w:tcW w:type="dxa" w:w="1234"/>
          </w:tcPr>
          <w:p>
            <w:pPr>
              <w:spacing w:before="20" w:after="20"/>
              <w:jc w:val="left"/>
            </w:pPr>
            <w:r>
              <w:rPr>
                <w:sz w:val="17"/>
              </w:rPr>
              <w:t>§ 30-19.1:7</w:t>
            </w:r>
          </w:p>
        </w:tc>
        <w:tc>
          <w:tcPr>
            <w:tcW w:type="dxa" w:w="1234"/>
          </w:tcPr>
          <w:p>
            <w:pPr>
              <w:spacing w:before="20" w:after="20"/>
              <w:jc w:val="left"/>
            </w:pPr>
            <w:r>
              <w:rPr>
                <w:sz w:val="17"/>
              </w:rPr>
              <w:t>whole section</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F-18</w:t>
            </w:r>
          </w:p>
        </w:tc>
        <w:tc>
          <w:tcPr>
            <w:tcW w:type="dxa" w:w="1234"/>
          </w:tcPr>
          <w:p>
            <w:pPr>
              <w:spacing w:before="20" w:after="20"/>
              <w:jc w:val="left"/>
            </w:pPr>
            <w:r>
              <w:rPr>
                <w:sz w:val="17"/>
              </w:rPr>
              <w:t>Veterans receive a hiring preference for Commonwealth employment</w:t>
            </w:r>
          </w:p>
        </w:tc>
        <w:tc>
          <w:tcPr>
            <w:tcW w:type="dxa" w:w="1234"/>
          </w:tcPr>
          <w:p>
            <w:pPr>
              <w:spacing w:before="20" w:after="20"/>
              <w:jc w:val="left"/>
            </w:pPr>
            <w:r>
              <w:rPr>
                <w:sz w:val="17"/>
              </w:rPr>
              <w:t>—</w:t>
            </w:r>
          </w:p>
        </w:tc>
        <w:tc>
          <w:tcPr>
            <w:tcW w:type="dxa" w:w="1234"/>
          </w:tcPr>
          <w:p>
            <w:pPr>
              <w:spacing w:before="20" w:after="20"/>
              <w:jc w:val="left"/>
            </w:pPr>
            <w:r>
              <w:rPr>
                <w:sz w:val="17"/>
              </w:rPr>
              <w:t>§ 2.2-2903</w:t>
            </w:r>
          </w:p>
        </w:tc>
        <w:tc>
          <w:tcPr>
            <w:tcW w:type="dxa" w:w="1234"/>
          </w:tcPr>
          <w:p>
            <w:pPr>
              <w:spacing w:before="20" w:after="20"/>
              <w:jc w:val="left"/>
            </w:pPr>
            <w:r>
              <w:rPr>
                <w:sz w:val="17"/>
              </w:rPr>
              <w:t>subsecs. A, B</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F-36</w:t>
            </w:r>
          </w:p>
        </w:tc>
        <w:tc>
          <w:tcPr>
            <w:tcW w:type="dxa" w:w="1234"/>
          </w:tcPr>
          <w:p>
            <w:pPr>
              <w:spacing w:before="20" w:after="20"/>
              <w:jc w:val="left"/>
            </w:pPr>
            <w:r>
              <w:rPr>
                <w:sz w:val="17"/>
              </w:rPr>
              <w:t xml:space="preserve">2026 Acts of Assembly c. 563 (HB 139) amended § 51.1-142.2 but concerned unpaid educational leave for employee association officers — </w:t>
            </w:r>
            <w:r>
              <w:rPr>
                <w:b/>
                <w:sz w:val="17"/>
              </w:rPr>
              <w:t>not</w:t>
            </w:r>
            <w:r>
              <w:rPr>
                <w:sz w:val="17"/>
              </w:rPr>
              <w:t xml:space="preserve"> military service</w:t>
            </w:r>
          </w:p>
        </w:tc>
        <w:tc>
          <w:tcPr>
            <w:tcW w:type="dxa" w:w="1234"/>
          </w:tcPr>
          <w:p>
            <w:pPr>
              <w:spacing w:before="20" w:after="20"/>
              <w:jc w:val="left"/>
            </w:pPr>
            <w:r>
              <w:rPr>
                <w:sz w:val="17"/>
              </w:rPr>
              <w:t>—</w:t>
            </w:r>
          </w:p>
        </w:tc>
        <w:tc>
          <w:tcPr>
            <w:tcW w:type="dxa" w:w="1234"/>
          </w:tcPr>
          <w:p>
            <w:pPr>
              <w:spacing w:before="20" w:after="20"/>
              <w:jc w:val="left"/>
            </w:pPr>
            <w:r>
              <w:rPr>
                <w:sz w:val="17"/>
              </w:rPr>
              <w:t>Virginia LIS, 2026 Reg. Sess., HB 139 (CHAP0563)</w:t>
            </w:r>
          </w:p>
        </w:tc>
        <w:tc>
          <w:tcPr>
            <w:tcW w:type="dxa" w:w="1234"/>
          </w:tcPr>
          <w:p>
            <w:pPr>
              <w:spacing w:before="20" w:after="20"/>
              <w:jc w:val="left"/>
            </w:pPr>
            <w:r>
              <w:rPr>
                <w:sz w:val="17"/>
              </w:rPr>
              <w:t>chapter text</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F-41</w:t>
            </w:r>
          </w:p>
        </w:tc>
        <w:tc>
          <w:tcPr>
            <w:tcW w:type="dxa" w:w="1234"/>
          </w:tcPr>
          <w:p>
            <w:pPr>
              <w:spacing w:before="20" w:after="20"/>
              <w:jc w:val="left"/>
            </w:pPr>
            <w:r>
              <w:rPr>
                <w:sz w:val="17"/>
              </w:rPr>
              <w:t>Hybrid exclusions: anyone participating in or eligible for Chapter 2 (SPORS), Chapter 2.1 (VaLORS), the optional retirement plans, or eligible for § 51.1-138 benefits; and any EMS / firefighter / law-enforcement officer whose political subdivision adopted the irrevocable resolution under § 51.1-153 B 4 and § 51.1-155 A 3</w:t>
            </w:r>
          </w:p>
        </w:tc>
        <w:tc>
          <w:tcPr>
            <w:tcW w:type="dxa" w:w="1234"/>
          </w:tcPr>
          <w:p>
            <w:pPr>
              <w:spacing w:before="20" w:after="20"/>
              <w:jc w:val="left"/>
            </w:pPr>
            <w:r>
              <w:rPr>
                <w:sz w:val="17"/>
              </w:rPr>
              <w:t>—</w:t>
            </w:r>
          </w:p>
        </w:tc>
        <w:tc>
          <w:tcPr>
            <w:tcW w:type="dxa" w:w="1234"/>
          </w:tcPr>
          <w:p>
            <w:pPr>
              <w:spacing w:before="20" w:after="20"/>
              <w:jc w:val="left"/>
            </w:pPr>
            <w:r>
              <w:rPr>
                <w:sz w:val="17"/>
              </w:rPr>
              <w:t>§ 51.1-169</w:t>
            </w:r>
          </w:p>
        </w:tc>
        <w:tc>
          <w:tcPr>
            <w:tcW w:type="dxa" w:w="1234"/>
          </w:tcPr>
          <w:p>
            <w:pPr>
              <w:spacing w:before="20" w:after="20"/>
              <w:jc w:val="left"/>
            </w:pPr>
            <w:r>
              <w:rPr>
                <w:sz w:val="17"/>
              </w:rPr>
              <w:t>subsec. A</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r>
        <w:tc>
          <w:tcPr>
            <w:tcW w:type="dxa" w:w="1234"/>
          </w:tcPr>
          <w:p>
            <w:pPr>
              <w:spacing w:before="20" w:after="20"/>
              <w:jc w:val="left"/>
            </w:pPr>
            <w:r>
              <w:rPr>
                <w:sz w:val="17"/>
              </w:rPr>
              <w:t>F-42</w:t>
            </w:r>
          </w:p>
        </w:tc>
        <w:tc>
          <w:tcPr>
            <w:tcW w:type="dxa" w:w="1234"/>
          </w:tcPr>
          <w:p>
            <w:pPr>
              <w:spacing w:before="20" w:after="20"/>
              <w:jc w:val="left"/>
            </w:pPr>
            <w:r>
              <w:rPr>
                <w:sz w:val="17"/>
              </w:rPr>
              <w:t xml:space="preserve">Judges appointed or elected to an original term on or after July 1, 2026 are in VRS </w:t>
            </w:r>
            <w:r>
              <w:rPr>
                <w:b/>
                <w:sz w:val="17"/>
              </w:rPr>
              <w:t>Plan 2</w:t>
            </w:r>
          </w:p>
        </w:tc>
        <w:tc>
          <w:tcPr>
            <w:tcW w:type="dxa" w:w="1234"/>
          </w:tcPr>
          <w:p>
            <w:pPr>
              <w:spacing w:before="20" w:after="20"/>
              <w:jc w:val="left"/>
            </w:pPr>
            <w:r>
              <w:rPr>
                <w:sz w:val="17"/>
              </w:rPr>
              <w:t>7/1/2026</w:t>
            </w:r>
          </w:p>
        </w:tc>
        <w:tc>
          <w:tcPr>
            <w:tcW w:type="dxa" w:w="1234"/>
          </w:tcPr>
          <w:p>
            <w:pPr>
              <w:spacing w:before="20" w:after="20"/>
              <w:jc w:val="left"/>
            </w:pPr>
            <w:r>
              <w:rPr>
                <w:sz w:val="17"/>
              </w:rPr>
              <w:t>2026 Acts of Assembly, SB 950</w:t>
            </w:r>
          </w:p>
        </w:tc>
        <w:tc>
          <w:tcPr>
            <w:tcW w:type="dxa" w:w="1234"/>
          </w:tcPr>
          <w:p>
            <w:pPr>
              <w:spacing w:before="20" w:after="20"/>
              <w:jc w:val="left"/>
            </w:pPr>
            <w:r>
              <w:rPr>
                <w:sz w:val="17"/>
              </w:rPr>
              <w:t>as reported in VRS ACFR FY2025 legislative summary</w:t>
            </w:r>
          </w:p>
        </w:tc>
        <w:tc>
          <w:tcPr>
            <w:tcW w:type="dxa" w:w="1234"/>
          </w:tcPr>
          <w:p>
            <w:pPr>
              <w:spacing w:before="20" w:after="20"/>
              <w:jc w:val="left"/>
            </w:pPr>
            <w:r>
              <w:rPr>
                <w:sz w:val="17"/>
              </w:rPr>
              <w:t>1</w:t>
            </w:r>
          </w:p>
        </w:tc>
        <w:tc>
          <w:tcPr>
            <w:tcW w:type="dxa" w:w="1234"/>
          </w:tcPr>
          <w:p>
            <w:pPr>
              <w:spacing w:before="20" w:after="20"/>
              <w:jc w:val="left"/>
            </w:pPr>
            <w:r>
              <w:rPr>
                <w:sz w:val="17"/>
              </w:rPr>
              <w:t xml:space="preserve">Medium — </w:t>
            </w:r>
            <w:r>
              <w:rPr>
                <w:i/>
                <w:sz w:val="17"/>
              </w:rPr>
              <w:t>see § 5, U-07</w:t>
            </w:r>
          </w:p>
        </w:tc>
      </w:tr>
      <w:tr>
        <w:tc>
          <w:tcPr>
            <w:tcW w:type="dxa" w:w="1234"/>
          </w:tcPr>
          <w:p>
            <w:pPr>
              <w:spacing w:before="20" w:after="20"/>
              <w:jc w:val="left"/>
            </w:pPr>
            <w:r>
              <w:rPr>
                <w:sz w:val="17"/>
              </w:rPr>
              <w:t>F-53</w:t>
            </w:r>
          </w:p>
        </w:tc>
        <w:tc>
          <w:tcPr>
            <w:tcW w:type="dxa" w:w="1234"/>
          </w:tcPr>
          <w:p>
            <w:pPr>
              <w:spacing w:before="20" w:after="20"/>
              <w:jc w:val="left"/>
            </w:pPr>
            <w:r>
              <w:rPr>
                <w:sz w:val="17"/>
              </w:rPr>
              <w:t>Vesting is five years of service credit</w:t>
            </w:r>
          </w:p>
        </w:tc>
        <w:tc>
          <w:tcPr>
            <w:tcW w:type="dxa" w:w="1234"/>
          </w:tcPr>
          <w:p>
            <w:pPr>
              <w:spacing w:before="20" w:after="20"/>
              <w:jc w:val="left"/>
            </w:pPr>
            <w:r>
              <w:rPr>
                <w:sz w:val="17"/>
              </w:rPr>
              <w:t>5 yrs</w:t>
            </w:r>
          </w:p>
        </w:tc>
        <w:tc>
          <w:tcPr>
            <w:tcW w:type="dxa" w:w="1234"/>
          </w:tcPr>
          <w:p>
            <w:pPr>
              <w:spacing w:before="20" w:after="20"/>
              <w:jc w:val="left"/>
            </w:pPr>
            <w:r>
              <w:rPr>
                <w:sz w:val="17"/>
              </w:rPr>
              <w:t>§ 51.1-153; VRS ACFR FY2025</w:t>
            </w:r>
          </w:p>
        </w:tc>
        <w:tc>
          <w:tcPr>
            <w:tcW w:type="dxa" w:w="1234"/>
          </w:tcPr>
          <w:p>
            <w:pPr>
              <w:spacing w:before="20" w:after="20"/>
              <w:jc w:val="left"/>
            </w:pPr>
            <w:r>
              <w:rPr>
                <w:sz w:val="17"/>
              </w:rPr>
              <w:t>Fig. 2.10</w:t>
            </w:r>
          </w:p>
        </w:tc>
        <w:tc>
          <w:tcPr>
            <w:tcW w:type="dxa" w:w="1234"/>
          </w:tcPr>
          <w:p>
            <w:pPr>
              <w:spacing w:before="20" w:after="20"/>
              <w:jc w:val="left"/>
            </w:pPr>
            <w:r>
              <w:rPr>
                <w:sz w:val="17"/>
              </w:rPr>
              <w:t>1</w:t>
            </w:r>
          </w:p>
        </w:tc>
        <w:tc>
          <w:tcPr>
            <w:tcW w:type="dxa" w:w="1234"/>
          </w:tcPr>
          <w:p>
            <w:pPr>
              <w:spacing w:before="20" w:after="20"/>
              <w:jc w:val="left"/>
            </w:pPr>
            <w:r>
              <w:rPr>
                <w:sz w:val="17"/>
              </w:rPr>
              <w:t>High</w:t>
            </w:r>
          </w:p>
        </w:tc>
      </w:tr>
    </w:tbl>
    <w:p>
      <w:pPr>
        <w:spacing w:before="0" w:after="0" w:line="80" w:lineRule="exact"/>
      </w:pPr>
      <w:r>
        <w:rPr>
          <w:sz w:val="8"/>
        </w:rPr>
      </w:r>
    </w:p>
    <w:p>
      <w:r>
        <w:rPr>
          <w:b/>
        </w:rPr>
        <w:t>Checked and found not to exist:</w:t>
      </w:r>
      <w:r>
        <w:t xml:space="preserve"> no Virginia Code section defines "earned service" or "benefit-calculation service"; no section of Title 51.1 other than § 51.1-142.2 B 3 and E contains the 24-month cost window; no conforming cross-reference to the window exists elsewhere in Title 51.1.</w:t>
      </w:r>
    </w:p>
    <w:p>
      <w:pPr>
        <w:pStyle w:val="Heading3"/>
      </w:pPr>
      <w:r>
        <w:t>1.2 VRS published rates and administrative facts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ID</w:t>
            </w:r>
          </w:p>
        </w:tc>
        <w:tc>
          <w:tcPr>
            <w:tcW w:type="dxa" w:w="1234"/>
          </w:tcPr>
          <w:p>
            <w:pPr>
              <w:spacing w:before="20" w:after="20"/>
              <w:jc w:val="left"/>
            </w:pPr>
            <w:r>
              <w:rPr>
                <w:b/>
                <w:sz w:val="17"/>
              </w:rPr>
              <w:t>Fact</w:t>
            </w:r>
          </w:p>
        </w:tc>
        <w:tc>
          <w:tcPr>
            <w:tcW w:type="dxa" w:w="1234"/>
          </w:tcPr>
          <w:p>
            <w:pPr>
              <w:spacing w:before="20" w:after="20"/>
              <w:jc w:val="left"/>
            </w:pPr>
            <w:r>
              <w:rPr>
                <w:b/>
                <w:sz w:val="17"/>
              </w:rPr>
              <w:t>Value</w:t>
            </w:r>
          </w:p>
        </w:tc>
        <w:tc>
          <w:tcPr>
            <w:tcW w:type="dxa" w:w="1234"/>
          </w:tcPr>
          <w:p>
            <w:pPr>
              <w:spacing w:before="20" w:after="20"/>
              <w:jc w:val="left"/>
            </w:pPr>
            <w:r>
              <w:rPr>
                <w:b/>
                <w:sz w:val="17"/>
              </w:rPr>
              <w:t>Source</w:t>
            </w:r>
          </w:p>
        </w:tc>
        <w:tc>
          <w:tcPr>
            <w:tcW w:type="dxa" w:w="1234"/>
          </w:tcPr>
          <w:p>
            <w:pPr>
              <w:spacing w:before="20" w:after="20"/>
              <w:jc w:val="left"/>
            </w:pPr>
            <w:r>
              <w:rPr>
                <w:b/>
                <w:sz w:val="17"/>
              </w:rPr>
              <w:t>Pinpoint</w:t>
            </w:r>
          </w:p>
        </w:tc>
        <w:tc>
          <w:tcPr>
            <w:tcW w:type="dxa" w:w="1234"/>
          </w:tcPr>
          <w:p>
            <w:pPr>
              <w:spacing w:before="20" w:after="20"/>
              <w:jc w:val="left"/>
            </w:pPr>
            <w:r>
              <w:rPr>
                <w:b/>
                <w:sz w:val="17"/>
              </w:rPr>
              <w:t>Tier</w:t>
            </w:r>
          </w:p>
        </w:tc>
        <w:tc>
          <w:tcPr>
            <w:tcW w:type="dxa" w:w="1234"/>
          </w:tcPr>
          <w:p>
            <w:pPr>
              <w:spacing w:before="20" w:after="20"/>
              <w:jc w:val="left"/>
            </w:pPr>
            <w:r>
              <w:rPr>
                <w:b/>
                <w:sz w:val="17"/>
              </w:rPr>
              <w:t>Confidence</w:t>
            </w:r>
          </w:p>
        </w:tc>
      </w:tr>
      <w:tr>
        <w:tc>
          <w:tcPr>
            <w:tcW w:type="dxa" w:w="1234"/>
          </w:tcPr>
          <w:p>
            <w:pPr>
              <w:spacing w:before="20" w:after="20"/>
              <w:jc w:val="left"/>
            </w:pPr>
            <w:r>
              <w:rPr>
                <w:sz w:val="17"/>
              </w:rPr>
              <w:t>F-19</w:t>
            </w:r>
          </w:p>
        </w:tc>
        <w:tc>
          <w:tcPr>
            <w:tcW w:type="dxa" w:w="1234"/>
          </w:tcPr>
          <w:p>
            <w:pPr>
              <w:spacing w:before="20" w:after="20"/>
              <w:jc w:val="left"/>
            </w:pPr>
            <w:r>
              <w:rPr>
                <w:sz w:val="17"/>
              </w:rPr>
              <w:t xml:space="preserve">Approximate normal cost rate, </w:t>
            </w:r>
            <w:r>
              <w:rPr>
                <w:b/>
                <w:sz w:val="17"/>
              </w:rPr>
              <w:t>Hybrid</w:t>
            </w:r>
            <w:r>
              <w:rPr>
                <w:sz w:val="17"/>
              </w:rPr>
              <w:t>, state/teacher/local non-hazardous</w:t>
            </w:r>
          </w:p>
        </w:tc>
        <w:tc>
          <w:tcPr>
            <w:tcW w:type="dxa" w:w="1234"/>
          </w:tcPr>
          <w:p>
            <w:pPr>
              <w:spacing w:before="20" w:after="20"/>
              <w:jc w:val="left"/>
            </w:pPr>
            <w:r>
              <w:rPr>
                <w:b/>
                <w:sz w:val="17"/>
              </w:rPr>
              <w:t>6.68% of salary</w:t>
            </w:r>
          </w:p>
        </w:tc>
        <w:tc>
          <w:tcPr>
            <w:tcW w:type="dxa" w:w="1234"/>
          </w:tcPr>
          <w:p>
            <w:pPr>
              <w:spacing w:before="20" w:after="20"/>
              <w:jc w:val="left"/>
            </w:pPr>
            <w:r>
              <w:rPr>
                <w:sz w:val="17"/>
              </w:rPr>
              <w:t xml:space="preserve">VRS, </w:t>
            </w:r>
            <w:r>
              <w:rPr>
                <w:i/>
                <w:sz w:val="17"/>
              </w:rPr>
              <w:t>Purchase of Prior Service Cost Rates</w:t>
            </w:r>
          </w:p>
        </w:tc>
        <w:tc>
          <w:tcPr>
            <w:tcW w:type="dxa" w:w="1234"/>
          </w:tcPr>
          <w:p>
            <w:pPr>
              <w:spacing w:before="20" w:after="20"/>
              <w:jc w:val="left"/>
            </w:pPr>
            <w:r>
              <w:rPr>
                <w:sz w:val="17"/>
              </w:rPr>
              <w:t>p. 1; rates eff. 7/1/2025</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F-20</w:t>
            </w:r>
          </w:p>
        </w:tc>
        <w:tc>
          <w:tcPr>
            <w:tcW w:type="dxa" w:w="1234"/>
          </w:tcPr>
          <w:p>
            <w:pPr>
              <w:spacing w:before="20" w:after="20"/>
              <w:jc w:val="left"/>
            </w:pPr>
            <w:r>
              <w:rPr>
                <w:sz w:val="17"/>
              </w:rPr>
              <w:t xml:space="preserve">Approximate normal cost rate, </w:t>
            </w:r>
            <w:r>
              <w:rPr>
                <w:b/>
                <w:sz w:val="17"/>
              </w:rPr>
              <w:t>Plan 1</w:t>
            </w:r>
            <w:r>
              <w:rPr>
                <w:sz w:val="17"/>
              </w:rPr>
              <w:t>, state/teacher/local non-hazardous</w:t>
            </w:r>
          </w:p>
        </w:tc>
        <w:tc>
          <w:tcPr>
            <w:tcW w:type="dxa" w:w="1234"/>
          </w:tcPr>
          <w:p>
            <w:pPr>
              <w:spacing w:before="20" w:after="20"/>
              <w:jc w:val="left"/>
            </w:pPr>
            <w:r>
              <w:rPr>
                <w:b/>
                <w:sz w:val="17"/>
              </w:rPr>
              <w:t>12.50% of salary</w:t>
            </w:r>
          </w:p>
        </w:tc>
        <w:tc>
          <w:tcPr>
            <w:tcW w:type="dxa" w:w="1234"/>
          </w:tcPr>
          <w:p>
            <w:pPr>
              <w:spacing w:before="20" w:after="20"/>
              <w:jc w:val="left"/>
            </w:pPr>
            <w:r>
              <w:rPr>
                <w:sz w:val="17"/>
              </w:rPr>
              <w:t>same</w:t>
            </w:r>
          </w:p>
        </w:tc>
        <w:tc>
          <w:tcPr>
            <w:tcW w:type="dxa" w:w="1234"/>
          </w:tcPr>
          <w:p>
            <w:pPr>
              <w:spacing w:before="20" w:after="20"/>
              <w:jc w:val="left"/>
            </w:pPr>
            <w:r>
              <w:rPr>
                <w:sz w:val="17"/>
              </w:rPr>
              <w:t>p. 2</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F-21</w:t>
            </w:r>
          </w:p>
        </w:tc>
        <w:tc>
          <w:tcPr>
            <w:tcW w:type="dxa" w:w="1234"/>
          </w:tcPr>
          <w:p>
            <w:pPr>
              <w:spacing w:before="20" w:after="20"/>
              <w:jc w:val="left"/>
            </w:pPr>
            <w:r>
              <w:rPr>
                <w:sz w:val="17"/>
              </w:rPr>
              <w:t xml:space="preserve">Approximate normal cost rate, </w:t>
            </w:r>
            <w:r>
              <w:rPr>
                <w:b/>
                <w:sz w:val="17"/>
              </w:rPr>
              <w:t>Plan 2</w:t>
            </w:r>
            <w:r>
              <w:rPr>
                <w:sz w:val="17"/>
              </w:rPr>
              <w:t>, state/teacher/local non-hazardous</w:t>
            </w:r>
          </w:p>
        </w:tc>
        <w:tc>
          <w:tcPr>
            <w:tcW w:type="dxa" w:w="1234"/>
          </w:tcPr>
          <w:p>
            <w:pPr>
              <w:spacing w:before="20" w:after="20"/>
              <w:jc w:val="left"/>
            </w:pPr>
            <w:r>
              <w:rPr>
                <w:b/>
                <w:sz w:val="17"/>
              </w:rPr>
              <w:t>10.74% of salary</w:t>
            </w:r>
          </w:p>
        </w:tc>
        <w:tc>
          <w:tcPr>
            <w:tcW w:type="dxa" w:w="1234"/>
          </w:tcPr>
          <w:p>
            <w:pPr>
              <w:spacing w:before="20" w:after="20"/>
              <w:jc w:val="left"/>
            </w:pPr>
            <w:r>
              <w:rPr>
                <w:sz w:val="17"/>
              </w:rPr>
              <w:t>same</w:t>
            </w:r>
          </w:p>
        </w:tc>
        <w:tc>
          <w:tcPr>
            <w:tcW w:type="dxa" w:w="1234"/>
          </w:tcPr>
          <w:p>
            <w:pPr>
              <w:spacing w:before="20" w:after="20"/>
              <w:jc w:val="left"/>
            </w:pPr>
            <w:r>
              <w:rPr>
                <w:sz w:val="17"/>
              </w:rPr>
              <w:t>p. 3</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F-22</w:t>
            </w:r>
          </w:p>
        </w:tc>
        <w:tc>
          <w:tcPr>
            <w:tcW w:type="dxa" w:w="1234"/>
          </w:tcPr>
          <w:p>
            <w:pPr>
              <w:spacing w:before="20" w:after="20"/>
              <w:jc w:val="left"/>
            </w:pPr>
            <w:r>
              <w:rPr>
                <w:sz w:val="17"/>
              </w:rPr>
              <w:t>Hazardous duty normal cost rates, non-judicial</w:t>
            </w:r>
          </w:p>
        </w:tc>
        <w:tc>
          <w:tcPr>
            <w:tcW w:type="dxa" w:w="1234"/>
          </w:tcPr>
          <w:p>
            <w:pPr>
              <w:spacing w:before="20" w:after="20"/>
              <w:jc w:val="left"/>
            </w:pPr>
            <w:r>
              <w:rPr>
                <w:sz w:val="17"/>
              </w:rPr>
              <w:t xml:space="preserve">Plan 1 </w:t>
            </w:r>
            <w:r>
              <w:rPr>
                <w:b/>
                <w:sz w:val="17"/>
              </w:rPr>
              <w:t>23.78%</w:t>
            </w:r>
            <w:r>
              <w:rPr>
                <w:sz w:val="17"/>
              </w:rPr>
              <w:t xml:space="preserve">; Plan 2 </w:t>
            </w:r>
            <w:r>
              <w:rPr>
                <w:b/>
                <w:sz w:val="17"/>
              </w:rPr>
              <w:t>19.15%</w:t>
            </w:r>
            <w:r>
              <w:rPr>
                <w:sz w:val="17"/>
              </w:rPr>
              <w:t xml:space="preserve">; </w:t>
            </w:r>
            <w:r>
              <w:rPr>
                <w:b/>
                <w:sz w:val="17"/>
              </w:rPr>
              <w:t>no Hybrid rate exists</w:t>
            </w:r>
            <w:r>
              <w:rPr>
                <w:sz w:val="17"/>
              </w:rPr>
              <w:t xml:space="preserve"> (see F-41)</w:t>
            </w:r>
          </w:p>
        </w:tc>
        <w:tc>
          <w:tcPr>
            <w:tcW w:type="dxa" w:w="1234"/>
          </w:tcPr>
          <w:p>
            <w:pPr>
              <w:spacing w:before="20" w:after="20"/>
              <w:jc w:val="left"/>
            </w:pPr>
            <w:r>
              <w:rPr>
                <w:sz w:val="17"/>
              </w:rPr>
              <w:t>same</w:t>
            </w:r>
          </w:p>
        </w:tc>
        <w:tc>
          <w:tcPr>
            <w:tcW w:type="dxa" w:w="1234"/>
          </w:tcPr>
          <w:p>
            <w:pPr>
              <w:spacing w:before="20" w:after="20"/>
              <w:jc w:val="left"/>
            </w:pPr>
            <w:r>
              <w:rPr>
                <w:sz w:val="17"/>
              </w:rPr>
              <w:t>pp. 2–3</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F-43</w:t>
            </w:r>
          </w:p>
        </w:tc>
        <w:tc>
          <w:tcPr>
            <w:tcW w:type="dxa" w:w="1234"/>
          </w:tcPr>
          <w:p>
            <w:pPr>
              <w:spacing w:before="20" w:after="20"/>
              <w:jc w:val="left"/>
            </w:pPr>
            <w:r>
              <w:rPr>
                <w:b/>
                <w:sz w:val="17"/>
              </w:rPr>
              <w:t>Hazardous duty alternate option</w:t>
            </w:r>
            <w:r>
              <w:rPr>
                <w:sz w:val="17"/>
              </w:rPr>
              <w:t xml:space="preserve"> rate — published as a stand-alone rate with no plan column, available only to electing localities</w:t>
            </w:r>
          </w:p>
        </w:tc>
        <w:tc>
          <w:tcPr>
            <w:tcW w:type="dxa" w:w="1234"/>
          </w:tcPr>
          <w:p>
            <w:pPr>
              <w:spacing w:before="20" w:after="20"/>
              <w:jc w:val="left"/>
            </w:pPr>
            <w:r>
              <w:rPr>
                <w:b/>
                <w:sz w:val="17"/>
              </w:rPr>
              <w:t>10.01%</w:t>
            </w:r>
          </w:p>
        </w:tc>
        <w:tc>
          <w:tcPr>
            <w:tcW w:type="dxa" w:w="1234"/>
          </w:tcPr>
          <w:p>
            <w:pPr>
              <w:spacing w:before="20" w:after="20"/>
              <w:jc w:val="left"/>
            </w:pPr>
            <w:r>
              <w:rPr>
                <w:sz w:val="17"/>
              </w:rPr>
              <w:t>same</w:t>
            </w:r>
          </w:p>
        </w:tc>
        <w:tc>
          <w:tcPr>
            <w:tcW w:type="dxa" w:w="1234"/>
          </w:tcPr>
          <w:p>
            <w:pPr>
              <w:spacing w:before="20" w:after="20"/>
              <w:jc w:val="left"/>
            </w:pPr>
            <w:r>
              <w:rPr>
                <w:sz w:val="17"/>
              </w:rPr>
              <w:t>p. 4</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F-44</w:t>
            </w:r>
          </w:p>
        </w:tc>
        <w:tc>
          <w:tcPr>
            <w:tcW w:type="dxa" w:w="1234"/>
          </w:tcPr>
          <w:p>
            <w:pPr>
              <w:spacing w:before="20" w:after="20"/>
              <w:jc w:val="left"/>
            </w:pPr>
            <w:r>
              <w:rPr>
                <w:b/>
                <w:sz w:val="17"/>
              </w:rPr>
              <w:t>Judicial</w:t>
            </w:r>
            <w:r>
              <w:rPr>
                <w:sz w:val="17"/>
              </w:rPr>
              <w:t xml:space="preserve"> ANC rates</w:t>
            </w:r>
          </w:p>
        </w:tc>
        <w:tc>
          <w:tcPr>
            <w:tcW w:type="dxa" w:w="1234"/>
          </w:tcPr>
          <w:p>
            <w:pPr>
              <w:spacing w:before="20" w:after="20"/>
              <w:jc w:val="left"/>
            </w:pPr>
            <w:r>
              <w:rPr>
                <w:sz w:val="17"/>
              </w:rPr>
              <w:t xml:space="preserve">Plan 1 31.97%; Plan 2 </w:t>
            </w:r>
            <w:r>
              <w:rPr>
                <w:b/>
                <w:sz w:val="17"/>
              </w:rPr>
              <w:t>29.67%</w:t>
            </w:r>
            <w:r>
              <w:rPr>
                <w:sz w:val="17"/>
              </w:rPr>
              <w:t>; Hybrid 19.21%</w:t>
            </w:r>
          </w:p>
        </w:tc>
        <w:tc>
          <w:tcPr>
            <w:tcW w:type="dxa" w:w="1234"/>
          </w:tcPr>
          <w:p>
            <w:pPr>
              <w:spacing w:before="20" w:after="20"/>
              <w:jc w:val="left"/>
            </w:pPr>
            <w:r>
              <w:rPr>
                <w:sz w:val="17"/>
              </w:rPr>
              <w:t xml:space="preserve">same; VRS Board, Request for Board Action </w:t>
            </w:r>
            <w:r>
              <w:rPr>
                <w:b/>
                <w:sz w:val="17"/>
              </w:rPr>
              <w:t>2025-06-10</w:t>
            </w:r>
          </w:p>
        </w:tc>
        <w:tc>
          <w:tcPr>
            <w:tcW w:type="dxa" w:w="1234"/>
          </w:tcPr>
          <w:p>
            <w:pPr>
              <w:spacing w:before="20" w:after="20"/>
              <w:jc w:val="left"/>
            </w:pPr>
            <w:r>
              <w:rPr>
                <w:sz w:val="17"/>
              </w:rPr>
              <w:t>rate charts; minutes of 6/18/2025</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F-23</w:t>
            </w:r>
          </w:p>
        </w:tc>
        <w:tc>
          <w:tcPr>
            <w:tcW w:type="dxa" w:w="1234"/>
          </w:tcPr>
          <w:p>
            <w:pPr>
              <w:spacing w:before="20" w:after="20"/>
              <w:jc w:val="left"/>
            </w:pPr>
            <w:r>
              <w:rPr>
                <w:sz w:val="17"/>
              </w:rPr>
              <w:t xml:space="preserve">Rate applies to creditable compensation or AFC at time of purchase, </w:t>
            </w:r>
            <w:r>
              <w:rPr>
                <w:b/>
                <w:sz w:val="17"/>
              </w:rPr>
              <w:t>whichever is higher</w:t>
            </w:r>
          </w:p>
        </w:tc>
        <w:tc>
          <w:tcPr>
            <w:tcW w:type="dxa" w:w="1234"/>
          </w:tcPr>
          <w:p>
            <w:pPr>
              <w:spacing w:before="20" w:after="20"/>
              <w:jc w:val="left"/>
            </w:pPr>
            <w:r>
              <w:rPr>
                <w:sz w:val="17"/>
              </w:rPr>
              <w:t>—</w:t>
            </w:r>
          </w:p>
        </w:tc>
        <w:tc>
          <w:tcPr>
            <w:tcW w:type="dxa" w:w="1234"/>
          </w:tcPr>
          <w:p>
            <w:pPr>
              <w:spacing w:before="20" w:after="20"/>
              <w:jc w:val="left"/>
            </w:pPr>
            <w:r>
              <w:rPr>
                <w:i/>
                <w:sz w:val="17"/>
              </w:rPr>
              <w:t>Purchase of Prior Service Cost Rates</w:t>
            </w:r>
          </w:p>
        </w:tc>
        <w:tc>
          <w:tcPr>
            <w:tcW w:type="dxa" w:w="1234"/>
          </w:tcPr>
          <w:p>
            <w:pPr>
              <w:spacing w:before="20" w:after="20"/>
              <w:jc w:val="left"/>
            </w:pPr>
            <w:r>
              <w:rPr>
                <w:sz w:val="17"/>
              </w:rPr>
              <w:t>footnote * on each page</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F-24</w:t>
            </w:r>
          </w:p>
        </w:tc>
        <w:tc>
          <w:tcPr>
            <w:tcW w:type="dxa" w:w="1234"/>
          </w:tcPr>
          <w:p>
            <w:pPr>
              <w:spacing w:before="20" w:after="20"/>
              <w:jc w:val="left"/>
            </w:pPr>
            <w:r>
              <w:rPr>
                <w:sz w:val="17"/>
              </w:rPr>
              <w:t>VRS assumed rate of return used for refunded-service interest</w:t>
            </w:r>
          </w:p>
        </w:tc>
        <w:tc>
          <w:tcPr>
            <w:tcW w:type="dxa" w:w="1234"/>
          </w:tcPr>
          <w:p>
            <w:pPr>
              <w:spacing w:before="20" w:after="20"/>
              <w:jc w:val="left"/>
            </w:pPr>
            <w:r>
              <w:rPr>
                <w:sz w:val="17"/>
              </w:rPr>
              <w:t>6.75%</w:t>
            </w:r>
          </w:p>
        </w:tc>
        <w:tc>
          <w:tcPr>
            <w:tcW w:type="dxa" w:w="1234"/>
          </w:tcPr>
          <w:p>
            <w:pPr>
              <w:spacing w:before="20" w:after="20"/>
              <w:jc w:val="left"/>
            </w:pPr>
            <w:r>
              <w:rPr>
                <w:sz w:val="17"/>
              </w:rPr>
              <w:t>same</w:t>
            </w:r>
          </w:p>
        </w:tc>
        <w:tc>
          <w:tcPr>
            <w:tcW w:type="dxa" w:w="1234"/>
          </w:tcPr>
          <w:p>
            <w:pPr>
              <w:spacing w:before="20" w:after="20"/>
              <w:jc w:val="left"/>
            </w:pPr>
            <w:r>
              <w:rPr>
                <w:sz w:val="17"/>
              </w:rPr>
              <w:t>refunded service rows, all pages</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F-25</w:t>
            </w:r>
          </w:p>
        </w:tc>
        <w:tc>
          <w:tcPr>
            <w:tcW w:type="dxa" w:w="1234"/>
          </w:tcPr>
          <w:p>
            <w:pPr>
              <w:spacing w:before="20" w:after="20"/>
              <w:jc w:val="left"/>
            </w:pPr>
            <w:r>
              <w:rPr>
                <w:sz w:val="17"/>
              </w:rPr>
              <w:t>"The approximate normal cost rate is the average cost of one year of VRS service credit."</w:t>
            </w:r>
          </w:p>
        </w:tc>
        <w:tc>
          <w:tcPr>
            <w:tcW w:type="dxa" w:w="1234"/>
          </w:tcPr>
          <w:p>
            <w:pPr>
              <w:spacing w:before="20" w:after="20"/>
              <w:jc w:val="left"/>
            </w:pPr>
            <w:r>
              <w:rPr>
                <w:sz w:val="17"/>
              </w:rPr>
              <w:t>verbatim</w:t>
            </w:r>
          </w:p>
        </w:tc>
        <w:tc>
          <w:tcPr>
            <w:tcW w:type="dxa" w:w="1234"/>
          </w:tcPr>
          <w:p>
            <w:pPr>
              <w:spacing w:before="20" w:after="20"/>
              <w:jc w:val="left"/>
            </w:pPr>
            <w:r>
              <w:rPr>
                <w:sz w:val="17"/>
              </w:rPr>
              <w:t xml:space="preserve">VRS Employer Manual, </w:t>
            </w:r>
            <w:r>
              <w:rPr>
                <w:i/>
                <w:sz w:val="17"/>
              </w:rPr>
              <w:t>Purchase of Prior Service Credit</w:t>
            </w:r>
            <w:r>
              <w:rPr>
                <w:sz w:val="17"/>
              </w:rPr>
              <w:t xml:space="preserve"> (July 2026)</w:t>
            </w:r>
          </w:p>
        </w:tc>
        <w:tc>
          <w:tcPr>
            <w:tcW w:type="dxa" w:w="1234"/>
          </w:tcPr>
          <w:p>
            <w:pPr>
              <w:spacing w:before="20" w:after="20"/>
              <w:jc w:val="left"/>
            </w:pPr>
            <w:r>
              <w:rPr>
                <w:sz w:val="17"/>
              </w:rPr>
              <w:t>p. 11</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F-26</w:t>
            </w:r>
          </w:p>
        </w:tc>
        <w:tc>
          <w:tcPr>
            <w:tcW w:type="dxa" w:w="1234"/>
          </w:tcPr>
          <w:p>
            <w:pPr>
              <w:spacing w:before="20" w:after="20"/>
              <w:jc w:val="left"/>
            </w:pPr>
            <w:r>
              <w:rPr>
                <w:sz w:val="17"/>
              </w:rPr>
              <w:t xml:space="preserve">"Actuarial equivalent represents the amount of money needed in today's dollars to pay for the total value of the increase in the employee's future retirement benefit </w:t>
            </w:r>
            <w:r>
              <w:rPr>
                <w:b/>
                <w:sz w:val="17"/>
              </w:rPr>
              <w:t>or earlier retirement eligibility date</w:t>
            </w:r>
            <w:r>
              <w:rPr>
                <w:sz w:val="17"/>
              </w:rPr>
              <w:t xml:space="preserve"> resulting from purchasing prior service."</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p. 11</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F-27</w:t>
            </w:r>
          </w:p>
        </w:tc>
        <w:tc>
          <w:tcPr>
            <w:tcW w:type="dxa" w:w="1234"/>
          </w:tcPr>
          <w:p>
            <w:pPr>
              <w:spacing w:before="20" w:after="20"/>
              <w:jc w:val="left"/>
            </w:pPr>
            <w:r>
              <w:rPr>
                <w:sz w:val="17"/>
              </w:rPr>
              <w:t>Purchase payment agreements run 6–12 months and "[t]he duration of an agreement may not extend beyond the two-year cost window."</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p. 12</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F-28</w:t>
            </w:r>
          </w:p>
        </w:tc>
        <w:tc>
          <w:tcPr>
            <w:tcW w:type="dxa" w:w="1234"/>
          </w:tcPr>
          <w:p>
            <w:pPr>
              <w:spacing w:before="20" w:after="20"/>
              <w:jc w:val="left"/>
            </w:pPr>
            <w:r>
              <w:rPr>
                <w:sz w:val="17"/>
              </w:rPr>
              <w:t>Pre-tax purchase of prior service "has no effect on an employee's creditable compensation for retirement or group life insurance purposes."</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p. 12</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F-29</w:t>
            </w:r>
          </w:p>
        </w:tc>
        <w:tc>
          <w:tcPr>
            <w:tcW w:type="dxa" w:w="1234"/>
          </w:tcPr>
          <w:p>
            <w:pPr>
              <w:spacing w:before="20" w:after="20"/>
              <w:jc w:val="left"/>
            </w:pPr>
            <w:r>
              <w:rPr>
                <w:sz w:val="17"/>
              </w:rPr>
              <w:t>Reserve/National Guard service may be purchased even if it qualifies the member for a military pension; DD-214 or orders required</w:t>
            </w:r>
          </w:p>
        </w:tc>
        <w:tc>
          <w:tcPr>
            <w:tcW w:type="dxa" w:w="1234"/>
          </w:tcPr>
          <w:p>
            <w:pPr>
              <w:spacing w:before="20" w:after="20"/>
              <w:jc w:val="left"/>
            </w:pPr>
            <w:r>
              <w:rPr>
                <w:sz w:val="17"/>
              </w:rPr>
              <w:t>—</w:t>
            </w:r>
          </w:p>
        </w:tc>
        <w:tc>
          <w:tcPr>
            <w:tcW w:type="dxa" w:w="1234"/>
          </w:tcPr>
          <w:p>
            <w:pPr>
              <w:spacing w:before="20" w:after="20"/>
              <w:jc w:val="left"/>
            </w:pPr>
            <w:r>
              <w:rPr>
                <w:sz w:val="17"/>
              </w:rPr>
              <w:t>same</w:t>
            </w:r>
          </w:p>
        </w:tc>
        <w:tc>
          <w:tcPr>
            <w:tcW w:type="dxa" w:w="1234"/>
          </w:tcPr>
          <w:p>
            <w:pPr>
              <w:spacing w:before="20" w:after="20"/>
              <w:jc w:val="left"/>
            </w:pPr>
            <w:r>
              <w:rPr>
                <w:sz w:val="17"/>
              </w:rPr>
              <w:t>pp. 5–6</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F-45</w:t>
            </w:r>
          </w:p>
        </w:tc>
        <w:tc>
          <w:tcPr>
            <w:tcW w:type="dxa" w:w="1234"/>
          </w:tcPr>
          <w:p>
            <w:pPr>
              <w:spacing w:before="20" w:after="20"/>
              <w:jc w:val="left"/>
            </w:pPr>
            <w:r>
              <w:rPr>
                <w:sz w:val="17"/>
              </w:rPr>
              <w:t xml:space="preserve">"The approximate normal cost rates are </w:t>
            </w:r>
            <w:r>
              <w:rPr>
                <w:b/>
                <w:sz w:val="17"/>
              </w:rPr>
              <w:t>updated every four years</w:t>
            </w:r>
            <w:r>
              <w:rPr>
                <w:sz w:val="17"/>
              </w:rPr>
              <w:t xml:space="preserve"> following the Board's acceptance of the new assumptions associated with the quadrennial experience study."</w:t>
            </w:r>
          </w:p>
        </w:tc>
        <w:tc>
          <w:tcPr>
            <w:tcW w:type="dxa" w:w="1234"/>
          </w:tcPr>
          <w:p>
            <w:pPr>
              <w:spacing w:before="20" w:after="20"/>
              <w:jc w:val="left"/>
            </w:pPr>
            <w:r>
              <w:rPr>
                <w:sz w:val="17"/>
              </w:rPr>
              <w:t>verbatim</w:t>
            </w:r>
          </w:p>
        </w:tc>
        <w:tc>
          <w:tcPr>
            <w:tcW w:type="dxa" w:w="1234"/>
          </w:tcPr>
          <w:p>
            <w:pPr>
              <w:spacing w:before="20" w:after="20"/>
              <w:jc w:val="left"/>
            </w:pPr>
            <w:r>
              <w:rPr>
                <w:sz w:val="17"/>
              </w:rPr>
              <w:t>VRS Board of Trustees minutes, June 18, 2025</w:t>
            </w:r>
          </w:p>
        </w:tc>
        <w:tc>
          <w:tcPr>
            <w:tcW w:type="dxa" w:w="1234"/>
          </w:tcPr>
          <w:p>
            <w:pPr>
              <w:spacing w:before="20" w:after="20"/>
              <w:jc w:val="left"/>
            </w:pPr>
            <w:r>
              <w:rPr>
                <w:sz w:val="17"/>
              </w:rPr>
              <w:t>pp. 5–6</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F-46</w:t>
            </w:r>
          </w:p>
        </w:tc>
        <w:tc>
          <w:tcPr>
            <w:tcW w:type="dxa" w:w="1234"/>
          </w:tcPr>
          <w:p>
            <w:pPr>
              <w:spacing w:before="20" w:after="20"/>
              <w:jc w:val="left"/>
            </w:pPr>
            <w:r>
              <w:rPr>
                <w:sz w:val="17"/>
              </w:rPr>
              <w:t>"</w:t>
            </w:r>
            <w:r>
              <w:rPr>
                <w:b/>
                <w:sz w:val="17"/>
              </w:rPr>
              <w:t>The actuarial equivalent cost rates are developed by the Plan Actuary</w:t>
            </w:r>
            <w:r>
              <w:rPr>
                <w:sz w:val="17"/>
              </w:rPr>
              <w:t xml:space="preserve"> based on the assumptions and demographic data from the prior year valuations."</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pp. 5–6</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F-47</w:t>
            </w:r>
          </w:p>
        </w:tc>
        <w:tc>
          <w:tcPr>
            <w:tcW w:type="dxa" w:w="1234"/>
          </w:tcPr>
          <w:p>
            <w:pPr>
              <w:spacing w:before="20" w:after="20"/>
              <w:jc w:val="left"/>
            </w:pPr>
            <w:r>
              <w:rPr>
                <w:sz w:val="17"/>
              </w:rPr>
              <w:t xml:space="preserve">The next quadrennial assumption review is </w:t>
            </w:r>
            <w:r>
              <w:rPr>
                <w:b/>
                <w:sz w:val="17"/>
              </w:rPr>
              <w:t>2029</w:t>
            </w:r>
          </w:p>
        </w:tc>
        <w:tc>
          <w:tcPr>
            <w:tcW w:type="dxa" w:w="1234"/>
          </w:tcPr>
          <w:p>
            <w:pPr>
              <w:spacing w:before="20" w:after="20"/>
              <w:jc w:val="left"/>
            </w:pPr>
            <w:r>
              <w:rPr>
                <w:sz w:val="17"/>
              </w:rPr>
              <w:t>2029</w:t>
            </w:r>
          </w:p>
        </w:tc>
        <w:tc>
          <w:tcPr>
            <w:tcW w:type="dxa" w:w="1234"/>
          </w:tcPr>
          <w:p>
            <w:pPr>
              <w:spacing w:before="20" w:after="20"/>
              <w:jc w:val="left"/>
            </w:pPr>
            <w:r>
              <w:rPr>
                <w:sz w:val="17"/>
              </w:rPr>
              <w:t>VRS Board of Trustees minutes, June 17, 2026 (B&amp;A Committee report)</w:t>
            </w:r>
          </w:p>
        </w:tc>
        <w:tc>
          <w:tcPr>
            <w:tcW w:type="dxa" w:w="1234"/>
          </w:tcPr>
          <w:p>
            <w:pPr>
              <w:spacing w:before="20" w:after="20"/>
              <w:jc w:val="left"/>
            </w:pPr>
            <w:r>
              <w:rPr>
                <w:sz w:val="17"/>
              </w:rPr>
              <w:t>Early Retirement Factors Study item</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F-48</w:t>
            </w:r>
          </w:p>
        </w:tc>
        <w:tc>
          <w:tcPr>
            <w:tcW w:type="dxa" w:w="1234"/>
          </w:tcPr>
          <w:p>
            <w:pPr>
              <w:spacing w:before="20" w:after="20"/>
              <w:jc w:val="left"/>
            </w:pPr>
            <w:r>
              <w:rPr>
                <w:sz w:val="17"/>
              </w:rPr>
              <w:t xml:space="preserve">VRS uses </w:t>
            </w:r>
            <w:r>
              <w:rPr>
                <w:b/>
                <w:sz w:val="17"/>
              </w:rPr>
              <w:t>fixed-rate</w:t>
            </w:r>
            <w:r>
              <w:rPr>
                <w:sz w:val="17"/>
              </w:rPr>
              <w:t xml:space="preserve"> early-retirement reductions rather than true actuarial equivalence, which "does provide a subsidy that varies by age and service"</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same</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F-49</w:t>
            </w:r>
          </w:p>
        </w:tc>
        <w:tc>
          <w:tcPr>
            <w:tcW w:type="dxa" w:w="1234"/>
          </w:tcPr>
          <w:p>
            <w:pPr>
              <w:spacing w:before="20" w:after="20"/>
              <w:jc w:val="left"/>
            </w:pPr>
            <w:r>
              <w:rPr>
                <w:sz w:val="17"/>
              </w:rPr>
              <w:t xml:space="preserve">Rate-chart stamps: Hybrid page "Effective July 1, 2025 / </w:t>
            </w:r>
            <w:r>
              <w:rPr>
                <w:b/>
                <w:sz w:val="17"/>
              </w:rPr>
              <w:t>Updated: July 1, 2026</w:t>
            </w:r>
            <w:r>
              <w:rPr>
                <w:sz w:val="17"/>
              </w:rPr>
              <w:t xml:space="preserve">"; Plan 1, Plan 2 and alternate hazardous duty pages "Updated: </w:t>
            </w:r>
            <w:r>
              <w:rPr>
                <w:b/>
                <w:sz w:val="17"/>
              </w:rPr>
              <w:t>July 1, 2025</w:t>
            </w:r>
            <w:r>
              <w:rPr>
                <w:sz w:val="17"/>
              </w:rPr>
              <w:t xml:space="preserve">". PDF metadata creation/modification July 1, 2026. </w:t>
            </w:r>
            <w:r>
              <w:rPr>
                <w:b/>
                <w:sz w:val="17"/>
              </w:rPr>
              <w:t>No rate moved.</w:t>
            </w:r>
          </w:p>
        </w:tc>
        <w:tc>
          <w:tcPr>
            <w:tcW w:type="dxa" w:w="1234"/>
          </w:tcPr>
          <w:p>
            <w:pPr>
              <w:spacing w:before="20" w:after="20"/>
              <w:jc w:val="left"/>
            </w:pPr>
            <w:r>
              <w:rPr>
                <w:sz w:val="17"/>
              </w:rPr>
              <w:t>—</w:t>
            </w:r>
          </w:p>
        </w:tc>
        <w:tc>
          <w:tcPr>
            <w:tcW w:type="dxa" w:w="1234"/>
          </w:tcPr>
          <w:p>
            <w:pPr>
              <w:spacing w:before="20" w:after="20"/>
              <w:jc w:val="left"/>
            </w:pPr>
            <w:r>
              <w:rPr>
                <w:i/>
                <w:sz w:val="17"/>
              </w:rPr>
              <w:t>Purchase of Prior Service Cost Rates</w:t>
            </w:r>
          </w:p>
        </w:tc>
        <w:tc>
          <w:tcPr>
            <w:tcW w:type="dxa" w:w="1234"/>
          </w:tcPr>
          <w:p>
            <w:pPr>
              <w:spacing w:before="20" w:after="20"/>
              <w:jc w:val="left"/>
            </w:pPr>
            <w:r>
              <w:rPr>
                <w:sz w:val="17"/>
              </w:rPr>
              <w:t>pp. 1–4 and file metadata</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F-50</w:t>
            </w:r>
          </w:p>
        </w:tc>
        <w:tc>
          <w:tcPr>
            <w:tcW w:type="dxa" w:w="1234"/>
          </w:tcPr>
          <w:p>
            <w:pPr>
              <w:spacing w:before="20" w:after="20"/>
              <w:jc w:val="left"/>
            </w:pPr>
            <w:r>
              <w:rPr>
                <w:b/>
                <w:sz w:val="17"/>
              </w:rPr>
              <w:t>No 2026 Board or B&amp;A action</w:t>
            </w:r>
            <w:r>
              <w:rPr>
                <w:sz w:val="17"/>
              </w:rPr>
              <w:t xml:space="preserve"> approves, proposes or revises approximate normal cost rates. HB 139 "would not change VRS current procedures"</w:t>
            </w:r>
          </w:p>
        </w:tc>
        <w:tc>
          <w:tcPr>
            <w:tcW w:type="dxa" w:w="1234"/>
          </w:tcPr>
          <w:p>
            <w:pPr>
              <w:spacing w:before="20" w:after="20"/>
              <w:jc w:val="left"/>
            </w:pPr>
            <w:r>
              <w:rPr>
                <w:sz w:val="17"/>
              </w:rPr>
              <w:t>—</w:t>
            </w:r>
          </w:p>
        </w:tc>
        <w:tc>
          <w:tcPr>
            <w:tcW w:type="dxa" w:w="1234"/>
          </w:tcPr>
          <w:p>
            <w:pPr>
              <w:spacing w:before="20" w:after="20"/>
              <w:jc w:val="left"/>
            </w:pPr>
            <w:r>
              <w:rPr>
                <w:sz w:val="17"/>
              </w:rPr>
              <w:t>VRS Board minutes, Feb. 5, 2026 and Apr. 23, 2026</w:t>
            </w:r>
          </w:p>
        </w:tc>
        <w:tc>
          <w:tcPr>
            <w:tcW w:type="dxa" w:w="1234"/>
          </w:tcPr>
          <w:p>
            <w:pPr>
              <w:spacing w:before="20" w:after="20"/>
              <w:jc w:val="left"/>
            </w:pPr>
            <w:r>
              <w:rPr>
                <w:sz w:val="17"/>
              </w:rPr>
              <w:t>HB 139 item</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F-52</w:t>
            </w:r>
          </w:p>
        </w:tc>
        <w:tc>
          <w:tcPr>
            <w:tcW w:type="dxa" w:w="1234"/>
          </w:tcPr>
          <w:p>
            <w:pPr>
              <w:spacing w:before="20" w:after="20"/>
              <w:jc w:val="left"/>
            </w:pPr>
            <w:r>
              <w:rPr>
                <w:sz w:val="17"/>
              </w:rPr>
              <w:t xml:space="preserve">VRS Plan Actuary is </w:t>
            </w:r>
            <w:r>
              <w:rPr>
                <w:b/>
                <w:sz w:val="17"/>
              </w:rPr>
              <w:t>Gabriel, Roeder, Smith &amp; Company</w:t>
            </w:r>
            <w:r>
              <w:rPr>
                <w:sz w:val="17"/>
              </w:rPr>
              <w:t xml:space="preserve">; the quadrennial experience study for the period ending June 30, 2024 was accepted </w:t>
            </w:r>
            <w:r>
              <w:rPr>
                <w:b/>
                <w:sz w:val="17"/>
              </w:rPr>
              <w:t>April 16, 2025</w:t>
            </w:r>
          </w:p>
        </w:tc>
        <w:tc>
          <w:tcPr>
            <w:tcW w:type="dxa" w:w="1234"/>
          </w:tcPr>
          <w:p>
            <w:pPr>
              <w:spacing w:before="20" w:after="20"/>
              <w:jc w:val="left"/>
            </w:pPr>
            <w:r>
              <w:rPr>
                <w:sz w:val="17"/>
              </w:rPr>
              <w:t>—</w:t>
            </w:r>
          </w:p>
        </w:tc>
        <w:tc>
          <w:tcPr>
            <w:tcW w:type="dxa" w:w="1234"/>
          </w:tcPr>
          <w:p>
            <w:pPr>
              <w:spacing w:before="20" w:after="20"/>
              <w:jc w:val="left"/>
            </w:pPr>
            <w:r>
              <w:rPr>
                <w:sz w:val="17"/>
              </w:rPr>
              <w:t>VRS Annual Actuarial Valuation, June 30, 2025</w:t>
            </w:r>
          </w:p>
        </w:tc>
        <w:tc>
          <w:tcPr>
            <w:tcW w:type="dxa" w:w="1234"/>
          </w:tcPr>
          <w:p>
            <w:pPr>
              <w:spacing w:before="20" w:after="20"/>
              <w:jc w:val="left"/>
            </w:pPr>
            <w:r>
              <w:rPr>
                <w:sz w:val="17"/>
              </w:rPr>
              <w:t>Executive Summary</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bl>
    <w:p>
      <w:pPr>
        <w:spacing w:before="0" w:after="0" w:line="80" w:lineRule="exact"/>
      </w:pPr>
      <w:r>
        <w:rPr>
          <w:sz w:val="8"/>
        </w:rPr>
      </w:r>
    </w:p>
    <w:p>
      <w:pPr>
        <w:pStyle w:val="Heading3"/>
      </w:pPr>
      <w:r>
        <w:t>1.3 VRS membership, payroll and Board-adopted assumptions</w:t>
      </w:r>
    </w:p>
    <w:p>
      <w:r>
        <w:t>These are the official denominators. They replaced the DHRM classified-workforce population that v1.1 of this annex used.</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ID</w:t>
            </w:r>
          </w:p>
        </w:tc>
        <w:tc>
          <w:tcPr>
            <w:tcW w:type="dxa" w:w="1234"/>
          </w:tcPr>
          <w:p>
            <w:pPr>
              <w:spacing w:before="20" w:after="20"/>
              <w:jc w:val="left"/>
            </w:pPr>
            <w:r>
              <w:rPr>
                <w:b/>
                <w:sz w:val="17"/>
              </w:rPr>
              <w:t>Fact</w:t>
            </w:r>
          </w:p>
        </w:tc>
        <w:tc>
          <w:tcPr>
            <w:tcW w:type="dxa" w:w="1234"/>
          </w:tcPr>
          <w:p>
            <w:pPr>
              <w:spacing w:before="20" w:after="20"/>
              <w:jc w:val="left"/>
            </w:pPr>
            <w:r>
              <w:rPr>
                <w:b/>
                <w:sz w:val="17"/>
              </w:rPr>
              <w:t>Value</w:t>
            </w:r>
          </w:p>
        </w:tc>
        <w:tc>
          <w:tcPr>
            <w:tcW w:type="dxa" w:w="1234"/>
          </w:tcPr>
          <w:p>
            <w:pPr>
              <w:spacing w:before="20" w:after="20"/>
              <w:jc w:val="left"/>
            </w:pPr>
            <w:r>
              <w:rPr>
                <w:b/>
                <w:sz w:val="17"/>
              </w:rPr>
              <w:t>Source</w:t>
            </w:r>
          </w:p>
        </w:tc>
        <w:tc>
          <w:tcPr>
            <w:tcW w:type="dxa" w:w="1234"/>
          </w:tcPr>
          <w:p>
            <w:pPr>
              <w:spacing w:before="20" w:after="20"/>
              <w:jc w:val="left"/>
            </w:pPr>
            <w:r>
              <w:rPr>
                <w:b/>
                <w:sz w:val="17"/>
              </w:rPr>
              <w:t>Pinpoint</w:t>
            </w:r>
          </w:p>
        </w:tc>
        <w:tc>
          <w:tcPr>
            <w:tcW w:type="dxa" w:w="1234"/>
          </w:tcPr>
          <w:p>
            <w:pPr>
              <w:spacing w:before="20" w:after="20"/>
              <w:jc w:val="left"/>
            </w:pPr>
            <w:r>
              <w:rPr>
                <w:b/>
                <w:sz w:val="17"/>
              </w:rPr>
              <w:t>Tier</w:t>
            </w:r>
          </w:p>
        </w:tc>
        <w:tc>
          <w:tcPr>
            <w:tcW w:type="dxa" w:w="1234"/>
          </w:tcPr>
          <w:p>
            <w:pPr>
              <w:spacing w:before="20" w:after="20"/>
              <w:jc w:val="left"/>
            </w:pPr>
            <w:r>
              <w:rPr>
                <w:b/>
                <w:sz w:val="17"/>
              </w:rPr>
              <w:t>Confidence</w:t>
            </w:r>
          </w:p>
        </w:tc>
      </w:tr>
      <w:tr>
        <w:tc>
          <w:tcPr>
            <w:tcW w:type="dxa" w:w="1234"/>
          </w:tcPr>
          <w:p>
            <w:pPr>
              <w:spacing w:before="20" w:after="20"/>
              <w:jc w:val="left"/>
            </w:pPr>
            <w:r>
              <w:rPr>
                <w:sz w:val="17"/>
              </w:rPr>
              <w:t>F-37</w:t>
            </w:r>
          </w:p>
        </w:tc>
        <w:tc>
          <w:tcPr>
            <w:tcW w:type="dxa" w:w="1234"/>
          </w:tcPr>
          <w:p>
            <w:pPr>
              <w:spacing w:before="20" w:after="20"/>
              <w:jc w:val="left"/>
            </w:pPr>
            <w:r>
              <w:rPr>
                <w:sz w:val="17"/>
              </w:rPr>
              <w:t>Active members by plan at 6/30/2025</w:t>
            </w:r>
          </w:p>
        </w:tc>
        <w:tc>
          <w:tcPr>
            <w:tcW w:type="dxa" w:w="1234"/>
          </w:tcPr>
          <w:p>
            <w:pPr>
              <w:spacing w:before="20" w:after="20"/>
              <w:jc w:val="left"/>
            </w:pPr>
            <w:r>
              <w:rPr>
                <w:sz w:val="17"/>
              </w:rPr>
              <w:t xml:space="preserve">Plan 1 </w:t>
            </w:r>
            <w:r>
              <w:rPr>
                <w:b/>
                <w:sz w:val="17"/>
              </w:rPr>
              <w:t>110,474</w:t>
            </w:r>
            <w:r>
              <w:rPr>
                <w:sz w:val="17"/>
              </w:rPr>
              <w:t xml:space="preserve">; Plan 2 </w:t>
            </w:r>
            <w:r>
              <w:rPr>
                <w:b/>
                <w:sz w:val="17"/>
              </w:rPr>
              <w:t>67,333</w:t>
            </w:r>
            <w:r>
              <w:rPr>
                <w:sz w:val="17"/>
              </w:rPr>
              <w:t xml:space="preserve">; Hybrid </w:t>
            </w:r>
            <w:r>
              <w:rPr>
                <w:b/>
                <w:sz w:val="17"/>
              </w:rPr>
              <w:t>200,253</w:t>
            </w:r>
            <w:r>
              <w:rPr>
                <w:sz w:val="17"/>
              </w:rPr>
              <w:t xml:space="preserve">; total </w:t>
            </w:r>
            <w:r>
              <w:rPr>
                <w:b/>
                <w:sz w:val="17"/>
              </w:rPr>
              <w:t>378,060</w:t>
            </w:r>
          </w:p>
        </w:tc>
        <w:tc>
          <w:tcPr>
            <w:tcW w:type="dxa" w:w="1234"/>
          </w:tcPr>
          <w:p>
            <w:pPr>
              <w:spacing w:before="20" w:after="20"/>
              <w:jc w:val="left"/>
            </w:pPr>
            <w:r>
              <w:rPr>
                <w:sz w:val="17"/>
              </w:rPr>
              <w:t xml:space="preserve">VRS, </w:t>
            </w:r>
            <w:r>
              <w:rPr>
                <w:i/>
                <w:sz w:val="17"/>
              </w:rPr>
              <w:t>VRS 101 / Who We Serve</w:t>
            </w:r>
            <w:r>
              <w:rPr>
                <w:sz w:val="17"/>
              </w:rPr>
              <w:t>, 2025 ed.</w:t>
            </w:r>
          </w:p>
        </w:tc>
        <w:tc>
          <w:tcPr>
            <w:tcW w:type="dxa" w:w="1234"/>
          </w:tcPr>
          <w:p>
            <w:pPr>
              <w:spacing w:before="20" w:after="20"/>
              <w:jc w:val="left"/>
            </w:pPr>
            <w:r>
              <w:rPr>
                <w:sz w:val="17"/>
              </w:rPr>
              <w:t>p. 4</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F-38</w:t>
            </w:r>
          </w:p>
        </w:tc>
        <w:tc>
          <w:tcPr>
            <w:tcW w:type="dxa" w:w="1234"/>
          </w:tcPr>
          <w:p>
            <w:pPr>
              <w:spacing w:before="20" w:after="20"/>
              <w:jc w:val="left"/>
            </w:pPr>
            <w:r>
              <w:rPr>
                <w:sz w:val="17"/>
              </w:rPr>
              <w:t>Active members by employer group at 6/30/2025, with vested / non-vested split</w:t>
            </w:r>
          </w:p>
        </w:tc>
        <w:tc>
          <w:tcPr>
            <w:tcW w:type="dxa" w:w="1234"/>
          </w:tcPr>
          <w:p>
            <w:pPr>
              <w:spacing w:before="20" w:after="20"/>
              <w:jc w:val="left"/>
            </w:pPr>
            <w:r>
              <w:rPr>
                <w:sz w:val="17"/>
              </w:rPr>
              <w:t xml:space="preserve">State 83,148 (52,120 / 31,028); Teachers 160,800 (110,074 / 50,726); Political Subdivisions 124,264 (70,340 / 53,924); SPORS 1,894 (1,524 / 370); VaLORS 7,484 (3,795 / 3,689); JRS 470 (378 / 92). Total </w:t>
            </w:r>
            <w:r>
              <w:rPr>
                <w:b/>
                <w:sz w:val="17"/>
              </w:rPr>
              <w:t>378,060</w:t>
            </w:r>
            <w:r>
              <w:rPr>
                <w:sz w:val="17"/>
              </w:rPr>
              <w:t xml:space="preserve"> (238,231 / 139,829)</w:t>
            </w:r>
          </w:p>
        </w:tc>
        <w:tc>
          <w:tcPr>
            <w:tcW w:type="dxa" w:w="1234"/>
          </w:tcPr>
          <w:p>
            <w:pPr>
              <w:spacing w:before="20" w:after="20"/>
              <w:jc w:val="left"/>
            </w:pPr>
            <w:r>
              <w:rPr>
                <w:sz w:val="17"/>
              </w:rPr>
              <w:t>VRS ACFR FY2025</w:t>
            </w:r>
          </w:p>
        </w:tc>
        <w:tc>
          <w:tcPr>
            <w:tcW w:type="dxa" w:w="1234"/>
          </w:tcPr>
          <w:p>
            <w:pPr>
              <w:spacing w:before="20" w:after="20"/>
              <w:jc w:val="left"/>
            </w:pPr>
            <w:r>
              <w:rPr>
                <w:sz w:val="17"/>
              </w:rPr>
              <w:t>Figs. 2.3, 2.9</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F-39</w:t>
            </w:r>
          </w:p>
        </w:tc>
        <w:tc>
          <w:tcPr>
            <w:tcW w:type="dxa" w:w="1234"/>
          </w:tcPr>
          <w:p>
            <w:pPr>
              <w:spacing w:before="20" w:after="20"/>
              <w:jc w:val="left"/>
            </w:pPr>
            <w:r>
              <w:rPr>
                <w:sz w:val="17"/>
              </w:rPr>
              <w:t xml:space="preserve">A </w:t>
            </w:r>
            <w:r>
              <w:rPr>
                <w:b/>
                <w:sz w:val="17"/>
              </w:rPr>
              <w:t>Plan 1</w:t>
            </w:r>
            <w:r>
              <w:rPr>
                <w:sz w:val="17"/>
              </w:rPr>
              <w:t xml:space="preserve"> membership date must precede July 1, 2010</w:t>
            </w:r>
          </w:p>
        </w:tc>
        <w:tc>
          <w:tcPr>
            <w:tcW w:type="dxa" w:w="1234"/>
          </w:tcPr>
          <w:p>
            <w:pPr>
              <w:spacing w:before="20" w:after="20"/>
              <w:jc w:val="left"/>
            </w:pPr>
            <w:r>
              <w:rPr>
                <w:sz w:val="17"/>
              </w:rPr>
              <w:t>7/1/2010</w:t>
            </w:r>
          </w:p>
        </w:tc>
        <w:tc>
          <w:tcPr>
            <w:tcW w:type="dxa" w:w="1234"/>
          </w:tcPr>
          <w:p>
            <w:pPr>
              <w:spacing w:before="20" w:after="20"/>
              <w:jc w:val="left"/>
            </w:pPr>
            <w:r>
              <w:rPr>
                <w:sz w:val="17"/>
              </w:rPr>
              <w:t>VRS ACFR FY2025</w:t>
            </w:r>
          </w:p>
        </w:tc>
        <w:tc>
          <w:tcPr>
            <w:tcW w:type="dxa" w:w="1234"/>
          </w:tcPr>
          <w:p>
            <w:pPr>
              <w:spacing w:before="20" w:after="20"/>
              <w:jc w:val="left"/>
            </w:pPr>
            <w:r>
              <w:rPr>
                <w:sz w:val="17"/>
              </w:rPr>
              <w:t>Fig. 2.10</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F-40</w:t>
            </w:r>
          </w:p>
        </w:tc>
        <w:tc>
          <w:tcPr>
            <w:tcW w:type="dxa" w:w="1234"/>
          </w:tcPr>
          <w:p>
            <w:pPr>
              <w:spacing w:before="20" w:after="20"/>
              <w:jc w:val="left"/>
            </w:pPr>
            <w:r>
              <w:rPr>
                <w:sz w:val="17"/>
              </w:rPr>
              <w:t xml:space="preserve">"Members covered under VaLORS, SPORS or VRS with enhanced hazardous duty benefits or the hazardous duty alternate option, and whose membership dates are on or after July 1, 2010, are in Plan 2 </w:t>
            </w:r>
            <w:r>
              <w:rPr>
                <w:b/>
                <w:sz w:val="17"/>
              </w:rPr>
              <w:t>even if their membership dates are after December 31, 2013</w:t>
            </w:r>
            <w:r>
              <w:rPr>
                <w:sz w:val="17"/>
              </w:rPr>
              <w:t>."</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Fig. 2.10</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F-51</w:t>
            </w:r>
          </w:p>
        </w:tc>
        <w:tc>
          <w:tcPr>
            <w:tcW w:type="dxa" w:w="1234"/>
          </w:tcPr>
          <w:p>
            <w:pPr>
              <w:spacing w:before="20" w:after="20"/>
              <w:jc w:val="left"/>
            </w:pPr>
            <w:r>
              <w:rPr>
                <w:b/>
                <w:sz w:val="17"/>
              </w:rPr>
              <w:t>Annual Covered Payroll</w:t>
            </w:r>
            <w:r>
              <w:rPr>
                <w:sz w:val="17"/>
              </w:rPr>
              <w:t xml:space="preserve"> by group at 6/30/2025</w:t>
            </w:r>
          </w:p>
        </w:tc>
        <w:tc>
          <w:tcPr>
            <w:tcW w:type="dxa" w:w="1234"/>
          </w:tcPr>
          <w:p>
            <w:pPr>
              <w:spacing w:before="20" w:after="20"/>
              <w:jc w:val="left"/>
            </w:pPr>
            <w:r>
              <w:rPr>
                <w:sz w:val="17"/>
              </w:rPr>
              <w:t xml:space="preserve">Teachers $11,732,114,000; Pol. Subdivisions $8,041,026,000; State $6,275,603,000; VaLORS $432,703,000; SPORS $182,726,000; JRS $98,645,000. </w:t>
            </w:r>
            <w:r>
              <w:rPr>
                <w:b/>
                <w:sz w:val="17"/>
              </w:rPr>
              <w:t>Total $26,762,817,000</w:t>
            </w:r>
          </w:p>
        </w:tc>
        <w:tc>
          <w:tcPr>
            <w:tcW w:type="dxa" w:w="1234"/>
          </w:tcPr>
          <w:p>
            <w:pPr>
              <w:spacing w:before="20" w:after="20"/>
              <w:jc w:val="left"/>
            </w:pPr>
            <w:r>
              <w:rPr>
                <w:sz w:val="17"/>
              </w:rPr>
              <w:t>VRS Annual Actuarial Valuation, June 30, 2025</w:t>
            </w:r>
          </w:p>
        </w:tc>
        <w:tc>
          <w:tcPr>
            <w:tcW w:type="dxa" w:w="1234"/>
          </w:tcPr>
          <w:p>
            <w:pPr>
              <w:spacing w:before="20" w:after="20"/>
              <w:jc w:val="left"/>
            </w:pPr>
            <w:r>
              <w:rPr>
                <w:sz w:val="17"/>
              </w:rPr>
              <w:t>Results Summary, each group</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F-54</w:t>
            </w:r>
          </w:p>
        </w:tc>
        <w:tc>
          <w:tcPr>
            <w:tcW w:type="dxa" w:w="1234"/>
          </w:tcPr>
          <w:p>
            <w:pPr>
              <w:spacing w:before="20" w:after="20"/>
              <w:jc w:val="left"/>
            </w:pPr>
            <w:r>
              <w:rPr>
                <w:b/>
                <w:sz w:val="17"/>
              </w:rPr>
              <w:t>Total Normal Cost</w:t>
            </w:r>
            <w:r>
              <w:rPr>
                <w:sz w:val="17"/>
              </w:rPr>
              <w:t xml:space="preserve"> by group</w:t>
            </w:r>
          </w:p>
        </w:tc>
        <w:tc>
          <w:tcPr>
            <w:tcW w:type="dxa" w:w="1234"/>
          </w:tcPr>
          <w:p>
            <w:pPr>
              <w:spacing w:before="20" w:after="20"/>
              <w:jc w:val="left"/>
            </w:pPr>
            <w:r>
              <w:rPr>
                <w:sz w:val="17"/>
              </w:rPr>
              <w:t>State 8.73%; Teachers 9.22%; SPORS 18.37%; VaLORS 14.30%; Judicial 27.11%</w:t>
            </w:r>
          </w:p>
        </w:tc>
        <w:tc>
          <w:tcPr>
            <w:tcW w:type="dxa" w:w="1234"/>
          </w:tcPr>
          <w:p>
            <w:pPr>
              <w:spacing w:before="20" w:after="20"/>
              <w:jc w:val="left"/>
            </w:pPr>
            <w:r>
              <w:rPr>
                <w:sz w:val="17"/>
              </w:rPr>
              <w:t>same</w:t>
            </w:r>
          </w:p>
        </w:tc>
        <w:tc>
          <w:tcPr>
            <w:tcW w:type="dxa" w:w="1234"/>
          </w:tcPr>
          <w:p>
            <w:pPr>
              <w:spacing w:before="20" w:after="20"/>
              <w:jc w:val="left"/>
            </w:pPr>
            <w:r>
              <w:rPr>
                <w:sz w:val="17"/>
              </w:rPr>
              <w:t>Results Summary — Employer Contribution Rate Detail</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F-55</w:t>
            </w:r>
          </w:p>
        </w:tc>
        <w:tc>
          <w:tcPr>
            <w:tcW w:type="dxa" w:w="1234"/>
          </w:tcPr>
          <w:p>
            <w:pPr>
              <w:spacing w:before="20" w:after="20"/>
              <w:jc w:val="left"/>
            </w:pPr>
            <w:r>
              <w:rPr>
                <w:b/>
                <w:sz w:val="17"/>
              </w:rPr>
              <w:t>Board-adopted</w:t>
            </w:r>
            <w:r>
              <w:rPr>
                <w:sz w:val="17"/>
              </w:rPr>
              <w:t xml:space="preserve"> long-term assumptions</w:t>
            </w:r>
          </w:p>
        </w:tc>
        <w:tc>
          <w:tcPr>
            <w:tcW w:type="dxa" w:w="1234"/>
          </w:tcPr>
          <w:p>
            <w:pPr>
              <w:spacing w:before="20" w:after="20"/>
              <w:jc w:val="left"/>
            </w:pPr>
            <w:r>
              <w:rPr>
                <w:sz w:val="17"/>
              </w:rPr>
              <w:t xml:space="preserve">Investment return </w:t>
            </w:r>
            <w:r>
              <w:rPr>
                <w:b/>
                <w:sz w:val="17"/>
              </w:rPr>
              <w:t>6.75%</w:t>
            </w:r>
            <w:r>
              <w:rPr>
                <w:sz w:val="17"/>
              </w:rPr>
              <w:t xml:space="preserve">; COLA </w:t>
            </w:r>
            <w:r>
              <w:rPr>
                <w:b/>
                <w:sz w:val="17"/>
              </w:rPr>
              <w:t>2.50% Plan 1</w:t>
            </w:r>
            <w:r>
              <w:rPr>
                <w:sz w:val="17"/>
              </w:rPr>
              <w:t xml:space="preserve">, </w:t>
            </w:r>
            <w:r>
              <w:rPr>
                <w:b/>
                <w:sz w:val="17"/>
              </w:rPr>
              <w:t>2.25% Plan 2 / Hybrid</w:t>
            </w:r>
            <w:r>
              <w:rPr>
                <w:sz w:val="17"/>
              </w:rPr>
              <w:t xml:space="preserve">; payroll growth </w:t>
            </w:r>
            <w:r>
              <w:rPr>
                <w:b/>
                <w:sz w:val="17"/>
              </w:rPr>
              <w:t>3.0%</w:t>
            </w:r>
            <w:r>
              <w:rPr>
                <w:sz w:val="17"/>
              </w:rPr>
              <w:t xml:space="preserve"> (2.5% VaLORS)</w:t>
            </w:r>
          </w:p>
        </w:tc>
        <w:tc>
          <w:tcPr>
            <w:tcW w:type="dxa" w:w="1234"/>
          </w:tcPr>
          <w:p>
            <w:pPr>
              <w:spacing w:before="20" w:after="20"/>
              <w:jc w:val="left"/>
            </w:pPr>
            <w:r>
              <w:rPr>
                <w:sz w:val="17"/>
              </w:rPr>
              <w:t>same</w:t>
            </w:r>
          </w:p>
        </w:tc>
        <w:tc>
          <w:tcPr>
            <w:tcW w:type="dxa" w:w="1234"/>
          </w:tcPr>
          <w:p>
            <w:pPr>
              <w:spacing w:before="20" w:after="20"/>
              <w:jc w:val="left"/>
            </w:pPr>
            <w:r>
              <w:rPr>
                <w:sz w:val="17"/>
              </w:rPr>
              <w:t>Executive Summary</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F-56</w:t>
            </w:r>
          </w:p>
        </w:tc>
        <w:tc>
          <w:tcPr>
            <w:tcW w:type="dxa" w:w="1234"/>
          </w:tcPr>
          <w:p>
            <w:pPr>
              <w:spacing w:before="20" w:after="20"/>
              <w:jc w:val="left"/>
            </w:pPr>
            <w:r>
              <w:rPr>
                <w:b/>
                <w:sz w:val="17"/>
              </w:rPr>
              <w:t>HB 1867 (2023)</w:t>
            </w:r>
            <w:r>
              <w:rPr>
                <w:sz w:val="17"/>
              </w:rPr>
              <w:t xml:space="preserve"> — free grant of up to 4 years of prior active-duty military service to teachers. VRS: "each person who purchases up to 48 months of active military service would create an unfunded liability that </w:t>
            </w:r>
            <w:r>
              <w:rPr>
                <w:b/>
                <w:sz w:val="17"/>
              </w:rPr>
              <w:t>ranges from $10,000 - $60,000</w:t>
            </w:r>
            <w:r>
              <w:rPr>
                <w:sz w:val="17"/>
              </w:rPr>
              <w:t xml:space="preserve"> depending on the age and service and compensation of the member"</w:t>
            </w:r>
          </w:p>
        </w:tc>
        <w:tc>
          <w:tcPr>
            <w:tcW w:type="dxa" w:w="1234"/>
          </w:tcPr>
          <w:p>
            <w:pPr>
              <w:spacing w:before="20" w:after="20"/>
              <w:jc w:val="left"/>
            </w:pPr>
            <w:r>
              <w:rPr>
                <w:sz w:val="17"/>
              </w:rPr>
              <w:t>verbatim</w:t>
            </w:r>
          </w:p>
        </w:tc>
        <w:tc>
          <w:tcPr>
            <w:tcW w:type="dxa" w:w="1234"/>
          </w:tcPr>
          <w:p>
            <w:pPr>
              <w:spacing w:before="20" w:after="20"/>
              <w:jc w:val="left"/>
            </w:pPr>
            <w:r>
              <w:rPr>
                <w:sz w:val="17"/>
              </w:rPr>
              <w:t xml:space="preserve">VRS, </w:t>
            </w:r>
            <w:r>
              <w:rPr>
                <w:i/>
                <w:sz w:val="17"/>
              </w:rPr>
              <w:t>2023 Fiscal Impact Statement</w:t>
            </w:r>
            <w:r>
              <w:rPr>
                <w:sz w:val="17"/>
              </w:rPr>
              <w:t>, HB 1867</w:t>
            </w:r>
          </w:p>
        </w:tc>
        <w:tc>
          <w:tcPr>
            <w:tcW w:type="dxa" w:w="1234"/>
          </w:tcPr>
          <w:p>
            <w:pPr>
              <w:spacing w:before="20" w:after="20"/>
              <w:jc w:val="left"/>
            </w:pPr>
            <w:r>
              <w:rPr>
                <w:sz w:val="17"/>
              </w:rPr>
              <w:t>Item 6; dated 1/16/2023, doc. HB1867.DOC/VRS</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F-60</w:t>
            </w:r>
          </w:p>
        </w:tc>
        <w:tc>
          <w:tcPr>
            <w:tcW w:type="dxa" w:w="1234"/>
          </w:tcPr>
          <w:p>
            <w:pPr>
              <w:spacing w:before="20" w:after="20"/>
              <w:jc w:val="left"/>
            </w:pPr>
            <w:r>
              <w:rPr>
                <w:b/>
                <w:sz w:val="17"/>
              </w:rPr>
              <w:t>VRS's own worked total for HB 1867</w:t>
            </w:r>
            <w:r>
              <w:rPr>
                <w:sz w:val="17"/>
              </w:rPr>
              <w:t xml:space="preserve">: "if 1,500 members (1% of the Teacher population) had this type of service, and the average cost was </w:t>
            </w:r>
            <w:r>
              <w:rPr>
                <w:b/>
                <w:sz w:val="17"/>
              </w:rPr>
              <w:t>$35,000</w:t>
            </w:r>
            <w:r>
              <w:rPr>
                <w:sz w:val="17"/>
              </w:rPr>
              <w:t xml:space="preserve">, the total cost to the fund could be </w:t>
            </w:r>
            <w:r>
              <w:rPr>
                <w:b/>
                <w:sz w:val="17"/>
              </w:rPr>
              <w:t>$50 million</w:t>
            </w:r>
            <w:r>
              <w:rPr>
                <w:sz w:val="17"/>
              </w:rPr>
              <w:t xml:space="preserve">." Current unfunded liability of the Teacher Plan: </w:t>
            </w:r>
            <w:r>
              <w:rPr>
                <w:b/>
                <w:sz w:val="17"/>
              </w:rPr>
              <w:t>$11.8 billion</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Items 6 and 9</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F-61</w:t>
            </w:r>
          </w:p>
        </w:tc>
        <w:tc>
          <w:tcPr>
            <w:tcW w:type="dxa" w:w="1234"/>
          </w:tcPr>
          <w:p>
            <w:pPr>
              <w:spacing w:before="20" w:after="20"/>
              <w:jc w:val="left"/>
            </w:pPr>
            <w:r>
              <w:rPr>
                <w:sz w:val="17"/>
              </w:rPr>
              <w:t xml:space="preserve">VRS cost to implement HB 1867: </w:t>
            </w:r>
            <w:r>
              <w:rPr>
                <w:b/>
                <w:sz w:val="17"/>
              </w:rPr>
              <w:t>approximately $78,000 for FY 2023</w:t>
            </w:r>
            <w:r>
              <w:rPr>
                <w:sz w:val="17"/>
              </w:rPr>
              <w:t xml:space="preserve"> (NGF, Item 498 — handbooks, manuals, e-courses, web materials, employer and member communication). </w:t>
            </w:r>
            <w:r>
              <w:rPr>
                <w:b/>
                <w:sz w:val="17"/>
              </w:rPr>
              <w:t>Employer cost to implement: "None."</w:t>
            </w:r>
            <w:r>
              <w:rPr>
                <w:sz w:val="17"/>
              </w:rPr>
              <w:t xml:space="preserve"> GF budget impact: </w:t>
            </w:r>
            <w:r>
              <w:rPr>
                <w:b/>
                <w:sz w:val="17"/>
              </w:rPr>
              <w:t>"No immediate impact."</w:t>
            </w:r>
          </w:p>
        </w:tc>
        <w:tc>
          <w:tcPr>
            <w:tcW w:type="dxa" w:w="1234"/>
          </w:tcPr>
          <w:p>
            <w:pPr>
              <w:spacing w:before="20" w:after="20"/>
              <w:jc w:val="left"/>
            </w:pPr>
            <w:r>
              <w:rPr>
                <w:sz w:val="17"/>
              </w:rPr>
              <w:t>—</w:t>
            </w:r>
          </w:p>
        </w:tc>
        <w:tc>
          <w:tcPr>
            <w:tcW w:type="dxa" w:w="1234"/>
          </w:tcPr>
          <w:p>
            <w:pPr>
              <w:spacing w:before="20" w:after="20"/>
              <w:jc w:val="left"/>
            </w:pPr>
            <w:r>
              <w:rPr>
                <w:sz w:val="17"/>
              </w:rPr>
              <w:t>same</w:t>
            </w:r>
          </w:p>
        </w:tc>
        <w:tc>
          <w:tcPr>
            <w:tcW w:type="dxa" w:w="1234"/>
          </w:tcPr>
          <w:p>
            <w:pPr>
              <w:spacing w:before="20" w:after="20"/>
              <w:jc w:val="left"/>
            </w:pPr>
            <w:r>
              <w:rPr>
                <w:sz w:val="17"/>
              </w:rPr>
              <w:t>Items 6, 7, 8</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F-62</w:t>
            </w:r>
          </w:p>
        </w:tc>
        <w:tc>
          <w:tcPr>
            <w:tcW w:type="dxa" w:w="1234"/>
          </w:tcPr>
          <w:p>
            <w:pPr>
              <w:spacing w:before="20" w:after="20"/>
              <w:jc w:val="left"/>
            </w:pPr>
            <w:r>
              <w:rPr>
                <w:b/>
                <w:sz w:val="17"/>
              </w:rPr>
              <w:t>VRS cannot identify who holds unexercised military service.</w:t>
            </w:r>
            <w:r>
              <w:rPr>
                <w:sz w:val="17"/>
              </w:rPr>
              <w:t xml:space="preserve"> "While VRS is not able to determine the number of current teachers or future teachers who would have prior active military service to purchase… it is unknown how many teachers have prior military service available to be granted."</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Item 6</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r>
        <w:tc>
          <w:tcPr>
            <w:tcW w:type="dxa" w:w="1234"/>
          </w:tcPr>
          <w:p>
            <w:pPr>
              <w:spacing w:before="20" w:after="20"/>
              <w:jc w:val="left"/>
            </w:pPr>
            <w:r>
              <w:rPr>
                <w:sz w:val="17"/>
              </w:rPr>
              <w:t>F-63</w:t>
            </w:r>
          </w:p>
        </w:tc>
        <w:tc>
          <w:tcPr>
            <w:tcW w:type="dxa" w:w="1234"/>
          </w:tcPr>
          <w:p>
            <w:pPr>
              <w:spacing w:before="20" w:after="20"/>
              <w:jc w:val="left"/>
            </w:pPr>
            <w:r>
              <w:rPr>
                <w:sz w:val="17"/>
              </w:rPr>
              <w:t xml:space="preserve">VRS, on the value of the credit: "Prior service credit counts toward </w:t>
            </w:r>
            <w:r>
              <w:rPr>
                <w:b/>
                <w:sz w:val="17"/>
              </w:rPr>
              <w:t>vesting, eligibility for retirement and eligibility for the health insurance credit</w:t>
            </w:r>
            <w:r>
              <w:rPr>
                <w:sz w:val="17"/>
              </w:rPr>
              <w:t xml:space="preserve">, if offered by the employer." And: "Granting of service in a pooled plan will effectively </w:t>
            </w:r>
            <w:r>
              <w:rPr>
                <w:b/>
                <w:sz w:val="17"/>
              </w:rPr>
              <w:t>spread the cost of each period of granted service over all of the employers</w:t>
            </w:r>
            <w:r>
              <w:rPr>
                <w:sz w:val="17"/>
              </w:rPr>
              <w:t xml:space="preserve"> in the Teacher plan."</w:t>
            </w:r>
          </w:p>
        </w:tc>
        <w:tc>
          <w:tcPr>
            <w:tcW w:type="dxa" w:w="1234"/>
          </w:tcPr>
          <w:p>
            <w:pPr>
              <w:spacing w:before="20" w:after="20"/>
              <w:jc w:val="left"/>
            </w:pPr>
            <w:r>
              <w:rPr>
                <w:sz w:val="17"/>
              </w:rPr>
              <w:t>verbatim</w:t>
            </w:r>
          </w:p>
        </w:tc>
        <w:tc>
          <w:tcPr>
            <w:tcW w:type="dxa" w:w="1234"/>
          </w:tcPr>
          <w:p>
            <w:pPr>
              <w:spacing w:before="20" w:after="20"/>
              <w:jc w:val="left"/>
            </w:pPr>
            <w:r>
              <w:rPr>
                <w:sz w:val="17"/>
              </w:rPr>
              <w:t>same</w:t>
            </w:r>
          </w:p>
        </w:tc>
        <w:tc>
          <w:tcPr>
            <w:tcW w:type="dxa" w:w="1234"/>
          </w:tcPr>
          <w:p>
            <w:pPr>
              <w:spacing w:before="20" w:after="20"/>
              <w:jc w:val="left"/>
            </w:pPr>
            <w:r>
              <w:rPr>
                <w:sz w:val="17"/>
              </w:rPr>
              <w:t>Items 12 and 6</w:t>
            </w:r>
          </w:p>
        </w:tc>
        <w:tc>
          <w:tcPr>
            <w:tcW w:type="dxa" w:w="1234"/>
          </w:tcPr>
          <w:p>
            <w:pPr>
              <w:spacing w:before="20" w:after="20"/>
              <w:jc w:val="left"/>
            </w:pPr>
            <w:r>
              <w:rPr>
                <w:sz w:val="17"/>
              </w:rPr>
              <w:t>2</w:t>
            </w:r>
          </w:p>
        </w:tc>
        <w:tc>
          <w:tcPr>
            <w:tcW w:type="dxa" w:w="1234"/>
          </w:tcPr>
          <w:p>
            <w:pPr>
              <w:spacing w:before="20" w:after="20"/>
              <w:jc w:val="left"/>
            </w:pPr>
            <w:r>
              <w:rPr>
                <w:sz w:val="17"/>
              </w:rPr>
              <w:t>High</w:t>
            </w:r>
          </w:p>
        </w:tc>
      </w:tr>
    </w:tbl>
    <w:p>
      <w:pPr>
        <w:spacing w:before="0" w:after="0" w:line="80" w:lineRule="exact"/>
      </w:pPr>
      <w:r>
        <w:rPr>
          <w:sz w:val="8"/>
        </w:rPr>
      </w:r>
    </w:p>
    <w:p>
      <w:pPr>
        <w:pStyle w:val="Heading3"/>
      </w:pPr>
      <w:r>
        <w:t>1.4 Virginia and federal workforce facts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ID</w:t>
            </w:r>
          </w:p>
        </w:tc>
        <w:tc>
          <w:tcPr>
            <w:tcW w:type="dxa" w:w="1234"/>
          </w:tcPr>
          <w:p>
            <w:pPr>
              <w:spacing w:before="20" w:after="20"/>
              <w:jc w:val="left"/>
            </w:pPr>
            <w:r>
              <w:rPr>
                <w:b/>
                <w:sz w:val="17"/>
              </w:rPr>
              <w:t>Fact</w:t>
            </w:r>
          </w:p>
        </w:tc>
        <w:tc>
          <w:tcPr>
            <w:tcW w:type="dxa" w:w="1234"/>
          </w:tcPr>
          <w:p>
            <w:pPr>
              <w:spacing w:before="20" w:after="20"/>
              <w:jc w:val="left"/>
            </w:pPr>
            <w:r>
              <w:rPr>
                <w:b/>
                <w:sz w:val="17"/>
              </w:rPr>
              <w:t>Value</w:t>
            </w:r>
          </w:p>
        </w:tc>
        <w:tc>
          <w:tcPr>
            <w:tcW w:type="dxa" w:w="1234"/>
          </w:tcPr>
          <w:p>
            <w:pPr>
              <w:spacing w:before="20" w:after="20"/>
              <w:jc w:val="left"/>
            </w:pPr>
            <w:r>
              <w:rPr>
                <w:b/>
                <w:sz w:val="17"/>
              </w:rPr>
              <w:t>Source</w:t>
            </w:r>
          </w:p>
        </w:tc>
        <w:tc>
          <w:tcPr>
            <w:tcW w:type="dxa" w:w="1234"/>
          </w:tcPr>
          <w:p>
            <w:pPr>
              <w:spacing w:before="20" w:after="20"/>
              <w:jc w:val="left"/>
            </w:pPr>
            <w:r>
              <w:rPr>
                <w:b/>
                <w:sz w:val="17"/>
              </w:rPr>
              <w:t>Pinpoint</w:t>
            </w:r>
          </w:p>
        </w:tc>
        <w:tc>
          <w:tcPr>
            <w:tcW w:type="dxa" w:w="1234"/>
          </w:tcPr>
          <w:p>
            <w:pPr>
              <w:spacing w:before="20" w:after="20"/>
              <w:jc w:val="left"/>
            </w:pPr>
            <w:r>
              <w:rPr>
                <w:b/>
                <w:sz w:val="17"/>
              </w:rPr>
              <w:t>Tier</w:t>
            </w:r>
          </w:p>
        </w:tc>
        <w:tc>
          <w:tcPr>
            <w:tcW w:type="dxa" w:w="1234"/>
          </w:tcPr>
          <w:p>
            <w:pPr>
              <w:spacing w:before="20" w:after="20"/>
              <w:jc w:val="left"/>
            </w:pPr>
            <w:r>
              <w:rPr>
                <w:b/>
                <w:sz w:val="17"/>
              </w:rPr>
              <w:t>Confidence</w:t>
            </w:r>
          </w:p>
        </w:tc>
      </w:tr>
      <w:tr>
        <w:tc>
          <w:tcPr>
            <w:tcW w:type="dxa" w:w="1234"/>
          </w:tcPr>
          <w:p>
            <w:pPr>
              <w:spacing w:before="20" w:after="20"/>
              <w:jc w:val="left"/>
            </w:pPr>
            <w:r>
              <w:rPr>
                <w:sz w:val="17"/>
              </w:rPr>
              <w:t>F-30</w:t>
            </w:r>
          </w:p>
        </w:tc>
        <w:tc>
          <w:tcPr>
            <w:tcW w:type="dxa" w:w="1234"/>
          </w:tcPr>
          <w:p>
            <w:pPr>
              <w:spacing w:before="20" w:after="20"/>
              <w:jc w:val="left"/>
            </w:pPr>
            <w:r>
              <w:rPr>
                <w:sz w:val="17"/>
              </w:rPr>
              <w:t>Total classified state employees</w:t>
            </w:r>
          </w:p>
        </w:tc>
        <w:tc>
          <w:tcPr>
            <w:tcW w:type="dxa" w:w="1234"/>
          </w:tcPr>
          <w:p>
            <w:pPr>
              <w:spacing w:before="20" w:after="20"/>
              <w:jc w:val="left"/>
            </w:pPr>
            <w:r>
              <w:rPr>
                <w:b/>
                <w:sz w:val="17"/>
              </w:rPr>
              <w:t>56,917</w:t>
            </w:r>
          </w:p>
        </w:tc>
        <w:tc>
          <w:tcPr>
            <w:tcW w:type="dxa" w:w="1234"/>
          </w:tcPr>
          <w:p>
            <w:pPr>
              <w:spacing w:before="20" w:after="20"/>
              <w:jc w:val="left"/>
            </w:pPr>
            <w:r>
              <w:rPr>
                <w:sz w:val="17"/>
              </w:rPr>
              <w:t>DHRM presentation to Senate Finance &amp; Appropriations Committee, 1/21/2025</w:t>
            </w:r>
          </w:p>
        </w:tc>
        <w:tc>
          <w:tcPr>
            <w:tcW w:type="dxa" w:w="1234"/>
          </w:tcPr>
          <w:p>
            <w:pPr>
              <w:spacing w:before="20" w:after="20"/>
              <w:jc w:val="left"/>
            </w:pPr>
            <w:r>
              <w:rPr>
                <w:sz w:val="17"/>
              </w:rPr>
              <w:t>slide 6; data as of 6/30/2024</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F-31</w:t>
            </w:r>
          </w:p>
        </w:tc>
        <w:tc>
          <w:tcPr>
            <w:tcW w:type="dxa" w:w="1234"/>
          </w:tcPr>
          <w:p>
            <w:pPr>
              <w:spacing w:before="20" w:after="20"/>
              <w:jc w:val="left"/>
            </w:pPr>
            <w:r>
              <w:rPr>
                <w:sz w:val="17"/>
              </w:rPr>
              <w:t xml:space="preserve">Share of classified state workforce </w:t>
            </w:r>
            <w:r>
              <w:rPr>
                <w:b/>
                <w:sz w:val="17"/>
              </w:rPr>
              <w:t>self-identifying</w:t>
            </w:r>
            <w:r>
              <w:rPr>
                <w:sz w:val="17"/>
              </w:rPr>
              <w:t xml:space="preserve"> as veterans</w:t>
            </w:r>
          </w:p>
        </w:tc>
        <w:tc>
          <w:tcPr>
            <w:tcW w:type="dxa" w:w="1234"/>
          </w:tcPr>
          <w:p>
            <w:pPr>
              <w:spacing w:before="20" w:after="20"/>
              <w:jc w:val="left"/>
            </w:pPr>
            <w:r>
              <w:rPr>
                <w:b/>
                <w:sz w:val="17"/>
              </w:rPr>
              <w:t>6%</w:t>
            </w:r>
          </w:p>
        </w:tc>
        <w:tc>
          <w:tcPr>
            <w:tcW w:type="dxa" w:w="1234"/>
          </w:tcPr>
          <w:p>
            <w:pPr>
              <w:spacing w:before="20" w:after="20"/>
              <w:jc w:val="left"/>
            </w:pPr>
            <w:r>
              <w:rPr>
                <w:sz w:val="17"/>
              </w:rPr>
              <w:t>same</w:t>
            </w:r>
          </w:p>
        </w:tc>
        <w:tc>
          <w:tcPr>
            <w:tcW w:type="dxa" w:w="1234"/>
          </w:tcPr>
          <w:p>
            <w:pPr>
              <w:spacing w:before="20" w:after="20"/>
              <w:jc w:val="left"/>
            </w:pPr>
            <w:r>
              <w:rPr>
                <w:sz w:val="17"/>
              </w:rPr>
              <w:t>slide 8</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F-32</w:t>
            </w:r>
          </w:p>
        </w:tc>
        <w:tc>
          <w:tcPr>
            <w:tcW w:type="dxa" w:w="1234"/>
          </w:tcPr>
          <w:p>
            <w:pPr>
              <w:spacing w:before="20" w:after="20"/>
              <w:jc w:val="left"/>
            </w:pPr>
            <w:r>
              <w:rPr>
                <w:sz w:val="17"/>
              </w:rPr>
              <w:t>Classified workforce average age / average years of service / average age of new hires</w:t>
            </w:r>
          </w:p>
        </w:tc>
        <w:tc>
          <w:tcPr>
            <w:tcW w:type="dxa" w:w="1234"/>
          </w:tcPr>
          <w:p>
            <w:pPr>
              <w:spacing w:before="20" w:after="20"/>
              <w:jc w:val="left"/>
            </w:pPr>
            <w:r>
              <w:rPr>
                <w:sz w:val="17"/>
              </w:rPr>
              <w:t xml:space="preserve">46.7 / 10.3 / </w:t>
            </w:r>
            <w:r>
              <w:rPr>
                <w:b/>
                <w:sz w:val="17"/>
              </w:rPr>
              <w:t>37.7</w:t>
            </w:r>
          </w:p>
        </w:tc>
        <w:tc>
          <w:tcPr>
            <w:tcW w:type="dxa" w:w="1234"/>
          </w:tcPr>
          <w:p>
            <w:pPr>
              <w:spacing w:before="20" w:after="20"/>
              <w:jc w:val="left"/>
            </w:pPr>
            <w:r>
              <w:rPr>
                <w:sz w:val="17"/>
              </w:rPr>
              <w:t>same</w:t>
            </w:r>
          </w:p>
        </w:tc>
        <w:tc>
          <w:tcPr>
            <w:tcW w:type="dxa" w:w="1234"/>
          </w:tcPr>
          <w:p>
            <w:pPr>
              <w:spacing w:before="20" w:after="20"/>
              <w:jc w:val="left"/>
            </w:pPr>
            <w:r>
              <w:rPr>
                <w:sz w:val="17"/>
              </w:rPr>
              <w:t>slide 8</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F-33</w:t>
            </w:r>
          </w:p>
        </w:tc>
        <w:tc>
          <w:tcPr>
            <w:tcW w:type="dxa" w:w="1234"/>
          </w:tcPr>
          <w:p>
            <w:pPr>
              <w:spacing w:before="20" w:after="20"/>
              <w:jc w:val="left"/>
            </w:pPr>
            <w:r>
              <w:rPr>
                <w:sz w:val="17"/>
              </w:rPr>
              <w:t>FY24 recruitments; share that were new hires/rehires; turnover rate</w:t>
            </w:r>
          </w:p>
        </w:tc>
        <w:tc>
          <w:tcPr>
            <w:tcW w:type="dxa" w:w="1234"/>
          </w:tcPr>
          <w:p>
            <w:pPr>
              <w:spacing w:before="20" w:after="20"/>
              <w:jc w:val="left"/>
            </w:pPr>
            <w:r>
              <w:rPr>
                <w:sz w:val="17"/>
              </w:rPr>
              <w:t>16,088; 64.0%; 14.4%</w:t>
            </w:r>
          </w:p>
        </w:tc>
        <w:tc>
          <w:tcPr>
            <w:tcW w:type="dxa" w:w="1234"/>
          </w:tcPr>
          <w:p>
            <w:pPr>
              <w:spacing w:before="20" w:after="20"/>
              <w:jc w:val="left"/>
            </w:pPr>
            <w:r>
              <w:rPr>
                <w:sz w:val="17"/>
              </w:rPr>
              <w:t>same</w:t>
            </w:r>
          </w:p>
        </w:tc>
        <w:tc>
          <w:tcPr>
            <w:tcW w:type="dxa" w:w="1234"/>
          </w:tcPr>
          <w:p>
            <w:pPr>
              <w:spacing w:before="20" w:after="20"/>
              <w:jc w:val="left"/>
            </w:pPr>
            <w:r>
              <w:rPr>
                <w:sz w:val="17"/>
              </w:rPr>
              <w:t>slide 10</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F-34</w:t>
            </w:r>
          </w:p>
        </w:tc>
        <w:tc>
          <w:tcPr>
            <w:tcW w:type="dxa" w:w="1234"/>
          </w:tcPr>
          <w:p>
            <w:pPr>
              <w:spacing w:before="20" w:after="20"/>
              <w:jc w:val="left"/>
            </w:pPr>
            <w:r>
              <w:rPr>
                <w:b/>
                <w:sz w:val="17"/>
              </w:rPr>
              <w:t>Mean</w:t>
            </w:r>
            <w:r>
              <w:rPr>
                <w:sz w:val="17"/>
              </w:rPr>
              <w:t xml:space="preserve"> / median classified salary, all pay areas</w:t>
            </w:r>
          </w:p>
        </w:tc>
        <w:tc>
          <w:tcPr>
            <w:tcW w:type="dxa" w:w="1234"/>
          </w:tcPr>
          <w:p>
            <w:pPr>
              <w:spacing w:before="20" w:after="20"/>
              <w:jc w:val="left"/>
            </w:pPr>
            <w:r>
              <w:rPr>
                <w:b/>
                <w:sz w:val="17"/>
              </w:rPr>
              <w:t>$69,865</w:t>
            </w:r>
            <w:r>
              <w:rPr>
                <w:sz w:val="17"/>
              </w:rPr>
              <w:t xml:space="preserve"> / $61,305</w:t>
            </w:r>
          </w:p>
        </w:tc>
        <w:tc>
          <w:tcPr>
            <w:tcW w:type="dxa" w:w="1234"/>
          </w:tcPr>
          <w:p>
            <w:pPr>
              <w:spacing w:before="20" w:after="20"/>
              <w:jc w:val="left"/>
            </w:pPr>
            <w:r>
              <w:rPr>
                <w:sz w:val="17"/>
              </w:rPr>
              <w:t>same</w:t>
            </w:r>
          </w:p>
        </w:tc>
        <w:tc>
          <w:tcPr>
            <w:tcW w:type="dxa" w:w="1234"/>
          </w:tcPr>
          <w:p>
            <w:pPr>
              <w:spacing w:before="20" w:after="20"/>
              <w:jc w:val="left"/>
            </w:pPr>
            <w:r>
              <w:rPr>
                <w:sz w:val="17"/>
              </w:rPr>
              <w:t>slide 14; as of 6/30/2024</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F-35</w:t>
            </w:r>
          </w:p>
        </w:tc>
        <w:tc>
          <w:tcPr>
            <w:tcW w:type="dxa" w:w="1234"/>
          </w:tcPr>
          <w:p>
            <w:pPr>
              <w:spacing w:before="20" w:after="20"/>
              <w:jc w:val="left"/>
            </w:pPr>
            <w:r>
              <w:rPr>
                <w:sz w:val="17"/>
              </w:rPr>
              <w:t>Commonwealth statewide average salary increase, 2001–2023</w:t>
            </w:r>
          </w:p>
        </w:tc>
        <w:tc>
          <w:tcPr>
            <w:tcW w:type="dxa" w:w="1234"/>
          </w:tcPr>
          <w:p>
            <w:pPr>
              <w:spacing w:before="20" w:after="20"/>
              <w:jc w:val="left"/>
            </w:pPr>
            <w:r>
              <w:rPr>
                <w:sz w:val="17"/>
              </w:rPr>
              <w:t>2.9%</w:t>
            </w:r>
          </w:p>
        </w:tc>
        <w:tc>
          <w:tcPr>
            <w:tcW w:type="dxa" w:w="1234"/>
          </w:tcPr>
          <w:p>
            <w:pPr>
              <w:spacing w:before="20" w:after="20"/>
              <w:jc w:val="left"/>
            </w:pPr>
            <w:r>
              <w:rPr>
                <w:sz w:val="17"/>
              </w:rPr>
              <w:t>same</w:t>
            </w:r>
          </w:p>
        </w:tc>
        <w:tc>
          <w:tcPr>
            <w:tcW w:type="dxa" w:w="1234"/>
          </w:tcPr>
          <w:p>
            <w:pPr>
              <w:spacing w:before="20" w:after="20"/>
              <w:jc w:val="left"/>
            </w:pPr>
            <w:r>
              <w:rPr>
                <w:sz w:val="17"/>
              </w:rPr>
              <w:t>slide 16</w:t>
            </w:r>
          </w:p>
        </w:tc>
        <w:tc>
          <w:tcPr>
            <w:tcW w:type="dxa" w:w="1234"/>
          </w:tcPr>
          <w:p>
            <w:pPr>
              <w:spacing w:before="20" w:after="20"/>
              <w:jc w:val="left"/>
            </w:pPr>
            <w:r>
              <w:rPr>
                <w:sz w:val="17"/>
              </w:rPr>
              <w:t>3</w:t>
            </w:r>
          </w:p>
        </w:tc>
        <w:tc>
          <w:tcPr>
            <w:tcW w:type="dxa" w:w="1234"/>
          </w:tcPr>
          <w:p>
            <w:pPr>
              <w:spacing w:before="20" w:after="20"/>
              <w:jc w:val="left"/>
            </w:pPr>
            <w:r>
              <w:rPr>
                <w:sz w:val="17"/>
              </w:rPr>
              <w:t>Medium</w:t>
            </w:r>
          </w:p>
        </w:tc>
      </w:tr>
      <w:tr>
        <w:tc>
          <w:tcPr>
            <w:tcW w:type="dxa" w:w="1234"/>
          </w:tcPr>
          <w:p>
            <w:pPr>
              <w:spacing w:before="20" w:after="20"/>
              <w:jc w:val="left"/>
            </w:pPr>
            <w:r>
              <w:rPr>
                <w:sz w:val="17"/>
              </w:rPr>
              <w:t>F-57</w:t>
            </w:r>
          </w:p>
        </w:tc>
        <w:tc>
          <w:tcPr>
            <w:tcW w:type="dxa" w:w="1234"/>
          </w:tcPr>
          <w:p>
            <w:pPr>
              <w:spacing w:before="20" w:after="20"/>
              <w:jc w:val="left"/>
            </w:pPr>
            <w:r>
              <w:rPr>
                <w:sz w:val="17"/>
              </w:rPr>
              <w:t xml:space="preserve">Veterans and nonveterans employed in </w:t>
            </w:r>
            <w:r>
              <w:rPr>
                <w:b/>
                <w:sz w:val="17"/>
              </w:rPr>
              <w:t>state and local government</w:t>
            </w:r>
            <w:r>
              <w:rPr>
                <w:sz w:val="17"/>
              </w:rPr>
              <w:t>, U.S.</w:t>
            </w:r>
          </w:p>
        </w:tc>
        <w:tc>
          <w:tcPr>
            <w:tcW w:type="dxa" w:w="1234"/>
          </w:tcPr>
          <w:p>
            <w:pPr>
              <w:spacing w:before="20" w:after="20"/>
              <w:jc w:val="left"/>
            </w:pPr>
            <w:r>
              <w:rPr>
                <w:sz w:val="17"/>
              </w:rPr>
              <w:t>7,893k employed veterans, 12.9% in S&amp;L govt; 153,213k employed nonveterans, 10.9% in S&amp;L govt</w:t>
            </w:r>
          </w:p>
        </w:tc>
        <w:tc>
          <w:tcPr>
            <w:tcW w:type="dxa" w:w="1234"/>
          </w:tcPr>
          <w:p>
            <w:pPr>
              <w:spacing w:before="20" w:after="20"/>
              <w:jc w:val="left"/>
            </w:pPr>
            <w:r>
              <w:rPr>
                <w:sz w:val="17"/>
              </w:rPr>
              <w:t xml:space="preserve">BLS, </w:t>
            </w:r>
            <w:r>
              <w:rPr>
                <w:i/>
                <w:sz w:val="17"/>
              </w:rPr>
              <w:t>Employment Situation of Veterans</w:t>
            </w:r>
            <w:r>
              <w:rPr>
                <w:sz w:val="17"/>
              </w:rPr>
              <w:t>, Table 8</w:t>
            </w:r>
          </w:p>
        </w:tc>
        <w:tc>
          <w:tcPr>
            <w:tcW w:type="dxa" w:w="1234"/>
          </w:tcPr>
          <w:p>
            <w:pPr>
              <w:spacing w:before="20" w:after="20"/>
              <w:jc w:val="left"/>
            </w:pPr>
            <w:r>
              <w:rPr>
                <w:sz w:val="17"/>
              </w:rPr>
              <w:t>August 2025</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F-58</w:t>
            </w:r>
          </w:p>
        </w:tc>
        <w:tc>
          <w:tcPr>
            <w:tcW w:type="dxa" w:w="1234"/>
          </w:tcPr>
          <w:p>
            <w:pPr>
              <w:spacing w:before="20" w:after="20"/>
              <w:jc w:val="left"/>
            </w:pPr>
            <w:r>
              <w:rPr>
                <w:sz w:val="17"/>
              </w:rPr>
              <w:t xml:space="preserve">Virginia veterans employed 357k; nonveterans employed 3,864k; Virginia </w:t>
            </w:r>
            <w:r>
              <w:rPr>
                <w:b/>
                <w:sz w:val="17"/>
              </w:rPr>
              <w:t>veteran civilian noninstitutional population 646,000</w:t>
            </w:r>
          </w:p>
        </w:tc>
        <w:tc>
          <w:tcPr>
            <w:tcW w:type="dxa" w:w="1234"/>
          </w:tcPr>
          <w:p>
            <w:pPr>
              <w:spacing w:before="20" w:after="20"/>
              <w:jc w:val="left"/>
            </w:pPr>
            <w:r>
              <w:rPr>
                <w:sz w:val="17"/>
              </w:rPr>
              <w:t>2025 annual averages</w:t>
            </w:r>
          </w:p>
        </w:tc>
        <w:tc>
          <w:tcPr>
            <w:tcW w:type="dxa" w:w="1234"/>
          </w:tcPr>
          <w:p>
            <w:pPr>
              <w:spacing w:before="20" w:after="20"/>
              <w:jc w:val="left"/>
            </w:pPr>
            <w:r>
              <w:rPr>
                <w:sz w:val="17"/>
              </w:rPr>
              <w:t xml:space="preserve">BLS, </w:t>
            </w:r>
            <w:r>
              <w:rPr>
                <w:i/>
                <w:sz w:val="17"/>
              </w:rPr>
              <w:t>Employment Situation of Veterans</w:t>
            </w:r>
            <w:r>
              <w:rPr>
                <w:sz w:val="17"/>
              </w:rPr>
              <w:t>, Tables 6A and 6B</w:t>
            </w:r>
          </w:p>
        </w:tc>
        <w:tc>
          <w:tcPr>
            <w:tcW w:type="dxa" w:w="1234"/>
          </w:tcPr>
          <w:p>
            <w:pPr>
              <w:spacing w:before="20" w:after="20"/>
              <w:jc w:val="left"/>
            </w:pPr>
            <w:r>
              <w:rPr>
                <w:sz w:val="17"/>
              </w:rPr>
              <w:t>2025 annual averages</w:t>
            </w:r>
          </w:p>
        </w:tc>
        <w:tc>
          <w:tcPr>
            <w:tcW w:type="dxa" w:w="1234"/>
          </w:tcPr>
          <w:p>
            <w:pPr>
              <w:spacing w:before="20" w:after="20"/>
              <w:jc w:val="left"/>
            </w:pPr>
            <w:r>
              <w:rPr>
                <w:sz w:val="17"/>
              </w:rPr>
              <w:t>3</w:t>
            </w:r>
          </w:p>
        </w:tc>
        <w:tc>
          <w:tcPr>
            <w:tcW w:type="dxa" w:w="1234"/>
          </w:tcPr>
          <w:p>
            <w:pPr>
              <w:spacing w:before="20" w:after="20"/>
              <w:jc w:val="left"/>
            </w:pPr>
            <w:r>
              <w:rPr>
                <w:sz w:val="17"/>
              </w:rPr>
              <w:t>High</w:t>
            </w:r>
          </w:p>
        </w:tc>
      </w:tr>
      <w:tr>
        <w:tc>
          <w:tcPr>
            <w:tcW w:type="dxa" w:w="1234"/>
          </w:tcPr>
          <w:p>
            <w:pPr>
              <w:spacing w:before="20" w:after="20"/>
              <w:jc w:val="left"/>
            </w:pPr>
            <w:r>
              <w:rPr>
                <w:sz w:val="17"/>
              </w:rPr>
              <w:t>F-59</w:t>
            </w:r>
          </w:p>
        </w:tc>
        <w:tc>
          <w:tcPr>
            <w:tcW w:type="dxa" w:w="1234"/>
          </w:tcPr>
          <w:p>
            <w:pPr>
              <w:spacing w:before="20" w:after="20"/>
              <w:jc w:val="left"/>
            </w:pPr>
            <w:r>
              <w:rPr>
                <w:b/>
                <w:sz w:val="17"/>
              </w:rPr>
              <w:t>2.3%</w:t>
            </w:r>
            <w:r>
              <w:rPr>
                <w:sz w:val="17"/>
              </w:rPr>
              <w:t xml:space="preserve"> of U.S. public school teachers are military veterans; </w:t>
            </w:r>
            <w:r>
              <w:rPr>
                <w:b/>
                <w:sz w:val="17"/>
              </w:rPr>
              <w:t>3.1%</w:t>
            </w:r>
            <w:r>
              <w:rPr>
                <w:sz w:val="17"/>
              </w:rPr>
              <w:t xml:space="preserve"> in the South region</w:t>
            </w:r>
          </w:p>
        </w:tc>
        <w:tc>
          <w:tcPr>
            <w:tcW w:type="dxa" w:w="1234"/>
          </w:tcPr>
          <w:p>
            <w:pPr>
              <w:spacing w:before="20" w:after="20"/>
              <w:jc w:val="left"/>
            </w:pPr>
            <w:r>
              <w:rPr>
                <w:sz w:val="17"/>
              </w:rPr>
              <w:t>2.3% / 3.1%</w:t>
            </w:r>
          </w:p>
        </w:tc>
        <w:tc>
          <w:tcPr>
            <w:tcW w:type="dxa" w:w="1234"/>
          </w:tcPr>
          <w:p>
            <w:pPr>
              <w:spacing w:before="20" w:after="20"/>
              <w:jc w:val="left"/>
            </w:pPr>
            <w:r>
              <w:rPr>
                <w:sz w:val="17"/>
              </w:rPr>
              <w:t xml:space="preserve">NCES, </w:t>
            </w:r>
            <w:r>
              <w:rPr>
                <w:i/>
                <w:sz w:val="17"/>
              </w:rPr>
              <w:t>Digest of Education Statistics</w:t>
            </w:r>
            <w:r>
              <w:rPr>
                <w:sz w:val="17"/>
              </w:rPr>
              <w:t>, table 209.27</w:t>
            </w:r>
          </w:p>
        </w:tc>
        <w:tc>
          <w:tcPr>
            <w:tcW w:type="dxa" w:w="1234"/>
          </w:tcPr>
          <w:p>
            <w:pPr>
              <w:spacing w:before="20" w:after="20"/>
              <w:jc w:val="left"/>
            </w:pPr>
            <w:r>
              <w:rPr>
                <w:sz w:val="17"/>
              </w:rPr>
              <w:t>2016 data</w:t>
            </w:r>
          </w:p>
        </w:tc>
        <w:tc>
          <w:tcPr>
            <w:tcW w:type="dxa" w:w="1234"/>
          </w:tcPr>
          <w:p>
            <w:pPr>
              <w:spacing w:before="20" w:after="20"/>
              <w:jc w:val="left"/>
            </w:pPr>
            <w:r>
              <w:rPr>
                <w:sz w:val="17"/>
              </w:rPr>
              <w:t>3</w:t>
            </w:r>
          </w:p>
        </w:tc>
        <w:tc>
          <w:tcPr>
            <w:tcW w:type="dxa" w:w="1234"/>
          </w:tcPr>
          <w:p>
            <w:pPr>
              <w:spacing w:before="20" w:after="20"/>
              <w:jc w:val="left"/>
            </w:pPr>
            <w:r>
              <w:rPr>
                <w:sz w:val="17"/>
              </w:rPr>
              <w:t>Medium — age of data</w:t>
            </w:r>
          </w:p>
        </w:tc>
      </w:tr>
    </w:tbl>
    <w:p>
      <w:pPr>
        <w:spacing w:before="0" w:after="0" w:line="80" w:lineRule="exact"/>
      </w:pPr>
      <w:r>
        <w:rPr>
          <w:sz w:val="8"/>
        </w:rPr>
      </w:r>
    </w:p>
    <w:p>
      <w:pPr>
        <w:spacing w:before="120" w:after="120"/>
        <w:ind w:left="480"/>
      </w:pPr>
      <w:r>
        <w:rPr>
          <w:b/>
          <w:i/>
          <w:color w:val="444444"/>
          <w:sz w:val="20"/>
        </w:rPr>
        <w:t>The role of the DHRM block (F-30 → F-35) changed in v2.0 and must not be misread.</w:t>
      </w:r>
      <w:r>
        <w:rPr>
          <w:i/>
          <w:color w:val="444444"/>
          <w:sz w:val="20"/>
        </w:rPr>
        <w:t xml:space="preserve"> These remain verified Tier 3 facts, and two of them are still load-bearing. What changed is what they are </w:t>
      </w:r>
      <w:r>
        <w:rPr>
          <w:i/>
          <w:color w:val="444444"/>
          <w:sz w:val="20"/>
        </w:rPr>
        <w:t>for</w:t>
      </w:r>
      <w:r>
        <w:rPr>
          <w:i/>
          <w:color w:val="444444"/>
          <w:sz w:val="20"/>
        </w:rPr>
        <w:t>.</w:t>
      </w:r>
    </w:p>
    <w:p>
      <w:pPr>
        <w:pStyle w:val="ListBullet"/>
        <w:ind w:left="840"/>
      </w:pPr>
      <w:r>
        <w:rPr>
          <w:b/>
        </w:rPr>
        <w:t>F-30 and F-31 are no longer the population basis.</w:t>
      </w:r>
      <w:r>
        <w:t xml:space="preserve"> v1.1 built the eligible pool from 56,917 × 6%. The bill's scope is all 378,060 VRS active members (F-37, F-38), 6.6× larger. The official denominators are F-37 / F-38 and the sourced veteran-share bands are at FM-1 § 1.4. </w:t>
      </w:r>
      <w:r>
        <w:rPr>
          <w:b/>
        </w:rPr>
        <w:t>F-31's 6% must not be extended to teachers</w:t>
      </w:r>
      <w:r>
        <w:t xml:space="preserve"> — the published teacher share is 2.3% (F-59).</w:t>
      </w:r>
    </w:p>
    <w:p>
      <w:pPr>
        <w:pStyle w:val="ListBullet"/>
        <w:ind w:left="840"/>
      </w:pPr>
      <w:r>
        <w:rPr>
          <w:b/>
        </w:rPr>
        <w:t>F-31 is a self-identification field and is therefore a floor, not a measurement.</w:t>
      </w:r>
      <w:r>
        <w:t xml:space="preserve"> It is also, usefully, independent corroboration: FM-1 § 1.4 derives 5.75% from F-57 by a wholly unrelated instrument and lands within a quarter of a percentage point. That agreement is cheap credibility and is worth stating to the money committees.</w:t>
      </w:r>
    </w:p>
    <w:p>
      <w:pPr>
        <w:pStyle w:val="ListBullet"/>
        <w:ind w:left="840"/>
      </w:pPr>
      <w:r>
        <w:rPr>
          <w:b/>
        </w:rPr>
        <w:t>F-34 is still the salary basis of the live cost model</w:t>
      </w:r>
      <w:r>
        <w:t xml:space="preserve"> (FM-4 § 4.4) and of § 4 below. § 7.1 of this annex now reconciles it against F-51 and finds it sound to within 0.5%.</w:t>
      </w:r>
    </w:p>
    <w:p>
      <w:pPr>
        <w:pStyle w:val="ListBullet"/>
        <w:ind w:left="840"/>
      </w:pPr>
      <w:r>
        <w:rPr>
          <w:b/>
        </w:rPr>
        <w:t>F-32, F-33 and F-35</w:t>
      </w:r>
      <w:r>
        <w:t xml:space="preserve"> remain the basis of A-04 and of the retired A-09 / A-14 (§ 2.3), and are state-classified context only.</w:t>
      </w:r>
    </w:p>
    <w:p>
      <w:pPr>
        <w:jc w:val="center"/>
      </w:pPr>
      <w:r>
        <w:rPr>
          <w:color w:val="909090"/>
          <w:sz w:val="18"/>
        </w:rPr>
        <w:t>* * *</w:t>
      </w:r>
    </w:p>
    <w:p>
      <w:pPr>
        <w:pStyle w:val="Heading2"/>
      </w:pPr>
      <w:r>
        <w:t>2. Assumption register</w:t>
      </w:r>
    </w:p>
    <w:p>
      <w:r>
        <w:t xml:space="preserve">Every entry: the value, its basis, who owns resolving it, and how much it moves the answer. Figures that this register </w:t>
      </w:r>
      <w:r>
        <w:rPr>
          <w:i/>
        </w:rPr>
        <w:t>governs</w:t>
      </w:r>
      <w:r>
        <w:t xml:space="preserve"> but does not </w:t>
      </w:r>
      <w:r>
        <w:rPr>
          <w:i/>
        </w:rPr>
        <w:t>state</w:t>
      </w:r>
      <w:r>
        <w:t xml:space="preserve"> carry a pointer to where they live.</w:t>
      </w:r>
    </w:p>
    <w:p>
      <w:pPr>
        <w:pStyle w:val="Heading3"/>
      </w:pPr>
      <w:r>
        <w:t>2.1 Actuarial assumptions — reconciled against the June 30, 2025 valuation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ID</w:t>
            </w:r>
          </w:p>
        </w:tc>
        <w:tc>
          <w:tcPr>
            <w:tcW w:type="dxa" w:w="1440"/>
          </w:tcPr>
          <w:p>
            <w:pPr>
              <w:spacing w:before="20" w:after="20"/>
              <w:jc w:val="left"/>
            </w:pPr>
            <w:r>
              <w:rPr>
                <w:b/>
                <w:sz w:val="17"/>
              </w:rPr>
              <w:t>Variable</w:t>
            </w:r>
          </w:p>
        </w:tc>
        <w:tc>
          <w:tcPr>
            <w:tcW w:type="dxa" w:w="1440"/>
          </w:tcPr>
          <w:p>
            <w:pPr>
              <w:spacing w:before="20" w:after="20"/>
              <w:jc w:val="left"/>
            </w:pPr>
            <w:r>
              <w:rPr>
                <w:b/>
                <w:sz w:val="17"/>
              </w:rPr>
              <w:t>Value used</w:t>
            </w:r>
          </w:p>
        </w:tc>
        <w:tc>
          <w:tcPr>
            <w:tcW w:type="dxa" w:w="1440"/>
          </w:tcPr>
          <w:p>
            <w:pPr>
              <w:spacing w:before="20" w:after="20"/>
              <w:jc w:val="left"/>
            </w:pPr>
            <w:r>
              <w:rPr>
                <w:b/>
                <w:sz w:val="17"/>
              </w:rPr>
              <w:t>Basis</w:t>
            </w:r>
          </w:p>
        </w:tc>
        <w:tc>
          <w:tcPr>
            <w:tcW w:type="dxa" w:w="1440"/>
          </w:tcPr>
          <w:p>
            <w:pPr>
              <w:spacing w:before="20" w:after="20"/>
              <w:jc w:val="left"/>
            </w:pPr>
            <w:r>
              <w:rPr>
                <w:b/>
                <w:sz w:val="17"/>
              </w:rPr>
              <w:t>Sensitivity</w:t>
            </w:r>
          </w:p>
        </w:tc>
        <w:tc>
          <w:tcPr>
            <w:tcW w:type="dxa" w:w="1440"/>
          </w:tcPr>
          <w:p>
            <w:pPr>
              <w:spacing w:before="20" w:after="20"/>
              <w:jc w:val="left"/>
            </w:pPr>
            <w:r>
              <w:rPr>
                <w:b/>
                <w:sz w:val="17"/>
              </w:rPr>
              <w:t>Owner</w:t>
            </w:r>
          </w:p>
        </w:tc>
      </w:tr>
      <w:tr>
        <w:tc>
          <w:tcPr>
            <w:tcW w:type="dxa" w:w="1440"/>
          </w:tcPr>
          <w:p>
            <w:pPr>
              <w:spacing w:before="20" w:after="20"/>
              <w:jc w:val="left"/>
            </w:pPr>
            <w:r>
              <w:rPr>
                <w:sz w:val="17"/>
              </w:rPr>
              <w:t>A-01</w:t>
            </w:r>
          </w:p>
        </w:tc>
        <w:tc>
          <w:tcPr>
            <w:tcW w:type="dxa" w:w="1440"/>
          </w:tcPr>
          <w:p>
            <w:pPr>
              <w:spacing w:before="20" w:after="20"/>
              <w:jc w:val="left"/>
            </w:pPr>
            <w:r>
              <w:rPr>
                <w:sz w:val="17"/>
              </w:rPr>
              <w:t>Discount rate / assumed return</w:t>
            </w:r>
          </w:p>
        </w:tc>
        <w:tc>
          <w:tcPr>
            <w:tcW w:type="dxa" w:w="1440"/>
          </w:tcPr>
          <w:p>
            <w:pPr>
              <w:spacing w:before="20" w:after="20"/>
              <w:jc w:val="left"/>
            </w:pPr>
            <w:r>
              <w:rPr>
                <w:b/>
                <w:sz w:val="17"/>
              </w:rPr>
              <w:t>6.75%</w:t>
            </w:r>
          </w:p>
        </w:tc>
        <w:tc>
          <w:tcPr>
            <w:tcW w:type="dxa" w:w="1440"/>
          </w:tcPr>
          <w:p>
            <w:pPr>
              <w:spacing w:before="20" w:after="20"/>
              <w:jc w:val="left"/>
            </w:pPr>
            <w:r>
              <w:rPr>
                <w:b/>
                <w:sz w:val="17"/>
              </w:rPr>
              <w:t>OFFICIAL — F-55</w:t>
            </w:r>
            <w:r>
              <w:rPr>
                <w:sz w:val="17"/>
              </w:rPr>
              <w:t>, F-24</w:t>
            </w:r>
          </w:p>
        </w:tc>
        <w:tc>
          <w:tcPr>
            <w:tcW w:type="dxa" w:w="1440"/>
          </w:tcPr>
          <w:p>
            <w:pPr>
              <w:spacing w:before="20" w:after="20"/>
              <w:jc w:val="left"/>
            </w:pPr>
            <w:r>
              <w:rPr>
                <w:sz w:val="17"/>
              </w:rPr>
              <w:t>±0.25% moves AEC roughly ∓4% at a 20-year horizon</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A-02</w:t>
            </w:r>
          </w:p>
        </w:tc>
        <w:tc>
          <w:tcPr>
            <w:tcW w:type="dxa" w:w="1440"/>
          </w:tcPr>
          <w:p>
            <w:pPr>
              <w:spacing w:before="20" w:after="20"/>
              <w:jc w:val="left"/>
            </w:pPr>
            <w:r>
              <w:rPr>
                <w:sz w:val="17"/>
              </w:rPr>
              <w:t>Long-run COLA, Plan 2 and Hybrid</w:t>
            </w:r>
          </w:p>
        </w:tc>
        <w:tc>
          <w:tcPr>
            <w:tcW w:type="dxa" w:w="1440"/>
          </w:tcPr>
          <w:p>
            <w:pPr>
              <w:spacing w:before="20" w:after="20"/>
              <w:jc w:val="left"/>
            </w:pPr>
            <w:r>
              <w:rPr>
                <w:b/>
                <w:sz w:val="17"/>
              </w:rPr>
              <w:t>2.25%</w:t>
            </w:r>
          </w:p>
        </w:tc>
        <w:tc>
          <w:tcPr>
            <w:tcW w:type="dxa" w:w="1440"/>
          </w:tcPr>
          <w:p>
            <w:pPr>
              <w:spacing w:before="20" w:after="20"/>
              <w:jc w:val="left"/>
            </w:pPr>
            <w:r>
              <w:rPr>
                <w:b/>
                <w:sz w:val="17"/>
              </w:rPr>
              <w:t>OFFICIAL — F-55.</w:t>
            </w:r>
            <w:r>
              <w:rPr>
                <w:sz w:val="17"/>
              </w:rPr>
              <w:t xml:space="preserve"> Consistent with the F-13 cap structure at ~2.5% CPI-U</w:t>
            </w:r>
          </w:p>
        </w:tc>
        <w:tc>
          <w:tcPr>
            <w:tcW w:type="dxa" w:w="1440"/>
          </w:tcPr>
          <w:p>
            <w:pPr>
              <w:spacing w:before="20" w:after="20"/>
              <w:jc w:val="left"/>
            </w:pPr>
            <w:r>
              <w:rPr>
                <w:sz w:val="17"/>
              </w:rPr>
              <w:t>1.5%–3.0%</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A-03</w:t>
            </w:r>
          </w:p>
        </w:tc>
        <w:tc>
          <w:tcPr>
            <w:tcW w:type="dxa" w:w="1440"/>
          </w:tcPr>
          <w:p>
            <w:pPr>
              <w:spacing w:before="20" w:after="20"/>
              <w:jc w:val="left"/>
            </w:pPr>
            <w:r>
              <w:rPr>
                <w:sz w:val="17"/>
              </w:rPr>
              <w:t>Long-run COLA, Plan 1 cohort</w:t>
            </w:r>
          </w:p>
        </w:tc>
        <w:tc>
          <w:tcPr>
            <w:tcW w:type="dxa" w:w="1440"/>
          </w:tcPr>
          <w:p>
            <w:pPr>
              <w:spacing w:before="20" w:after="20"/>
              <w:jc w:val="left"/>
            </w:pPr>
            <w:r>
              <w:rPr>
                <w:b/>
                <w:sz w:val="17"/>
              </w:rPr>
              <w:t>2.50%</w:t>
            </w:r>
          </w:p>
        </w:tc>
        <w:tc>
          <w:tcPr>
            <w:tcW w:type="dxa" w:w="1440"/>
          </w:tcPr>
          <w:p>
            <w:pPr>
              <w:spacing w:before="20" w:after="20"/>
              <w:jc w:val="left"/>
            </w:pPr>
            <w:r>
              <w:rPr>
                <w:b/>
                <w:sz w:val="17"/>
              </w:rPr>
              <w:t>OFFICIAL — F-55.</w:t>
            </w:r>
            <w:r>
              <w:rPr>
                <w:sz w:val="17"/>
              </w:rPr>
              <w:t xml:space="preserve"> </w:t>
            </w:r>
            <w:r>
              <w:rPr>
                <w:b/>
                <w:sz w:val="17"/>
              </w:rPr>
              <w:t>Corrected in v2.0:</w:t>
            </w:r>
            <w:r>
              <w:rPr>
                <w:sz w:val="17"/>
              </w:rPr>
              <w:t xml:space="preserve"> v1.1 used an analyst figure of 3.0% reasoned from the F-13 5% cap structure. The Board-adopted assumption is 2.50%. See § 7.2</w:t>
            </w:r>
          </w:p>
        </w:tc>
        <w:tc>
          <w:tcPr>
            <w:tcW w:type="dxa" w:w="1440"/>
          </w:tcPr>
          <w:p>
            <w:pPr>
              <w:spacing w:before="20" w:after="20"/>
              <w:jc w:val="left"/>
            </w:pPr>
            <w:r>
              <w:rPr>
                <w:sz w:val="17"/>
              </w:rPr>
              <w:t>2.0%–3.0%</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A-04</w:t>
            </w:r>
          </w:p>
        </w:tc>
        <w:tc>
          <w:tcPr>
            <w:tcW w:type="dxa" w:w="1440"/>
          </w:tcPr>
          <w:p>
            <w:pPr>
              <w:spacing w:before="20" w:after="20"/>
              <w:jc w:val="left"/>
            </w:pPr>
            <w:r>
              <w:rPr>
                <w:sz w:val="17"/>
              </w:rPr>
              <w:t>Salary / payroll growth</w:t>
            </w:r>
          </w:p>
        </w:tc>
        <w:tc>
          <w:tcPr>
            <w:tcW w:type="dxa" w:w="1440"/>
          </w:tcPr>
          <w:p>
            <w:pPr>
              <w:spacing w:before="20" w:after="20"/>
              <w:jc w:val="left"/>
            </w:pPr>
            <w:r>
              <w:rPr>
                <w:b/>
                <w:sz w:val="17"/>
              </w:rPr>
              <w:t>3.0%</w:t>
            </w:r>
          </w:p>
        </w:tc>
        <w:tc>
          <w:tcPr>
            <w:tcW w:type="dxa" w:w="1440"/>
          </w:tcPr>
          <w:p>
            <w:pPr>
              <w:spacing w:before="20" w:after="20"/>
              <w:jc w:val="left"/>
            </w:pPr>
            <w:r>
              <w:rPr>
                <w:b/>
                <w:sz w:val="17"/>
              </w:rPr>
              <w:t>OFFICIAL — F-55</w:t>
            </w:r>
            <w:r>
              <w:rPr>
                <w:sz w:val="17"/>
              </w:rPr>
              <w:t xml:space="preserve"> (2.5% VaLORS). Corroborated by F-35 (2.9% historical)</w:t>
            </w:r>
          </w:p>
        </w:tc>
        <w:tc>
          <w:tcPr>
            <w:tcW w:type="dxa" w:w="1440"/>
          </w:tcPr>
          <w:p>
            <w:pPr>
              <w:spacing w:before="20" w:after="20"/>
              <w:jc w:val="left"/>
            </w:pPr>
            <w:r>
              <w:rPr>
                <w:sz w:val="17"/>
              </w:rPr>
              <w:t>2.5%–4.0%</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A-05</w:t>
            </w:r>
          </w:p>
        </w:tc>
        <w:tc>
          <w:tcPr>
            <w:tcW w:type="dxa" w:w="1440"/>
          </w:tcPr>
          <w:p>
            <w:pPr>
              <w:spacing w:before="20" w:after="20"/>
              <w:jc w:val="left"/>
            </w:pPr>
            <w:r>
              <w:rPr>
                <w:sz w:val="17"/>
              </w:rPr>
              <w:t>Retirement age, Plan 2 and Hybrid</w:t>
            </w:r>
          </w:p>
        </w:tc>
        <w:tc>
          <w:tcPr>
            <w:tcW w:type="dxa" w:w="1440"/>
          </w:tcPr>
          <w:p>
            <w:pPr>
              <w:spacing w:before="20" w:after="20"/>
              <w:jc w:val="left"/>
            </w:pPr>
            <w:r>
              <w:rPr>
                <w:sz w:val="17"/>
              </w:rPr>
              <w:t>Modelled from the member's own unreduced-eligibility date</w:t>
            </w:r>
          </w:p>
        </w:tc>
        <w:tc>
          <w:tcPr>
            <w:tcW w:type="dxa" w:w="1440"/>
          </w:tcPr>
          <w:p>
            <w:pPr>
              <w:spacing w:before="20" w:after="20"/>
              <w:jc w:val="left"/>
            </w:pPr>
            <w:r>
              <w:rPr>
                <w:sz w:val="17"/>
              </w:rPr>
              <w:t>F-07 (SSA NRA); § 51.1-153 B 3</w:t>
            </w:r>
          </w:p>
        </w:tc>
        <w:tc>
          <w:tcPr>
            <w:tcW w:type="dxa" w:w="1440"/>
          </w:tcPr>
          <w:p>
            <w:pPr>
              <w:spacing w:before="20" w:after="20"/>
              <w:jc w:val="left"/>
            </w:pPr>
            <w:r>
              <w:rPr>
                <w:sz w:val="17"/>
              </w:rPr>
              <w:t xml:space="preserve">Earlier eligibility </w:t>
            </w:r>
            <w:r>
              <w:rPr>
                <w:b/>
                <w:sz w:val="17"/>
              </w:rPr>
              <w:t>raises</w:t>
            </w:r>
            <w:r>
              <w:rPr>
                <w:sz w:val="17"/>
              </w:rPr>
              <w:t xml:space="preserve"> cost; this is the acceleration channel, priced at FM-4 § 4.2</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A-06</w:t>
            </w:r>
          </w:p>
        </w:tc>
        <w:tc>
          <w:tcPr>
            <w:tcW w:type="dxa" w:w="1440"/>
          </w:tcPr>
          <w:p>
            <w:pPr>
              <w:spacing w:before="20" w:after="20"/>
              <w:jc w:val="left"/>
            </w:pPr>
            <w:r>
              <w:rPr>
                <w:sz w:val="17"/>
              </w:rPr>
              <w:t>Retirement age, Plan 1 cohort</w:t>
            </w:r>
          </w:p>
        </w:tc>
        <w:tc>
          <w:tcPr>
            <w:tcW w:type="dxa" w:w="1440"/>
          </w:tcPr>
          <w:p>
            <w:pPr>
              <w:spacing w:before="20" w:after="20"/>
              <w:jc w:val="left"/>
            </w:pPr>
            <w:r>
              <w:rPr>
                <w:sz w:val="17"/>
              </w:rPr>
              <w:t>Modelled from the member's own unreduced-eligibility date</w:t>
            </w:r>
          </w:p>
        </w:tc>
        <w:tc>
          <w:tcPr>
            <w:tcW w:type="dxa" w:w="1440"/>
          </w:tcPr>
          <w:p>
            <w:pPr>
              <w:spacing w:before="20" w:after="20"/>
              <w:jc w:val="left"/>
            </w:pPr>
            <w:r>
              <w:rPr>
                <w:sz w:val="17"/>
              </w:rPr>
              <w:t>F-07; § 51.1-153 B 1</w:t>
            </w:r>
          </w:p>
        </w:tc>
        <w:tc>
          <w:tcPr>
            <w:tcW w:type="dxa" w:w="1440"/>
          </w:tcPr>
          <w:p>
            <w:pPr>
              <w:spacing w:before="20" w:after="20"/>
              <w:jc w:val="left"/>
            </w:pPr>
            <w:r>
              <w:rPr>
                <w:sz w:val="17"/>
              </w:rPr>
              <w:t>as above</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A-07</w:t>
            </w:r>
          </w:p>
        </w:tc>
        <w:tc>
          <w:tcPr>
            <w:tcW w:type="dxa" w:w="1440"/>
          </w:tcPr>
          <w:p>
            <w:pPr>
              <w:spacing w:before="20" w:after="20"/>
              <w:jc w:val="left"/>
            </w:pPr>
            <w:r>
              <w:rPr>
                <w:sz w:val="17"/>
              </w:rPr>
              <w:t>Annuity basis</w:t>
            </w:r>
          </w:p>
        </w:tc>
        <w:tc>
          <w:tcPr>
            <w:tcW w:type="dxa" w:w="1440"/>
          </w:tcPr>
          <w:p>
            <w:pPr>
              <w:spacing w:before="20" w:after="20"/>
              <w:jc w:val="left"/>
            </w:pPr>
            <w:r>
              <w:rPr>
                <w:sz w:val="17"/>
              </w:rPr>
              <w:t xml:space="preserve">Level-COLA </w:t>
            </w:r>
            <w:r>
              <w:rPr>
                <w:b/>
                <w:sz w:val="17"/>
              </w:rPr>
              <w:t>annuity-certain to age 87</w:t>
            </w:r>
          </w:p>
        </w:tc>
        <w:tc>
          <w:tcPr>
            <w:tcW w:type="dxa" w:w="1440"/>
          </w:tcPr>
          <w:p>
            <w:pPr>
              <w:spacing w:before="20" w:after="20"/>
              <w:jc w:val="left"/>
            </w:pPr>
            <w:r>
              <w:rPr>
                <w:b/>
                <w:sz w:val="17"/>
              </w:rPr>
              <w:t>ESTIMATE — not a VRS mortality table.</w:t>
            </w:r>
            <w:r>
              <w:rPr>
                <w:sz w:val="17"/>
              </w:rPr>
              <w:t xml:space="preserve"> Reconciles to within ~3% of the v1.1 factors it replaces; see § 7.3</w:t>
            </w:r>
          </w:p>
        </w:tc>
        <w:tc>
          <w:tcPr>
            <w:tcW w:type="dxa" w:w="1440"/>
          </w:tcPr>
          <w:p>
            <w:pPr>
              <w:spacing w:before="20" w:after="20"/>
              <w:jc w:val="left"/>
            </w:pPr>
            <w:r>
              <w:rPr>
                <w:sz w:val="17"/>
              </w:rPr>
              <w:t xml:space="preserve">Terminal age 84 / 87 / 90 moves the AEC/ANC </w:t>
            </w:r>
            <w:r>
              <w:rPr>
                <w:b/>
                <w:sz w:val="17"/>
              </w:rPr>
              <w:t>multiple</w:t>
            </w:r>
            <w:r>
              <w:rPr>
                <w:sz w:val="17"/>
              </w:rPr>
              <w:t xml:space="preserve"> by roughly −10% / +9%; the multiple is far more stable than the dollar level (§ 3.4)</w:t>
            </w:r>
          </w:p>
        </w:tc>
        <w:tc>
          <w:tcPr>
            <w:tcW w:type="dxa" w:w="1440"/>
          </w:tcPr>
          <w:p>
            <w:pPr>
              <w:spacing w:before="20" w:after="20"/>
              <w:jc w:val="left"/>
            </w:pPr>
            <w:r>
              <w:rPr>
                <w:sz w:val="17"/>
              </w:rPr>
              <w:t>VRS actuary</w:t>
            </w:r>
          </w:p>
        </w:tc>
      </w:tr>
      <w:tr>
        <w:tc>
          <w:tcPr>
            <w:tcW w:type="dxa" w:w="1440"/>
          </w:tcPr>
          <w:p>
            <w:pPr>
              <w:spacing w:before="20" w:after="20"/>
              <w:jc w:val="left"/>
            </w:pPr>
            <w:r>
              <w:rPr>
                <w:sz w:val="17"/>
              </w:rPr>
              <w:t>A-16</w:t>
            </w:r>
          </w:p>
        </w:tc>
        <w:tc>
          <w:tcPr>
            <w:tcW w:type="dxa" w:w="1440"/>
          </w:tcPr>
          <w:p>
            <w:pPr>
              <w:spacing w:before="20" w:after="20"/>
              <w:jc w:val="left"/>
            </w:pPr>
            <w:r>
              <w:rPr>
                <w:sz w:val="17"/>
              </w:rPr>
              <w:t>Combined member + employer normal cost, used to price recommendation A-1</w:t>
            </w:r>
          </w:p>
        </w:tc>
        <w:tc>
          <w:tcPr>
            <w:tcW w:type="dxa" w:w="1440"/>
          </w:tcPr>
          <w:p>
            <w:pPr>
              <w:spacing w:before="20" w:after="20"/>
              <w:jc w:val="left"/>
            </w:pPr>
            <w:r>
              <w:rPr>
                <w:b/>
                <w:sz w:val="17"/>
              </w:rPr>
              <w:t>OFFICIAL — F-54</w:t>
            </w:r>
            <w:r>
              <w:rPr>
                <w:sz w:val="17"/>
              </w:rPr>
              <w:t>, State Employees 8.73%</w:t>
            </w:r>
          </w:p>
        </w:tc>
        <w:tc>
          <w:tcPr>
            <w:tcW w:type="dxa" w:w="1440"/>
          </w:tcPr>
          <w:p>
            <w:pPr>
              <w:spacing w:before="20" w:after="20"/>
              <w:jc w:val="left"/>
            </w:pPr>
            <w:r>
              <w:rPr>
                <w:sz w:val="17"/>
              </w:rPr>
              <w:t>Applied to early-career pay and carried forward at a statutory interest rate, per A-1 as described in Annex A, § 6</w:t>
            </w:r>
          </w:p>
        </w:tc>
        <w:tc>
          <w:tcPr>
            <w:tcW w:type="dxa" w:w="1440"/>
          </w:tcPr>
          <w:p>
            <w:pPr>
              <w:spacing w:before="20" w:after="20"/>
              <w:jc w:val="left"/>
            </w:pPr>
            <w:r>
              <w:rPr>
                <w:b/>
                <w:sz w:val="17"/>
              </w:rPr>
              <w:t>A-1's whole character turns on that statutory interest rate, which is a drafting choice rather than an actuarial one.</w:t>
            </w:r>
            <w:r>
              <w:rPr>
                <w:sz w:val="17"/>
              </w:rPr>
              <w:t xml:space="preserve"> At 4% A-1 is cheaper to the veteran than A-3; at 6.75% it is nearly double, and for both Hybrid profiles it over-recovers — the price exceeds the entire modelled value of the credit</w:t>
            </w:r>
          </w:p>
        </w:tc>
        <w:tc>
          <w:tcPr>
            <w:tcW w:type="dxa" w:w="1440"/>
          </w:tcPr>
          <w:p>
            <w:pPr>
              <w:spacing w:before="20" w:after="20"/>
              <w:jc w:val="left"/>
            </w:pPr>
            <w:r>
              <w:rPr>
                <w:sz w:val="17"/>
              </w:rPr>
              <w:t>Legislative Services; FM-4 § 4.3</w:t>
            </w:r>
          </w:p>
        </w:tc>
      </w:tr>
    </w:tbl>
    <w:p>
      <w:pPr>
        <w:spacing w:before="0" w:after="0" w:line="80" w:lineRule="exact"/>
      </w:pPr>
      <w:r>
        <w:rPr>
          <w:sz w:val="8"/>
        </w:rPr>
      </w:r>
    </w:p>
    <w:p>
      <w:pPr>
        <w:spacing w:before="120" w:after="120"/>
        <w:ind w:left="480"/>
      </w:pPr>
      <w:r>
        <w:rPr>
          <w:b/>
          <w:i/>
          <w:color w:val="444444"/>
          <w:sz w:val="20"/>
        </w:rPr>
        <w:t>A-05 and A-06 changed in substance, not merely in value.</w:t>
      </w:r>
      <w:r>
        <w:rPr>
          <w:i/>
          <w:color w:val="444444"/>
          <w:sz w:val="20"/>
        </w:rPr>
        <w:t xml:space="preserve"> v1.1 used flat retirement ages of 67 and 65. The live model derives each profile's unreduced-eligibility date and then moves it, because that movement </w:t>
      </w:r>
      <w:r>
        <w:rPr>
          <w:i/>
          <w:color w:val="444444"/>
          <w:sz w:val="20"/>
        </w:rPr>
        <w:t>is</w:t>
      </w:r>
      <w:r>
        <w:rPr>
          <w:i/>
          <w:color w:val="444444"/>
          <w:sz w:val="20"/>
        </w:rPr>
        <w:t xml:space="preserve"> the dominant cost channel. A flat retirement age cannot price acceleration at all, which is the larger half of why v1.1's total was too low.</w:t>
      </w:r>
    </w:p>
    <w:p>
      <w:pPr>
        <w:pStyle w:val="Heading3"/>
      </w:pPr>
      <w:r>
        <w:t>2.2 Population, take-up and allocation assumptions</w:t>
      </w:r>
    </w:p>
    <w:p>
      <w:r>
        <w:t xml:space="preserve">These govern the cost figures. </w:t>
      </w:r>
      <w:r>
        <w:rPr>
          <w:b/>
        </w:rPr>
        <w:t>The figures themselves are in Annex 2 Closure.</w:t>
      </w:r>
      <w:r>
        <w:t xml:space="preserve"> They are registered here so that every judgment in the model can be found in one place.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ID</w:t>
            </w:r>
          </w:p>
        </w:tc>
        <w:tc>
          <w:tcPr>
            <w:tcW w:type="dxa" w:w="1234"/>
          </w:tcPr>
          <w:p>
            <w:pPr>
              <w:spacing w:before="20" w:after="20"/>
              <w:jc w:val="left"/>
            </w:pPr>
            <w:r>
              <w:rPr>
                <w:b/>
                <w:sz w:val="17"/>
              </w:rPr>
              <w:t>Variable</w:t>
            </w:r>
          </w:p>
        </w:tc>
        <w:tc>
          <w:tcPr>
            <w:tcW w:type="dxa" w:w="1234"/>
          </w:tcPr>
          <w:p>
            <w:pPr>
              <w:spacing w:before="20" w:after="20"/>
              <w:jc w:val="left"/>
            </w:pPr>
            <w:r>
              <w:rPr>
                <w:b/>
                <w:sz w:val="17"/>
              </w:rPr>
              <w:t>Value / band</w:t>
            </w:r>
          </w:p>
        </w:tc>
        <w:tc>
          <w:tcPr>
            <w:tcW w:type="dxa" w:w="1234"/>
          </w:tcPr>
          <w:p>
            <w:pPr>
              <w:spacing w:before="20" w:after="20"/>
              <w:jc w:val="left"/>
            </w:pPr>
            <w:r>
              <w:rPr>
                <w:b/>
                <w:sz w:val="17"/>
              </w:rPr>
              <w:t>Basis</w:t>
            </w:r>
          </w:p>
        </w:tc>
        <w:tc>
          <w:tcPr>
            <w:tcW w:type="dxa" w:w="1234"/>
          </w:tcPr>
          <w:p>
            <w:pPr>
              <w:spacing w:before="20" w:after="20"/>
              <w:jc w:val="left"/>
            </w:pPr>
            <w:r>
              <w:rPr>
                <w:b/>
                <w:sz w:val="17"/>
              </w:rPr>
              <w:t>Sensitivity</w:t>
            </w:r>
          </w:p>
        </w:tc>
        <w:tc>
          <w:tcPr>
            <w:tcW w:type="dxa" w:w="1234"/>
          </w:tcPr>
          <w:p>
            <w:pPr>
              <w:spacing w:before="20" w:after="20"/>
              <w:jc w:val="left"/>
            </w:pPr>
            <w:r>
              <w:rPr>
                <w:b/>
                <w:sz w:val="17"/>
              </w:rPr>
              <w:t>Owner</w:t>
            </w:r>
          </w:p>
        </w:tc>
        <w:tc>
          <w:tcPr>
            <w:tcW w:type="dxa" w:w="1234"/>
          </w:tcPr>
          <w:p>
            <w:pPr>
              <w:spacing w:before="20" w:after="20"/>
              <w:jc w:val="left"/>
            </w:pPr>
            <w:r>
              <w:rPr>
                <w:b/>
                <w:sz w:val="17"/>
              </w:rPr>
              <w:t>Figure lives at</w:t>
            </w:r>
          </w:p>
        </w:tc>
      </w:tr>
      <w:tr>
        <w:tc>
          <w:tcPr>
            <w:tcW w:type="dxa" w:w="1234"/>
          </w:tcPr>
          <w:p>
            <w:pPr>
              <w:spacing w:before="20" w:after="20"/>
              <w:jc w:val="left"/>
            </w:pPr>
            <w:r>
              <w:rPr>
                <w:sz w:val="17"/>
              </w:rPr>
              <w:t>A-17</w:t>
            </w:r>
          </w:p>
        </w:tc>
        <w:tc>
          <w:tcPr>
            <w:tcW w:type="dxa" w:w="1234"/>
          </w:tcPr>
          <w:p>
            <w:pPr>
              <w:spacing w:before="20" w:after="20"/>
              <w:jc w:val="left"/>
            </w:pPr>
            <w:r>
              <w:rPr>
                <w:sz w:val="17"/>
              </w:rPr>
              <w:t xml:space="preserve">Members past the 24-month window, </w:t>
            </w:r>
            <w:r>
              <w:rPr>
                <w:b/>
                <w:sz w:val="17"/>
              </w:rPr>
              <w:t>Plan 1</w:t>
            </w:r>
          </w:p>
        </w:tc>
        <w:tc>
          <w:tcPr>
            <w:tcW w:type="dxa" w:w="1234"/>
          </w:tcPr>
          <w:p>
            <w:pPr>
              <w:spacing w:before="20" w:after="20"/>
              <w:jc w:val="left"/>
            </w:pPr>
            <w:r>
              <w:rPr>
                <w:b/>
                <w:sz w:val="17"/>
              </w:rPr>
              <w:t>All 110,474</w:t>
            </w:r>
          </w:p>
        </w:tc>
        <w:tc>
          <w:tcPr>
            <w:tcW w:type="dxa" w:w="1234"/>
          </w:tcPr>
          <w:p>
            <w:pPr>
              <w:spacing w:before="20" w:after="20"/>
              <w:jc w:val="left"/>
            </w:pPr>
            <w:r>
              <w:rPr>
                <w:b/>
                <w:sz w:val="17"/>
              </w:rPr>
              <w:t>Not an estimate.</w:t>
            </w:r>
            <w:r>
              <w:rPr>
                <w:sz w:val="17"/>
              </w:rPr>
              <w:t xml:space="preserve"> F-39 + F-04: a Plan 1 membership date precedes 7/1/2010, so the window closed as a matter of law. A floor, not a point estimate, because the window runs on active service</w:t>
            </w:r>
          </w:p>
        </w:tc>
        <w:tc>
          <w:tcPr>
            <w:tcW w:type="dxa" w:w="1234"/>
          </w:tcPr>
          <w:p>
            <w:pPr>
              <w:spacing w:before="20" w:after="20"/>
              <w:jc w:val="left"/>
            </w:pPr>
            <w:r>
              <w:rPr>
                <w:sz w:val="17"/>
              </w:rPr>
              <w:t>None. This is the most defensible population statement in the package</w:t>
            </w:r>
          </w:p>
        </w:tc>
        <w:tc>
          <w:tcPr>
            <w:tcW w:type="dxa" w:w="1234"/>
          </w:tcPr>
          <w:p>
            <w:pPr>
              <w:spacing w:before="20" w:after="20"/>
              <w:jc w:val="left"/>
            </w:pPr>
            <w:r>
              <w:rPr>
                <w:sz w:val="17"/>
              </w:rPr>
              <w:t>—</w:t>
            </w:r>
          </w:p>
        </w:tc>
        <w:tc>
          <w:tcPr>
            <w:tcW w:type="dxa" w:w="1234"/>
          </w:tcPr>
          <w:p>
            <w:pPr>
              <w:spacing w:before="20" w:after="20"/>
              <w:jc w:val="left"/>
            </w:pPr>
            <w:r>
              <w:rPr>
                <w:sz w:val="17"/>
              </w:rPr>
              <w:t>FM-1 § 1.2</w:t>
            </w:r>
          </w:p>
        </w:tc>
      </w:tr>
      <w:tr>
        <w:tc>
          <w:tcPr>
            <w:tcW w:type="dxa" w:w="1234"/>
          </w:tcPr>
          <w:p>
            <w:pPr>
              <w:spacing w:before="20" w:after="20"/>
              <w:jc w:val="left"/>
            </w:pPr>
            <w:r>
              <w:rPr>
                <w:sz w:val="17"/>
              </w:rPr>
              <w:t>A-18</w:t>
            </w:r>
          </w:p>
        </w:tc>
        <w:tc>
          <w:tcPr>
            <w:tcW w:type="dxa" w:w="1234"/>
          </w:tcPr>
          <w:p>
            <w:pPr>
              <w:spacing w:before="20" w:after="20"/>
              <w:jc w:val="left"/>
            </w:pPr>
            <w:r>
              <w:rPr>
                <w:sz w:val="17"/>
              </w:rPr>
              <w:t xml:space="preserve">Share of </w:t>
            </w:r>
            <w:r>
              <w:rPr>
                <w:b/>
                <w:sz w:val="17"/>
              </w:rPr>
              <w:t>non-vested</w:t>
            </w:r>
            <w:r>
              <w:rPr>
                <w:sz w:val="17"/>
              </w:rPr>
              <w:t xml:space="preserve"> members still inside the window</w:t>
            </w:r>
          </w:p>
        </w:tc>
        <w:tc>
          <w:tcPr>
            <w:tcW w:type="dxa" w:w="1234"/>
          </w:tcPr>
          <w:p>
            <w:pPr>
              <w:spacing w:before="20" w:after="20"/>
              <w:jc w:val="left"/>
            </w:pPr>
            <w:r>
              <w:rPr>
                <w:b/>
                <w:sz w:val="17"/>
              </w:rPr>
              <w:t>40% – 60%</w:t>
            </w:r>
          </w:p>
        </w:tc>
        <w:tc>
          <w:tcPr>
            <w:tcW w:type="dxa" w:w="1234"/>
          </w:tcPr>
          <w:p>
            <w:pPr>
              <w:spacing w:before="20" w:after="20"/>
              <w:jc w:val="left"/>
            </w:pPr>
            <w:r>
              <w:rPr>
                <w:sz w:val="17"/>
              </w:rPr>
              <w:t>ESTIMATE. Low = service spread uniformly over years 0–5; high = front-loaded, which is what withdrawal decrements actually produce</w:t>
            </w:r>
          </w:p>
        </w:tc>
        <w:tc>
          <w:tcPr>
            <w:tcW w:type="dxa" w:w="1234"/>
          </w:tcPr>
          <w:p>
            <w:pPr>
              <w:spacing w:before="20" w:after="20"/>
              <w:jc w:val="left"/>
            </w:pPr>
            <w:r>
              <w:rPr>
                <w:sz w:val="17"/>
              </w:rPr>
              <w:t>Moves the past-window total between 77.8% and 85.2% of actives</w:t>
            </w:r>
          </w:p>
        </w:tc>
        <w:tc>
          <w:tcPr>
            <w:tcW w:type="dxa" w:w="1234"/>
          </w:tcPr>
          <w:p>
            <w:pPr>
              <w:spacing w:before="20" w:after="20"/>
              <w:jc w:val="left"/>
            </w:pPr>
            <w:r>
              <w:rPr>
                <w:sz w:val="17"/>
              </w:rPr>
              <w:t>JLCVSO</w:t>
            </w:r>
          </w:p>
        </w:tc>
        <w:tc>
          <w:tcPr>
            <w:tcW w:type="dxa" w:w="1234"/>
          </w:tcPr>
          <w:p>
            <w:pPr>
              <w:spacing w:before="20" w:after="20"/>
              <w:jc w:val="left"/>
            </w:pPr>
            <w:r>
              <w:rPr>
                <w:sz w:val="17"/>
              </w:rPr>
              <w:t>FM-1 § 1.5</w:t>
            </w:r>
          </w:p>
        </w:tc>
      </w:tr>
      <w:tr>
        <w:tc>
          <w:tcPr>
            <w:tcW w:type="dxa" w:w="1234"/>
          </w:tcPr>
          <w:p>
            <w:pPr>
              <w:spacing w:before="20" w:after="20"/>
              <w:jc w:val="left"/>
            </w:pPr>
            <w:r>
              <w:rPr>
                <w:sz w:val="17"/>
              </w:rPr>
              <w:t>A-19</w:t>
            </w:r>
          </w:p>
        </w:tc>
        <w:tc>
          <w:tcPr>
            <w:tcW w:type="dxa" w:w="1234"/>
          </w:tcPr>
          <w:p>
            <w:pPr>
              <w:spacing w:before="20" w:after="20"/>
              <w:jc w:val="left"/>
            </w:pPr>
            <w:r>
              <w:rPr>
                <w:sz w:val="17"/>
              </w:rPr>
              <w:t>Veteran share, by employer group</w:t>
            </w:r>
          </w:p>
        </w:tc>
        <w:tc>
          <w:tcPr>
            <w:tcW w:type="dxa" w:w="1234"/>
          </w:tcPr>
          <w:p>
            <w:pPr>
              <w:spacing w:before="20" w:after="20"/>
              <w:jc w:val="left"/>
            </w:pPr>
            <w:r>
              <w:rPr>
                <w:sz w:val="17"/>
              </w:rPr>
              <w:t>State 6.0–9.9%; Teachers 2.3–5.4%; Pol. Subdivisions 5.7–9.9%; SPORS/VaLORS 9.9–25.0%; JRS 2.3–9.9%</w:t>
            </w:r>
          </w:p>
        </w:tc>
        <w:tc>
          <w:tcPr>
            <w:tcW w:type="dxa" w:w="1234"/>
          </w:tcPr>
          <w:p>
            <w:pPr>
              <w:spacing w:before="20" w:after="20"/>
              <w:jc w:val="left"/>
            </w:pPr>
            <w:r>
              <w:rPr>
                <w:sz w:val="17"/>
              </w:rPr>
              <w:t xml:space="preserve">Lows OFFICIAL (F-31, F-59) or derived from F-57; highs apply the Virginia uplift derived from F-58. </w:t>
            </w:r>
            <w:r>
              <w:rPr>
                <w:b/>
                <w:sz w:val="17"/>
              </w:rPr>
              <w:t>SPORS/VaLORS is the weakest band in the package</w:t>
            </w:r>
          </w:p>
        </w:tc>
        <w:tc>
          <w:tcPr>
            <w:tcW w:type="dxa" w:w="1234"/>
          </w:tcPr>
          <w:p>
            <w:pPr>
              <w:spacing w:before="20" w:after="20"/>
              <w:jc w:val="left"/>
            </w:pPr>
            <w:r>
              <w:rPr>
                <w:sz w:val="17"/>
              </w:rPr>
              <w:t>Drives most of the ~2.5× width of the eligible pool</w:t>
            </w:r>
          </w:p>
        </w:tc>
        <w:tc>
          <w:tcPr>
            <w:tcW w:type="dxa" w:w="1234"/>
          </w:tcPr>
          <w:p>
            <w:pPr>
              <w:spacing w:before="20" w:after="20"/>
              <w:jc w:val="left"/>
            </w:pPr>
            <w:r>
              <w:rPr>
                <w:sz w:val="17"/>
              </w:rPr>
              <w:t>VRS / JLCVSO</w:t>
            </w:r>
          </w:p>
        </w:tc>
        <w:tc>
          <w:tcPr>
            <w:tcW w:type="dxa" w:w="1234"/>
          </w:tcPr>
          <w:p>
            <w:pPr>
              <w:spacing w:before="20" w:after="20"/>
              <w:jc w:val="left"/>
            </w:pPr>
            <w:r>
              <w:rPr>
                <w:sz w:val="17"/>
              </w:rPr>
              <w:t>FM-1 § 1.4</w:t>
            </w:r>
          </w:p>
        </w:tc>
      </w:tr>
      <w:tr>
        <w:tc>
          <w:tcPr>
            <w:tcW w:type="dxa" w:w="1234"/>
          </w:tcPr>
          <w:p>
            <w:pPr>
              <w:spacing w:before="20" w:after="20"/>
              <w:jc w:val="left"/>
            </w:pPr>
            <w:r>
              <w:rPr>
                <w:sz w:val="17"/>
              </w:rPr>
              <w:t>A-20</w:t>
            </w:r>
          </w:p>
        </w:tc>
        <w:tc>
          <w:tcPr>
            <w:tcW w:type="dxa" w:w="1234"/>
          </w:tcPr>
          <w:p>
            <w:pPr>
              <w:spacing w:before="20" w:after="20"/>
              <w:jc w:val="left"/>
            </w:pPr>
            <w:r>
              <w:rPr>
                <w:sz w:val="17"/>
              </w:rPr>
              <w:t>Share holding ≥1 year of qualifying active duty (the F-03 180-day test)</w:t>
            </w:r>
          </w:p>
        </w:tc>
        <w:tc>
          <w:tcPr>
            <w:tcW w:type="dxa" w:w="1234"/>
          </w:tcPr>
          <w:p>
            <w:pPr>
              <w:spacing w:before="20" w:after="20"/>
              <w:jc w:val="left"/>
            </w:pPr>
            <w:r>
              <w:rPr>
                <w:b/>
                <w:sz w:val="17"/>
              </w:rPr>
              <w:t>90%</w:t>
            </w:r>
          </w:p>
        </w:tc>
        <w:tc>
          <w:tcPr>
            <w:tcW w:type="dxa" w:w="1234"/>
          </w:tcPr>
          <w:p>
            <w:pPr>
              <w:spacing w:before="20" w:after="20"/>
              <w:jc w:val="left"/>
            </w:pPr>
            <w:r>
              <w:rPr>
                <w:sz w:val="17"/>
              </w:rPr>
              <w:t>ESTIMATE. Judgment; most veterans meet a 180-consecutive-day test</w:t>
            </w:r>
          </w:p>
        </w:tc>
        <w:tc>
          <w:tcPr>
            <w:tcW w:type="dxa" w:w="1234"/>
          </w:tcPr>
          <w:p>
            <w:pPr>
              <w:spacing w:before="20" w:after="20"/>
              <w:jc w:val="left"/>
            </w:pPr>
            <w:r>
              <w:rPr>
                <w:sz w:val="17"/>
              </w:rPr>
              <w:t>80%–95%, roughly ±6% on the pool</w:t>
            </w:r>
          </w:p>
        </w:tc>
        <w:tc>
          <w:tcPr>
            <w:tcW w:type="dxa" w:w="1234"/>
          </w:tcPr>
          <w:p>
            <w:pPr>
              <w:spacing w:before="20" w:after="20"/>
              <w:jc w:val="left"/>
            </w:pPr>
            <w:r>
              <w:rPr>
                <w:sz w:val="17"/>
              </w:rPr>
              <w:t>JLCVSO</w:t>
            </w:r>
          </w:p>
        </w:tc>
        <w:tc>
          <w:tcPr>
            <w:tcW w:type="dxa" w:w="1234"/>
          </w:tcPr>
          <w:p>
            <w:pPr>
              <w:spacing w:before="20" w:after="20"/>
              <w:jc w:val="left"/>
            </w:pPr>
            <w:r>
              <w:rPr>
                <w:sz w:val="17"/>
              </w:rPr>
              <w:t>FM-1 § 1.6</w:t>
            </w:r>
          </w:p>
        </w:tc>
      </w:tr>
      <w:tr>
        <w:tc>
          <w:tcPr>
            <w:tcW w:type="dxa" w:w="1234"/>
          </w:tcPr>
          <w:p>
            <w:pPr>
              <w:spacing w:before="20" w:after="20"/>
              <w:jc w:val="left"/>
            </w:pPr>
            <w:r>
              <w:rPr>
                <w:sz w:val="17"/>
              </w:rPr>
              <w:t>A-21</w:t>
            </w:r>
          </w:p>
        </w:tc>
        <w:tc>
          <w:tcPr>
            <w:tcW w:type="dxa" w:w="1234"/>
          </w:tcPr>
          <w:p>
            <w:pPr>
              <w:spacing w:before="20" w:after="20"/>
              <w:jc w:val="left"/>
            </w:pPr>
            <w:r>
              <w:rPr>
                <w:sz w:val="17"/>
              </w:rPr>
              <w:t>Allocation of the eligible pool across plans</w:t>
            </w:r>
          </w:p>
        </w:tc>
        <w:tc>
          <w:tcPr>
            <w:tcW w:type="dxa" w:w="1234"/>
          </w:tcPr>
          <w:p>
            <w:pPr>
              <w:spacing w:before="20" w:after="20"/>
              <w:jc w:val="left"/>
            </w:pPr>
            <w:r>
              <w:rPr>
                <w:sz w:val="17"/>
              </w:rPr>
              <w:t xml:space="preserve">Effective rate applied </w:t>
            </w:r>
            <w:r>
              <w:rPr>
                <w:b/>
                <w:sz w:val="17"/>
              </w:rPr>
              <w:t>uniformly</w:t>
            </w:r>
            <w:r>
              <w:rPr>
                <w:sz w:val="17"/>
              </w:rPr>
              <w:t xml:space="preserve"> across plans</w:t>
            </w:r>
          </w:p>
        </w:tc>
        <w:tc>
          <w:tcPr>
            <w:tcW w:type="dxa" w:w="1234"/>
          </w:tcPr>
          <w:p>
            <w:pPr>
              <w:spacing w:before="20" w:after="20"/>
              <w:jc w:val="left"/>
            </w:pPr>
            <w:r>
              <w:rPr>
                <w:sz w:val="17"/>
              </w:rPr>
              <w:t xml:space="preserve">ESTIMATE. Over-weights Hybrid and under-weights Plan 1, because veterans enter public service mid-career — so it is </w:t>
            </w:r>
            <w:r>
              <w:rPr>
                <w:b/>
                <w:sz w:val="17"/>
              </w:rPr>
              <w:t>conservative</w:t>
            </w:r>
            <w:r>
              <w:rPr>
                <w:sz w:val="17"/>
              </w:rPr>
              <w:t>, Plan 1 being the costliest plan per purchaser</w:t>
            </w:r>
          </w:p>
        </w:tc>
        <w:tc>
          <w:tcPr>
            <w:tcW w:type="dxa" w:w="1234"/>
          </w:tcPr>
          <w:p>
            <w:pPr>
              <w:spacing w:before="20" w:after="20"/>
              <w:jc w:val="left"/>
            </w:pPr>
            <w:r>
              <w:rPr>
                <w:sz w:val="17"/>
              </w:rPr>
              <w:t>Directional; correcting it raises the total</w:t>
            </w:r>
          </w:p>
        </w:tc>
        <w:tc>
          <w:tcPr>
            <w:tcW w:type="dxa" w:w="1234"/>
          </w:tcPr>
          <w:p>
            <w:pPr>
              <w:spacing w:before="20" w:after="20"/>
              <w:jc w:val="left"/>
            </w:pPr>
            <w:r>
              <w:rPr>
                <w:sz w:val="17"/>
              </w:rPr>
              <w:t>VRS (data request item 1)</w:t>
            </w:r>
          </w:p>
        </w:tc>
        <w:tc>
          <w:tcPr>
            <w:tcW w:type="dxa" w:w="1234"/>
          </w:tcPr>
          <w:p>
            <w:pPr>
              <w:spacing w:before="20" w:after="20"/>
              <w:jc w:val="left"/>
            </w:pPr>
            <w:r>
              <w:rPr>
                <w:sz w:val="17"/>
              </w:rPr>
              <w:t>FM-1 § 1.6</w:t>
            </w:r>
          </w:p>
        </w:tc>
      </w:tr>
      <w:tr>
        <w:tc>
          <w:tcPr>
            <w:tcW w:type="dxa" w:w="1234"/>
          </w:tcPr>
          <w:p>
            <w:pPr>
              <w:spacing w:before="20" w:after="20"/>
              <w:jc w:val="left"/>
            </w:pPr>
            <w:r>
              <w:rPr>
                <w:sz w:val="17"/>
              </w:rPr>
              <w:t>A-22</w:t>
            </w:r>
          </w:p>
        </w:tc>
        <w:tc>
          <w:tcPr>
            <w:tcW w:type="dxa" w:w="1234"/>
          </w:tcPr>
          <w:p>
            <w:pPr>
              <w:spacing w:before="20" w:after="20"/>
              <w:jc w:val="left"/>
            </w:pPr>
            <w:r>
              <w:rPr>
                <w:b/>
                <w:sz w:val="17"/>
              </w:rPr>
              <w:t>Take-up over 5 years among eligible members</w:t>
            </w:r>
          </w:p>
        </w:tc>
        <w:tc>
          <w:tcPr>
            <w:tcW w:type="dxa" w:w="1234"/>
          </w:tcPr>
          <w:p>
            <w:pPr>
              <w:spacing w:before="20" w:after="20"/>
              <w:jc w:val="left"/>
            </w:pPr>
            <w:r>
              <w:rPr>
                <w:b/>
                <w:sz w:val="17"/>
              </w:rPr>
              <w:t>10% – 30%</w:t>
            </w:r>
            <w:r>
              <w:rPr>
                <w:sz w:val="17"/>
              </w:rPr>
              <w:t xml:space="preserve"> scenario set (Low / Moderate / High), with a </w:t>
            </w:r>
            <w:r>
              <w:rPr>
                <w:b/>
                <w:sz w:val="17"/>
              </w:rPr>
              <w:t>50% stress case</w:t>
            </w:r>
            <w:r>
              <w:rPr>
                <w:sz w:val="17"/>
              </w:rPr>
              <w:t>. The 5% row is retained only as a marker of the superseded v1.1 band</w:t>
            </w:r>
          </w:p>
        </w:tc>
        <w:tc>
          <w:tcPr>
            <w:tcW w:type="dxa" w:w="1234"/>
          </w:tcPr>
          <w:p>
            <w:pPr>
              <w:spacing w:before="20" w:after="20"/>
              <w:jc w:val="left"/>
            </w:pPr>
            <w:r>
              <w:rPr>
                <w:sz w:val="17"/>
              </w:rPr>
              <w:t xml:space="preserve">ESTIMATE. </w:t>
            </w:r>
            <w:r>
              <w:rPr>
                <w:b/>
                <w:sz w:val="17"/>
              </w:rPr>
              <w:t>The dominant uncertainty in the total</w:t>
            </w:r>
            <w:r>
              <w:rPr>
                <w:sz w:val="17"/>
              </w:rPr>
              <w:t xml:space="preserve"> — roughly a factor of 6 of the grid's factor-of-14 span. </w:t>
            </w:r>
            <w:r>
              <w:rPr>
                <w:b/>
                <w:sz w:val="17"/>
              </w:rPr>
              <w:t>Corrected per red team S-5:</w:t>
            </w:r>
            <w:r>
              <w:rPr>
                <w:sz w:val="17"/>
              </w:rPr>
              <w:t xml:space="preserve"> historical take-up is a </w:t>
            </w:r>
            <w:r>
              <w:rPr>
                <w:b/>
                <w:sz w:val="17"/>
              </w:rPr>
              <w:t>downward-biased</w:t>
            </w:r>
            <w:r>
              <w:rPr>
                <w:sz w:val="17"/>
              </w:rPr>
              <w:t xml:space="preserve"> estimator of post-reform take-up. The observed low rates were produced under actuarial-equivalent pricing after 24 months, 6–12 month payment terms, and members who never hear of the option in time — and </w:t>
            </w:r>
            <w:r>
              <w:rPr>
                <w:b/>
                <w:sz w:val="17"/>
              </w:rPr>
              <w:t>the bill removes all three.</w:t>
            </w:r>
            <w:r>
              <w:rPr>
                <w:sz w:val="17"/>
              </w:rPr>
              <w:t xml:space="preserve"> Pre-reform behaviour cannot be used to forecast behaviour under a reform aimed at exactly the frictions that suppressed it</w:t>
            </w:r>
          </w:p>
        </w:tc>
        <w:tc>
          <w:tcPr>
            <w:tcW w:type="dxa" w:w="1234"/>
          </w:tcPr>
          <w:p>
            <w:pPr>
              <w:spacing w:before="20" w:after="20"/>
              <w:jc w:val="left"/>
            </w:pPr>
            <w:r>
              <w:rPr>
                <w:sz w:val="17"/>
              </w:rPr>
              <w:t xml:space="preserve">Replace with VRS administrative data: </w:t>
            </w:r>
            <w:r>
              <w:rPr>
                <w:b/>
                <w:sz w:val="17"/>
              </w:rPr>
              <w:t>data request item 5</w:t>
            </w:r>
            <w:r>
              <w:rPr>
                <w:sz w:val="17"/>
              </w:rPr>
              <w:t xml:space="preserve">. The prior entry here — that if § 51.1-142.2 experience is in the low single digits "the honest headline is the bottom row of the grid" — </w:t>
            </w:r>
            <w:r>
              <w:rPr>
                <w:b/>
                <w:sz w:val="17"/>
              </w:rPr>
              <w:t>is withdrawn</w:t>
            </w:r>
            <w:r>
              <w:rPr>
                <w:sz w:val="17"/>
              </w:rPr>
              <w:t xml:space="preserve">: the bottom row is not on the current scenario set, and quoting it imported the retired floor into the live document. </w:t>
            </w:r>
            <w:r>
              <w:rPr>
                <w:b/>
                <w:sz w:val="17"/>
              </w:rPr>
              <w:t>The range to publish is $26M – $182M</w:t>
            </w:r>
          </w:p>
        </w:tc>
        <w:tc>
          <w:tcPr>
            <w:tcW w:type="dxa" w:w="1234"/>
          </w:tcPr>
          <w:p>
            <w:pPr>
              <w:spacing w:before="20" w:after="20"/>
              <w:jc w:val="left"/>
            </w:pPr>
            <w:r>
              <w:rPr>
                <w:sz w:val="17"/>
              </w:rPr>
              <w:t>VRS / JLCVSO</w:t>
            </w:r>
          </w:p>
        </w:tc>
        <w:tc>
          <w:tcPr>
            <w:tcW w:type="dxa" w:w="1234"/>
          </w:tcPr>
          <w:p>
            <w:pPr>
              <w:spacing w:before="20" w:after="20"/>
              <w:jc w:val="left"/>
            </w:pPr>
            <w:r>
              <w:rPr>
                <w:sz w:val="17"/>
              </w:rPr>
              <w:t xml:space="preserve">FM-4 § 4.4, </w:t>
            </w:r>
            <w:r>
              <w:rPr>
                <w:b/>
                <w:sz w:val="17"/>
              </w:rPr>
              <w:t>§ 4.5</w:t>
            </w:r>
          </w:p>
        </w:tc>
      </w:tr>
      <w:tr>
        <w:tc>
          <w:tcPr>
            <w:tcW w:type="dxa" w:w="1234"/>
          </w:tcPr>
          <w:p>
            <w:pPr>
              <w:spacing w:before="20" w:after="20"/>
              <w:jc w:val="left"/>
            </w:pPr>
            <w:r>
              <w:rPr>
                <w:sz w:val="17"/>
              </w:rPr>
              <w:t>A-23</w:t>
            </w:r>
          </w:p>
        </w:tc>
        <w:tc>
          <w:tcPr>
            <w:tcW w:type="dxa" w:w="1234"/>
          </w:tcPr>
          <w:p>
            <w:pPr>
              <w:spacing w:before="20" w:after="20"/>
              <w:jc w:val="left"/>
            </w:pPr>
            <w:r>
              <w:rPr>
                <w:sz w:val="17"/>
              </w:rPr>
              <w:t>Average years purchased per purchasing member</w:t>
            </w:r>
          </w:p>
        </w:tc>
        <w:tc>
          <w:tcPr>
            <w:tcW w:type="dxa" w:w="1234"/>
          </w:tcPr>
          <w:p>
            <w:pPr>
              <w:spacing w:before="20" w:after="20"/>
              <w:jc w:val="left"/>
            </w:pPr>
            <w:r>
              <w:rPr>
                <w:b/>
                <w:sz w:val="17"/>
              </w:rPr>
              <w:t>2.5 of 4</w:t>
            </w:r>
          </w:p>
        </w:tc>
        <w:tc>
          <w:tcPr>
            <w:tcW w:type="dxa" w:w="1234"/>
          </w:tcPr>
          <w:p>
            <w:pPr>
              <w:spacing w:before="20" w:after="20"/>
              <w:jc w:val="left"/>
            </w:pPr>
            <w:r>
              <w:rPr>
                <w:sz w:val="17"/>
              </w:rPr>
              <w:t>ESTIMATE. Judgment</w:t>
            </w:r>
          </w:p>
        </w:tc>
        <w:tc>
          <w:tcPr>
            <w:tcW w:type="dxa" w:w="1234"/>
          </w:tcPr>
          <w:p>
            <w:pPr>
              <w:spacing w:before="20" w:after="20"/>
              <w:jc w:val="left"/>
            </w:pPr>
            <w:r>
              <w:rPr>
                <w:sz w:val="17"/>
              </w:rPr>
              <w:t>1.5–4.0; roughly linear in the total</w:t>
            </w:r>
          </w:p>
        </w:tc>
        <w:tc>
          <w:tcPr>
            <w:tcW w:type="dxa" w:w="1234"/>
          </w:tcPr>
          <w:p>
            <w:pPr>
              <w:spacing w:before="20" w:after="20"/>
              <w:jc w:val="left"/>
            </w:pPr>
            <w:r>
              <w:rPr>
                <w:sz w:val="17"/>
              </w:rPr>
              <w:t>JLCVSO</w:t>
            </w:r>
          </w:p>
        </w:tc>
        <w:tc>
          <w:tcPr>
            <w:tcW w:type="dxa" w:w="1234"/>
          </w:tcPr>
          <w:p>
            <w:pPr>
              <w:spacing w:before="20" w:after="20"/>
              <w:jc w:val="left"/>
            </w:pPr>
            <w:r>
              <w:rPr>
                <w:sz w:val="17"/>
              </w:rPr>
              <w:t>FM-4 § 4.4</w:t>
            </w:r>
          </w:p>
        </w:tc>
      </w:tr>
      <w:tr>
        <w:tc>
          <w:tcPr>
            <w:tcW w:type="dxa" w:w="1234"/>
          </w:tcPr>
          <w:p>
            <w:pPr>
              <w:spacing w:before="20" w:after="20"/>
              <w:jc w:val="left"/>
            </w:pPr>
            <w:r>
              <w:rPr>
                <w:sz w:val="17"/>
              </w:rPr>
              <w:t>A-24</w:t>
            </w:r>
          </w:p>
        </w:tc>
        <w:tc>
          <w:tcPr>
            <w:tcW w:type="dxa" w:w="1234"/>
          </w:tcPr>
          <w:p>
            <w:pPr>
              <w:spacing w:before="20" w:after="20"/>
              <w:jc w:val="left"/>
            </w:pPr>
            <w:r>
              <w:rPr>
                <w:sz w:val="17"/>
              </w:rPr>
              <w:t>Salary basis for the statewide per-purchaser figure</w:t>
            </w:r>
          </w:p>
        </w:tc>
        <w:tc>
          <w:tcPr>
            <w:tcW w:type="dxa" w:w="1234"/>
          </w:tcPr>
          <w:p>
            <w:pPr>
              <w:spacing w:before="20" w:after="20"/>
              <w:jc w:val="left"/>
            </w:pPr>
            <w:r>
              <w:rPr>
                <w:b/>
                <w:sz w:val="17"/>
              </w:rPr>
              <w:t>$69,865</w:t>
            </w:r>
            <w:r>
              <w:rPr>
                <w:sz w:val="17"/>
              </w:rPr>
              <w:t xml:space="preserve"> (F-34)</w:t>
            </w:r>
          </w:p>
        </w:tc>
        <w:tc>
          <w:tcPr>
            <w:tcW w:type="dxa" w:w="1234"/>
          </w:tcPr>
          <w:p>
            <w:pPr>
              <w:spacing w:before="20" w:after="20"/>
              <w:jc w:val="left"/>
            </w:pPr>
            <w:r>
              <w:rPr>
                <w:sz w:val="17"/>
              </w:rPr>
              <w:t xml:space="preserve">Inherited from v1.1. </w:t>
            </w:r>
            <w:r>
              <w:rPr>
                <w:b/>
                <w:sz w:val="17"/>
              </w:rPr>
              <w:t>Validated in v2.0:</w:t>
            </w:r>
            <w:r>
              <w:rPr>
                <w:sz w:val="17"/>
              </w:rPr>
              <w:t xml:space="preserve"> the pool-weighted average of official covered payroll per active member (F-51 ÷ F-38) is $70,120–$70,229, within </w:t>
            </w:r>
            <w:r>
              <w:rPr>
                <w:b/>
                <w:sz w:val="17"/>
              </w:rPr>
              <w:t>0.5%</w:t>
            </w:r>
            <w:r>
              <w:rPr>
                <w:sz w:val="17"/>
              </w:rPr>
              <w:t>. See § 7.1</w:t>
            </w:r>
          </w:p>
        </w:tc>
        <w:tc>
          <w:tcPr>
            <w:tcW w:type="dxa" w:w="1234"/>
          </w:tcPr>
          <w:p>
            <w:pPr>
              <w:spacing w:before="20" w:after="20"/>
              <w:jc w:val="left"/>
            </w:pPr>
            <w:r>
              <w:rPr>
                <w:sz w:val="17"/>
              </w:rPr>
              <w:t>Immaterial statewide. Previously an unexamined proxy; now a checked one</w:t>
            </w:r>
          </w:p>
        </w:tc>
        <w:tc>
          <w:tcPr>
            <w:tcW w:type="dxa" w:w="1234"/>
          </w:tcPr>
          <w:p>
            <w:pPr>
              <w:spacing w:before="20" w:after="20"/>
              <w:jc w:val="left"/>
            </w:pPr>
            <w:r>
              <w:rPr>
                <w:sz w:val="17"/>
              </w:rPr>
              <w:t>—</w:t>
            </w:r>
          </w:p>
        </w:tc>
        <w:tc>
          <w:tcPr>
            <w:tcW w:type="dxa" w:w="1234"/>
          </w:tcPr>
          <w:p>
            <w:pPr>
              <w:spacing w:before="20" w:after="20"/>
              <w:jc w:val="left"/>
            </w:pPr>
            <w:r>
              <w:rPr>
                <w:sz w:val="17"/>
              </w:rPr>
              <w:t>FM-4 § 4.4</w:t>
            </w:r>
          </w:p>
        </w:tc>
      </w:tr>
      <w:tr>
        <w:tc>
          <w:tcPr>
            <w:tcW w:type="dxa" w:w="1234"/>
          </w:tcPr>
          <w:p>
            <w:pPr>
              <w:spacing w:before="20" w:after="20"/>
              <w:jc w:val="left"/>
            </w:pPr>
            <w:r>
              <w:rPr>
                <w:sz w:val="17"/>
              </w:rPr>
              <w:t>A-25</w:t>
            </w:r>
          </w:p>
        </w:tc>
        <w:tc>
          <w:tcPr>
            <w:tcW w:type="dxa" w:w="1234"/>
          </w:tcPr>
          <w:p>
            <w:pPr>
              <w:spacing w:before="20" w:after="20"/>
              <w:jc w:val="left"/>
            </w:pPr>
            <w:r>
              <w:rPr>
                <w:sz w:val="17"/>
              </w:rPr>
              <w:t xml:space="preserve">Blended per-purchaser PV applied </w:t>
            </w:r>
            <w:r>
              <w:rPr>
                <w:b/>
                <w:sz w:val="17"/>
              </w:rPr>
              <w:t>uniformly</w:t>
            </w:r>
            <w:r>
              <w:rPr>
                <w:sz w:val="17"/>
              </w:rPr>
              <w:t xml:space="preserve"> across employer groups for the state / teacher / local split</w:t>
            </w:r>
          </w:p>
        </w:tc>
        <w:tc>
          <w:tcPr>
            <w:tcW w:type="dxa" w:w="1234"/>
          </w:tcPr>
          <w:p>
            <w:pPr>
              <w:spacing w:before="20" w:after="20"/>
              <w:jc w:val="left"/>
            </w:pPr>
            <w:r>
              <w:rPr>
                <w:sz w:val="17"/>
              </w:rPr>
              <w:t>Pool-weighted blend</w:t>
            </w:r>
          </w:p>
        </w:tc>
        <w:tc>
          <w:tcPr>
            <w:tcW w:type="dxa" w:w="1234"/>
          </w:tcPr>
          <w:p>
            <w:pPr>
              <w:spacing w:before="20" w:after="20"/>
              <w:jc w:val="left"/>
            </w:pPr>
            <w:r>
              <w:rPr>
                <w:sz w:val="17"/>
              </w:rPr>
              <w:t xml:space="preserve">ESTIMATE. Plan mix by employer group is not published. </w:t>
            </w:r>
            <w:r>
              <w:rPr>
                <w:b/>
                <w:sz w:val="17"/>
              </w:rPr>
              <w:t>Least reliable for SPORS and VaLORS</w:t>
            </w:r>
            <w:r>
              <w:rPr>
                <w:sz w:val="17"/>
              </w:rPr>
              <w:t>, where both benefit value and member price are materially higher and the net direction is genuinely unclear</w:t>
            </w:r>
          </w:p>
        </w:tc>
        <w:tc>
          <w:tcPr>
            <w:tcW w:type="dxa" w:w="1234"/>
          </w:tcPr>
          <w:p>
            <w:pPr>
              <w:spacing w:before="20" w:after="20"/>
              <w:jc w:val="left"/>
            </w:pPr>
            <w:r>
              <w:rPr>
                <w:sz w:val="17"/>
              </w:rPr>
              <w:t>Do not read the SPORS / VaLORS net off that table. § 7.1 states this in dollars</w:t>
            </w:r>
          </w:p>
        </w:tc>
        <w:tc>
          <w:tcPr>
            <w:tcW w:type="dxa" w:w="1234"/>
          </w:tcPr>
          <w:p>
            <w:pPr>
              <w:spacing w:before="20" w:after="20"/>
              <w:jc w:val="left"/>
            </w:pPr>
            <w:r>
              <w:rPr>
                <w:sz w:val="17"/>
              </w:rPr>
              <w:t>VRS (data request item 1)</w:t>
            </w:r>
          </w:p>
        </w:tc>
        <w:tc>
          <w:tcPr>
            <w:tcW w:type="dxa" w:w="1234"/>
          </w:tcPr>
          <w:p>
            <w:pPr>
              <w:spacing w:before="20" w:after="20"/>
              <w:jc w:val="left"/>
            </w:pPr>
            <w:r>
              <w:rPr>
                <w:sz w:val="17"/>
              </w:rPr>
              <w:t>FM-4 § 4.7</w:t>
            </w:r>
          </w:p>
        </w:tc>
      </w:tr>
      <w:tr>
        <w:tc>
          <w:tcPr>
            <w:tcW w:type="dxa" w:w="1234"/>
          </w:tcPr>
          <w:p>
            <w:pPr>
              <w:spacing w:before="20" w:after="20"/>
              <w:jc w:val="left"/>
            </w:pPr>
            <w:r>
              <w:rPr>
                <w:sz w:val="17"/>
              </w:rPr>
              <w:t>A-26</w:t>
            </w:r>
          </w:p>
        </w:tc>
        <w:tc>
          <w:tcPr>
            <w:tcW w:type="dxa" w:w="1234"/>
          </w:tcPr>
          <w:p>
            <w:pPr>
              <w:spacing w:before="20" w:after="20"/>
              <w:jc w:val="left"/>
            </w:pPr>
            <w:r>
              <w:rPr>
                <w:sz w:val="17"/>
              </w:rPr>
              <w:t>Standards of Quality composite share, to split the teacher line between the Commonwealth and localities</w:t>
            </w:r>
          </w:p>
        </w:tc>
        <w:tc>
          <w:tcPr>
            <w:tcW w:type="dxa" w:w="1234"/>
          </w:tcPr>
          <w:p>
            <w:pPr>
              <w:spacing w:before="20" w:after="20"/>
              <w:jc w:val="left"/>
            </w:pPr>
            <w:r>
              <w:rPr>
                <w:b/>
                <w:sz w:val="17"/>
              </w:rPr>
              <w:t>Not assumed</w:t>
            </w:r>
          </w:p>
        </w:tc>
        <w:tc>
          <w:tcPr>
            <w:tcW w:type="dxa" w:w="1234"/>
          </w:tcPr>
          <w:p>
            <w:pPr>
              <w:spacing w:before="20" w:after="20"/>
              <w:jc w:val="left"/>
            </w:pPr>
            <w:r>
              <w:rPr>
                <w:sz w:val="17"/>
              </w:rPr>
              <w:t>Deliberately unresolved. A budget input, not a VRS one</w:t>
            </w:r>
          </w:p>
        </w:tc>
        <w:tc>
          <w:tcPr>
            <w:tcW w:type="dxa" w:w="1234"/>
          </w:tcPr>
          <w:p>
            <w:pPr>
              <w:spacing w:before="20" w:after="20"/>
              <w:jc w:val="left"/>
            </w:pPr>
            <w:r>
              <w:rPr>
                <w:sz w:val="17"/>
              </w:rPr>
              <w:t>The teacher bucket is reported unsplit rather than guessed</w:t>
            </w:r>
          </w:p>
        </w:tc>
        <w:tc>
          <w:tcPr>
            <w:tcW w:type="dxa" w:w="1234"/>
          </w:tcPr>
          <w:p>
            <w:pPr>
              <w:spacing w:before="20" w:after="20"/>
              <w:jc w:val="left"/>
            </w:pPr>
            <w:r>
              <w:rPr>
                <w:b/>
                <w:sz w:val="17"/>
              </w:rPr>
              <w:t>DPB</w:t>
            </w:r>
          </w:p>
        </w:tc>
        <w:tc>
          <w:tcPr>
            <w:tcW w:type="dxa" w:w="1234"/>
          </w:tcPr>
          <w:p>
            <w:pPr>
              <w:spacing w:before="20" w:after="20"/>
              <w:jc w:val="left"/>
            </w:pPr>
            <w:r>
              <w:rPr>
                <w:sz w:val="17"/>
              </w:rPr>
              <w:t>FM-4 § 4.7</w:t>
            </w:r>
          </w:p>
        </w:tc>
      </w:tr>
      <w:tr>
        <w:tc>
          <w:tcPr>
            <w:tcW w:type="dxa" w:w="1234"/>
          </w:tcPr>
          <w:p>
            <w:pPr>
              <w:spacing w:before="20" w:after="20"/>
              <w:jc w:val="left"/>
            </w:pPr>
            <w:r>
              <w:rPr>
                <w:sz w:val="17"/>
              </w:rPr>
              <w:t>A-27</w:t>
            </w:r>
          </w:p>
        </w:tc>
        <w:tc>
          <w:tcPr>
            <w:tcW w:type="dxa" w:w="1234"/>
          </w:tcPr>
          <w:p>
            <w:pPr>
              <w:spacing w:before="20" w:after="20"/>
              <w:jc w:val="left"/>
            </w:pPr>
            <w:r>
              <w:rPr>
                <w:sz w:val="17"/>
              </w:rPr>
              <w:t>Amortisation of the one-time liability</w:t>
            </w:r>
          </w:p>
        </w:tc>
        <w:tc>
          <w:tcPr>
            <w:tcW w:type="dxa" w:w="1234"/>
          </w:tcPr>
          <w:p>
            <w:pPr>
              <w:spacing w:before="20" w:after="20"/>
              <w:jc w:val="left"/>
            </w:pPr>
            <w:r>
              <w:rPr>
                <w:b/>
                <w:sz w:val="17"/>
              </w:rPr>
              <w:t>Not modelled as a schedule</w:t>
            </w:r>
          </w:p>
        </w:tc>
        <w:tc>
          <w:tcPr>
            <w:tcW w:type="dxa" w:w="1234"/>
          </w:tcPr>
          <w:p>
            <w:pPr>
              <w:spacing w:before="20" w:after="20"/>
              <w:jc w:val="left"/>
            </w:pPr>
            <w:r>
              <w:rPr>
                <w:sz w:val="17"/>
              </w:rPr>
              <w:t>VRS applies its own amortisation layers under § 51.1-145 and the VRS Funding Policy. v1.1's 5-year catch-up was presentation convenience and is withdrawn</w:t>
            </w:r>
          </w:p>
        </w:tc>
        <w:tc>
          <w:tcPr>
            <w:tcW w:type="dxa" w:w="1234"/>
          </w:tcPr>
          <w:p>
            <w:pPr>
              <w:spacing w:before="20" w:after="20"/>
              <w:jc w:val="left"/>
            </w:pPr>
            <w:r>
              <w:rPr>
                <w:sz w:val="17"/>
              </w:rPr>
              <w:t>Presentational only; does not change the present value</w:t>
            </w:r>
          </w:p>
        </w:tc>
        <w:tc>
          <w:tcPr>
            <w:tcW w:type="dxa" w:w="1234"/>
          </w:tcPr>
          <w:p>
            <w:pPr>
              <w:spacing w:before="20" w:after="20"/>
              <w:jc w:val="left"/>
            </w:pPr>
            <w:r>
              <w:rPr>
                <w:sz w:val="17"/>
              </w:rPr>
              <w:t>VRS actuary</w:t>
            </w:r>
          </w:p>
        </w:tc>
        <w:tc>
          <w:tcPr>
            <w:tcW w:type="dxa" w:w="1234"/>
          </w:tcPr>
          <w:p>
            <w:pPr>
              <w:spacing w:before="20" w:after="20"/>
              <w:jc w:val="left"/>
            </w:pPr>
            <w:r>
              <w:rPr>
                <w:sz w:val="17"/>
              </w:rPr>
              <w:t>—</w:t>
            </w:r>
          </w:p>
        </w:tc>
      </w:tr>
      <w:tr>
        <w:tc>
          <w:tcPr>
            <w:tcW w:type="dxa" w:w="1234"/>
          </w:tcPr>
          <w:p>
            <w:pPr>
              <w:spacing w:before="20" w:after="20"/>
              <w:jc w:val="left"/>
            </w:pPr>
            <w:r>
              <w:rPr>
                <w:sz w:val="17"/>
              </w:rPr>
              <w:t>A-28</w:t>
            </w:r>
          </w:p>
        </w:tc>
        <w:tc>
          <w:tcPr>
            <w:tcW w:type="dxa" w:w="1234"/>
          </w:tcPr>
          <w:p>
            <w:pPr>
              <w:spacing w:before="20" w:after="20"/>
              <w:jc w:val="left"/>
            </w:pPr>
            <w:r>
              <w:rPr>
                <w:b/>
                <w:sz w:val="17"/>
              </w:rPr>
              <w:t>Guardrail dial setting</w:t>
            </w:r>
            <w:r>
              <w:rPr>
                <w:sz w:val="17"/>
              </w:rPr>
              <w:t xml:space="preserve"> — share of the above-ANC excess recoverable from the member under the Board's graded schedule</w:t>
            </w:r>
          </w:p>
        </w:tc>
        <w:tc>
          <w:tcPr>
            <w:tcW w:type="dxa" w:w="1234"/>
          </w:tcPr>
          <w:p>
            <w:pPr>
              <w:spacing w:before="20" w:after="20"/>
              <w:jc w:val="left"/>
            </w:pPr>
            <w:r>
              <w:rPr>
                <w:b/>
                <w:sz w:val="17"/>
              </w:rPr>
              <w:t>Not assumed. Range narrowed in v2.1: 0% – 96% by classification, central estimate 59% – 66%</w:t>
            </w:r>
          </w:p>
        </w:tc>
        <w:tc>
          <w:tcPr>
            <w:tcW w:type="dxa" w:w="1234"/>
          </w:tcPr>
          <w:p>
            <w:pPr>
              <w:spacing w:before="20" w:after="20"/>
              <w:jc w:val="left"/>
            </w:pPr>
            <w:r>
              <w:rPr>
                <w:sz w:val="17"/>
              </w:rPr>
              <w:t xml:space="preserve">Annex A, § 2.2 (v1.1) grants the authority graded on </w:t>
            </w:r>
            <w:r>
              <w:rPr>
                <w:b/>
                <w:sz w:val="17"/>
              </w:rPr>
              <w:t>age and creditable service</w:t>
            </w:r>
            <w:r>
              <w:rPr>
                <w:sz w:val="17"/>
              </w:rPr>
              <w:t xml:space="preserve">, equivalently distance from unreduced eligibility. </w:t>
            </w:r>
            <w:r>
              <w:rPr>
                <w:b/>
                <w:sz w:val="17"/>
              </w:rPr>
              <w:t>Corrected per red team F-1:</w:t>
            </w:r>
            <w:r>
              <w:rPr>
                <w:sz w:val="17"/>
              </w:rPr>
              <w:t xml:space="preserve"> the 0%–100% dial priced each member individually, which § 2.2's uniformity-within-classification requirement and its </w:t>
            </w:r>
            <w:r>
              <w:rPr>
                <w:b/>
                <w:sz w:val="17"/>
              </w:rPr>
              <w:t>individual</w:t>
            </w:r>
            <w:r>
              <w:rPr>
                <w:sz w:val="17"/>
              </w:rPr>
              <w:t xml:space="preserve"> actuarial-equivalent-cost ceiling together forbid. A lawful uniform class rate must sit at or below the </w:t>
            </w:r>
            <w:r>
              <w:rPr>
                <w:i/>
                <w:sz w:val="17"/>
              </w:rPr>
              <w:t>minimum</w:t>
            </w:r>
            <w:r>
              <w:rPr>
                <w:sz w:val="17"/>
              </w:rPr>
              <w:t xml:space="preserve"> actuarial value in the class, so recovery equals 100% only where value is constant inside a class — which it never is. Verified over 60 priceable classes in </w:t>
            </w:r>
            <w:r>
              <w:rPr>
                <w:rFonts w:ascii="Consolas" w:hAnsi="Consolas"/>
                <w:color w:val="303030"/>
                <w:sz w:val="18"/>
              </w:rPr>
              <w:t>models/f1_lawful_class_rate.py</w:t>
            </w:r>
          </w:p>
        </w:tc>
        <w:tc>
          <w:tcPr>
            <w:tcW w:type="dxa" w:w="1234"/>
          </w:tcPr>
          <w:p>
            <w:pPr>
              <w:spacing w:before="20" w:after="20"/>
              <w:jc w:val="left"/>
            </w:pPr>
            <w:r>
              <w:rPr>
                <w:b/>
                <w:sz w:val="17"/>
              </w:rPr>
              <w:t>Still the most powerful cost control in the package, but a mitigation and not a neutrality device.</w:t>
            </w:r>
            <w:r>
              <w:rPr>
                <w:sz w:val="17"/>
              </w:rPr>
              <w:t xml:space="preserve"> Residual at 20% take-up is </w:t>
            </w:r>
            <w:r>
              <w:rPr>
                <w:b/>
                <w:sz w:val="17"/>
              </w:rPr>
              <w:t>$20M – $48M</w:t>
            </w:r>
            <w:r>
              <w:rPr>
                <w:sz w:val="17"/>
              </w:rPr>
              <w:t xml:space="preserve">, not $0. Only </w:t>
            </w:r>
            <w:r>
              <w:rPr>
                <w:b/>
                <w:sz w:val="17"/>
              </w:rPr>
              <w:t>~23%</w:t>
            </w:r>
            <w:r>
              <w:rPr>
                <w:sz w:val="17"/>
              </w:rPr>
              <w:t xml:space="preserve"> recovery in the Plan 1 age 55–59 / 20–29-year cohort the bill leads with. In </w:t>
            </w:r>
            <w:r>
              <w:rPr>
                <w:b/>
                <w:sz w:val="17"/>
              </w:rPr>
              <w:t>4 of 60</w:t>
            </w:r>
            <w:r>
              <w:rPr>
                <w:sz w:val="17"/>
              </w:rPr>
              <w:t xml:space="preserve"> classes the published ANC price already exceeds the lowest member's own AEC, so the ceiling is breached before the dial is turned</w:t>
            </w:r>
          </w:p>
        </w:tc>
        <w:tc>
          <w:tcPr>
            <w:tcW w:type="dxa" w:w="1234"/>
          </w:tcPr>
          <w:p>
            <w:pPr>
              <w:spacing w:before="20" w:after="20"/>
              <w:jc w:val="left"/>
            </w:pPr>
            <w:r>
              <w:rPr>
                <w:sz w:val="17"/>
              </w:rPr>
              <w:t xml:space="preserve">JLCVSO policy choice — </w:t>
            </w:r>
            <w:r>
              <w:rPr>
                <w:b/>
                <w:sz w:val="17"/>
              </w:rPr>
              <w:t>and now a choice between two drafting options, not a number on a 0–100% scale</w:t>
            </w:r>
            <w:r>
              <w:rPr>
                <w:sz w:val="17"/>
              </w:rPr>
              <w:t xml:space="preserve"> (Annex A, Q3a and Q12, both of which need reframing)</w:t>
            </w:r>
          </w:p>
        </w:tc>
        <w:tc>
          <w:tcPr>
            <w:tcW w:type="dxa" w:w="1234"/>
          </w:tcPr>
          <w:p>
            <w:pPr>
              <w:spacing w:before="20" w:after="20"/>
              <w:jc w:val="left"/>
            </w:pPr>
            <w:r>
              <w:rPr>
                <w:sz w:val="17"/>
              </w:rPr>
              <w:t xml:space="preserve">FM-4 § 4.8, </w:t>
            </w:r>
            <w:r>
              <w:rPr>
                <w:b/>
                <w:sz w:val="17"/>
              </w:rPr>
              <w:t>§ 4.8.1</w:t>
            </w:r>
          </w:p>
        </w:tc>
      </w:tr>
      <w:tr>
        <w:tc>
          <w:tcPr>
            <w:tcW w:type="dxa" w:w="1234"/>
          </w:tcPr>
          <w:p>
            <w:pPr>
              <w:spacing w:before="20" w:after="20"/>
              <w:jc w:val="left"/>
            </w:pPr>
            <w:r>
              <w:rPr>
                <w:sz w:val="17"/>
              </w:rPr>
              <w:t>A-29</w:t>
            </w:r>
          </w:p>
        </w:tc>
        <w:tc>
          <w:tcPr>
            <w:tcW w:type="dxa" w:w="1234"/>
          </w:tcPr>
          <w:p>
            <w:pPr>
              <w:spacing w:before="20" w:after="20"/>
              <w:jc w:val="left"/>
            </w:pPr>
            <w:r>
              <w:rPr>
                <w:b/>
                <w:sz w:val="17"/>
              </w:rPr>
              <w:t>Retirement timing of purchasers</w:t>
            </w:r>
            <w:r>
              <w:rPr>
                <w:sz w:val="17"/>
              </w:rPr>
              <w:t xml:space="preserve"> — when a member who buys credit actually retires</w:t>
            </w:r>
          </w:p>
        </w:tc>
        <w:tc>
          <w:tcPr>
            <w:tcW w:type="dxa" w:w="1234"/>
          </w:tcPr>
          <w:p>
            <w:pPr>
              <w:spacing w:before="20" w:after="20"/>
              <w:jc w:val="left"/>
            </w:pPr>
            <w:r>
              <w:rPr>
                <w:b/>
                <w:sz w:val="17"/>
              </w:rPr>
              <w:t>Every purchaser retires at the earliest unreduced date</w:t>
            </w:r>
          </w:p>
        </w:tc>
        <w:tc>
          <w:tcPr>
            <w:tcW w:type="dxa" w:w="1234"/>
          </w:tcPr>
          <w:p>
            <w:pPr>
              <w:spacing w:before="20" w:after="20"/>
              <w:jc w:val="left"/>
            </w:pPr>
            <w:r>
              <w:rPr>
                <w:sz w:val="17"/>
              </w:rPr>
              <w:t xml:space="preserve">ESTIMATE, and </w:t>
            </w:r>
            <w:r>
              <w:rPr>
                <w:b/>
                <w:sz w:val="17"/>
              </w:rPr>
              <w:t>previously unstated</w:t>
            </w:r>
            <w:r>
              <w:rPr>
                <w:sz w:val="17"/>
              </w:rPr>
              <w:t xml:space="preserve">; registered in v2.1 after red team S-4. It is the assumption that makes the full-basis (benefit amount </w:t>
            </w:r>
            <w:r>
              <w:rPr>
                <w:i/>
                <w:sz w:val="17"/>
              </w:rPr>
              <w:t>plus</w:t>
            </w:r>
            <w:r>
              <w:rPr>
                <w:sz w:val="17"/>
              </w:rPr>
              <w:t xml:space="preserve"> acceleration) figures what they are. A member who would have worked to 65 regardless generates </w:t>
            </w:r>
            <w:r>
              <w:rPr>
                <w:b/>
                <w:sz w:val="17"/>
              </w:rPr>
              <w:t>no</w:t>
            </w:r>
            <w:r>
              <w:rPr>
                <w:sz w:val="17"/>
              </w:rPr>
              <w:t xml:space="preserve"> acceleration cost</w:t>
            </w:r>
          </w:p>
        </w:tc>
        <w:tc>
          <w:tcPr>
            <w:tcW w:type="dxa" w:w="1234"/>
          </w:tcPr>
          <w:p>
            <w:pPr>
              <w:spacing w:before="20" w:after="20"/>
              <w:jc w:val="left"/>
            </w:pPr>
            <w:r>
              <w:rPr>
                <w:b/>
                <w:sz w:val="17"/>
              </w:rPr>
              <w:t>Pushes cost up.</w:t>
            </w:r>
            <w:r>
              <w:rPr>
                <w:sz w:val="17"/>
              </w:rPr>
              <w:t xml:space="preserve"> If real behaviour is partial, the full-basis per-purchaser figures and the acceleration share are conservative. Also the reason the full basis shows no member-overpayment age while the benefit-amount channel alone shows a 47–48 break-even</w:t>
            </w:r>
          </w:p>
        </w:tc>
        <w:tc>
          <w:tcPr>
            <w:tcW w:type="dxa" w:w="1234"/>
          </w:tcPr>
          <w:p>
            <w:pPr>
              <w:spacing w:before="20" w:after="20"/>
              <w:jc w:val="left"/>
            </w:pPr>
            <w:r>
              <w:rPr>
                <w:sz w:val="17"/>
              </w:rPr>
              <w:t>VRS retirement-pattern data for purchasers (extension of data request item 5)</w:t>
            </w:r>
          </w:p>
        </w:tc>
        <w:tc>
          <w:tcPr>
            <w:tcW w:type="dxa" w:w="1234"/>
          </w:tcPr>
          <w:p>
            <w:pPr>
              <w:spacing w:before="20" w:after="20"/>
              <w:jc w:val="left"/>
            </w:pPr>
            <w:r>
              <w:rPr>
                <w:sz w:val="17"/>
              </w:rPr>
              <w:t>FM-2 § 2.3, FM-4 § 4.2</w:t>
            </w:r>
          </w:p>
        </w:tc>
      </w:tr>
    </w:tbl>
    <w:p>
      <w:pPr>
        <w:spacing w:before="0" w:after="0" w:line="80" w:lineRule="exact"/>
      </w:pPr>
      <w:r>
        <w:rPr>
          <w:sz w:val="8"/>
        </w:rPr>
      </w:r>
    </w:p>
    <w:p>
      <w:pPr>
        <w:pStyle w:val="Heading3"/>
      </w:pPr>
      <w:r>
        <w:t>2.3 Retired assumptions — the v1.1 register, and what replaced each entry</w:t>
      </w:r>
    </w:p>
    <w:p>
      <w:r>
        <w:t>Kept visible deliberately. These IDs appear in brief v1.0 / v1.1 and in correspondence, and a reader who meets one needs to be able to trace it.</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v1.1 ID</w:t>
            </w:r>
          </w:p>
        </w:tc>
        <w:tc>
          <w:tcPr>
            <w:tcW w:type="dxa" w:w="2160"/>
          </w:tcPr>
          <w:p>
            <w:pPr>
              <w:spacing w:before="20" w:after="20"/>
              <w:jc w:val="left"/>
            </w:pPr>
            <w:r>
              <w:rPr>
                <w:b/>
                <w:sz w:val="17"/>
              </w:rPr>
              <w:t>What it was</w:t>
            </w:r>
          </w:p>
        </w:tc>
        <w:tc>
          <w:tcPr>
            <w:tcW w:type="dxa" w:w="2160"/>
          </w:tcPr>
          <w:p>
            <w:pPr>
              <w:spacing w:before="20" w:after="20"/>
              <w:jc w:val="left"/>
            </w:pPr>
            <w:r>
              <w:rPr>
                <w:b/>
                <w:sz w:val="17"/>
              </w:rPr>
              <w:t>Status</w:t>
            </w:r>
          </w:p>
        </w:tc>
        <w:tc>
          <w:tcPr>
            <w:tcW w:type="dxa" w:w="2160"/>
          </w:tcPr>
          <w:p>
            <w:pPr>
              <w:spacing w:before="20" w:after="20"/>
              <w:jc w:val="left"/>
            </w:pPr>
            <w:r>
              <w:rPr>
                <w:b/>
                <w:sz w:val="17"/>
              </w:rPr>
              <w:t>Replaced by</w:t>
            </w:r>
          </w:p>
        </w:tc>
      </w:tr>
      <w:tr>
        <w:tc>
          <w:tcPr>
            <w:tcW w:type="dxa" w:w="2160"/>
          </w:tcPr>
          <w:p>
            <w:pPr>
              <w:spacing w:before="20" w:after="20"/>
              <w:jc w:val="left"/>
            </w:pPr>
            <w:r>
              <w:rPr>
                <w:sz w:val="17"/>
              </w:rPr>
              <w:t>A-08</w:t>
            </w:r>
          </w:p>
        </w:tc>
        <w:tc>
          <w:tcPr>
            <w:tcW w:type="dxa" w:w="2160"/>
          </w:tcPr>
          <w:p>
            <w:pPr>
              <w:spacing w:before="20" w:after="20"/>
              <w:jc w:val="left"/>
            </w:pPr>
            <w:r>
              <w:rPr>
                <w:sz w:val="17"/>
              </w:rPr>
              <w:t>Veterans in classified workforce ≈ 3,400 (F-30 × F-31)</w:t>
            </w:r>
          </w:p>
        </w:tc>
        <w:tc>
          <w:tcPr>
            <w:tcW w:type="dxa" w:w="2160"/>
          </w:tcPr>
          <w:p>
            <w:pPr>
              <w:spacing w:before="20" w:after="20"/>
              <w:jc w:val="left"/>
            </w:pPr>
            <w:r>
              <w:rPr>
                <w:b/>
                <w:sz w:val="17"/>
              </w:rPr>
              <w:t>Retired — wrong scope.</w:t>
            </w:r>
            <w:r>
              <w:rPr>
                <w:sz w:val="17"/>
              </w:rPr>
              <w:t xml:space="preserve"> Covered state classified employees only</w:t>
            </w:r>
          </w:p>
        </w:tc>
        <w:tc>
          <w:tcPr>
            <w:tcW w:type="dxa" w:w="2160"/>
          </w:tcPr>
          <w:p>
            <w:pPr>
              <w:spacing w:before="20" w:after="20"/>
              <w:jc w:val="left"/>
            </w:pPr>
            <w:r>
              <w:rPr>
                <w:sz w:val="17"/>
              </w:rPr>
              <w:t>A-19 → FM-1 § 1.4, § 1.6</w:t>
            </w:r>
          </w:p>
        </w:tc>
      </w:tr>
      <w:tr>
        <w:tc>
          <w:tcPr>
            <w:tcW w:type="dxa" w:w="2160"/>
          </w:tcPr>
          <w:p>
            <w:pPr>
              <w:spacing w:before="20" w:after="20"/>
              <w:jc w:val="left"/>
            </w:pPr>
            <w:r>
              <w:rPr>
                <w:sz w:val="17"/>
              </w:rPr>
              <w:t>A-09</w:t>
            </w:r>
          </w:p>
        </w:tc>
        <w:tc>
          <w:tcPr>
            <w:tcW w:type="dxa" w:w="2160"/>
          </w:tcPr>
          <w:p>
            <w:pPr>
              <w:spacing w:before="20" w:after="20"/>
              <w:jc w:val="left"/>
            </w:pPr>
            <w:r>
              <w:rPr>
                <w:sz w:val="17"/>
              </w:rPr>
              <w:t>Share of veterans past the 24-month window = 85%, inferred from F-32</w:t>
            </w:r>
          </w:p>
        </w:tc>
        <w:tc>
          <w:tcPr>
            <w:tcW w:type="dxa" w:w="2160"/>
          </w:tcPr>
          <w:p>
            <w:pPr>
              <w:spacing w:before="20" w:after="20"/>
              <w:jc w:val="left"/>
            </w:pPr>
            <w:r>
              <w:rPr>
                <w:b/>
                <w:sz w:val="17"/>
              </w:rPr>
              <w:t>Retired — superseded by a better method.</w:t>
            </w:r>
            <w:r>
              <w:rPr>
                <w:sz w:val="17"/>
              </w:rPr>
              <w:t xml:space="preserve"> The official vested / non-vested split does the same work with far less inference, and Plan 1 needs no inference at all</w:t>
            </w:r>
          </w:p>
        </w:tc>
        <w:tc>
          <w:tcPr>
            <w:tcW w:type="dxa" w:w="2160"/>
          </w:tcPr>
          <w:p>
            <w:pPr>
              <w:spacing w:before="20" w:after="20"/>
              <w:jc w:val="left"/>
            </w:pPr>
            <w:r>
              <w:rPr>
                <w:sz w:val="17"/>
              </w:rPr>
              <w:t>A-17, A-18 → FM-1 § 1.2, § 1.5</w:t>
            </w:r>
          </w:p>
        </w:tc>
      </w:tr>
      <w:tr>
        <w:tc>
          <w:tcPr>
            <w:tcW w:type="dxa" w:w="2160"/>
          </w:tcPr>
          <w:p>
            <w:pPr>
              <w:spacing w:before="20" w:after="20"/>
              <w:jc w:val="left"/>
            </w:pPr>
            <w:r>
              <w:rPr>
                <w:sz w:val="17"/>
              </w:rPr>
              <w:t>A-10</w:t>
            </w:r>
          </w:p>
        </w:tc>
        <w:tc>
          <w:tcPr>
            <w:tcW w:type="dxa" w:w="2160"/>
          </w:tcPr>
          <w:p>
            <w:pPr>
              <w:spacing w:before="20" w:after="20"/>
              <w:jc w:val="left"/>
            </w:pPr>
            <w:r>
              <w:rPr>
                <w:sz w:val="17"/>
              </w:rPr>
              <w:t>Share meeting the 180-day test = 90%</w:t>
            </w:r>
          </w:p>
        </w:tc>
        <w:tc>
          <w:tcPr>
            <w:tcW w:type="dxa" w:w="2160"/>
          </w:tcPr>
          <w:p>
            <w:pPr>
              <w:spacing w:before="20" w:after="20"/>
              <w:jc w:val="left"/>
            </w:pPr>
            <w:r>
              <w:rPr>
                <w:b/>
                <w:sz w:val="17"/>
              </w:rPr>
              <w:t>Carried forward unchanged</w:t>
            </w:r>
          </w:p>
        </w:tc>
        <w:tc>
          <w:tcPr>
            <w:tcW w:type="dxa" w:w="2160"/>
          </w:tcPr>
          <w:p>
            <w:pPr>
              <w:spacing w:before="20" w:after="20"/>
              <w:jc w:val="left"/>
            </w:pPr>
            <w:r>
              <w:rPr>
                <w:sz w:val="17"/>
              </w:rPr>
              <w:t>A-20</w:t>
            </w:r>
          </w:p>
        </w:tc>
      </w:tr>
      <w:tr>
        <w:tc>
          <w:tcPr>
            <w:tcW w:type="dxa" w:w="2160"/>
          </w:tcPr>
          <w:p>
            <w:pPr>
              <w:spacing w:before="20" w:after="20"/>
              <w:jc w:val="left"/>
            </w:pPr>
            <w:r>
              <w:rPr>
                <w:sz w:val="17"/>
              </w:rPr>
              <w:t>A-11</w:t>
            </w:r>
          </w:p>
        </w:tc>
        <w:tc>
          <w:tcPr>
            <w:tcW w:type="dxa" w:w="2160"/>
          </w:tcPr>
          <w:p>
            <w:pPr>
              <w:spacing w:before="20" w:after="20"/>
              <w:jc w:val="left"/>
            </w:pPr>
            <w:r>
              <w:rPr>
                <w:sz w:val="17"/>
              </w:rPr>
              <w:t>Take-up 5%–15%</w:t>
            </w:r>
          </w:p>
        </w:tc>
        <w:tc>
          <w:tcPr>
            <w:tcW w:type="dxa" w:w="2160"/>
          </w:tcPr>
          <w:p>
            <w:pPr>
              <w:spacing w:before="20" w:after="20"/>
              <w:jc w:val="left"/>
            </w:pPr>
            <w:r>
              <w:rPr>
                <w:b/>
                <w:sz w:val="17"/>
              </w:rPr>
              <w:t>Widened to 5%–30%</w:t>
            </w:r>
            <w:r>
              <w:rPr>
                <w:sz w:val="17"/>
              </w:rPr>
              <w:t>, with v1.1's original band marked on the grid</w:t>
            </w:r>
          </w:p>
        </w:tc>
        <w:tc>
          <w:tcPr>
            <w:tcW w:type="dxa" w:w="2160"/>
          </w:tcPr>
          <w:p>
            <w:pPr>
              <w:spacing w:before="20" w:after="20"/>
              <w:jc w:val="left"/>
            </w:pPr>
            <w:r>
              <w:rPr>
                <w:sz w:val="17"/>
              </w:rPr>
              <w:t>A-22</w:t>
            </w:r>
          </w:p>
        </w:tc>
      </w:tr>
      <w:tr>
        <w:tc>
          <w:tcPr>
            <w:tcW w:type="dxa" w:w="2160"/>
          </w:tcPr>
          <w:p>
            <w:pPr>
              <w:spacing w:before="20" w:after="20"/>
              <w:jc w:val="left"/>
            </w:pPr>
            <w:r>
              <w:rPr>
                <w:sz w:val="17"/>
              </w:rPr>
              <w:t>A-12</w:t>
            </w:r>
          </w:p>
        </w:tc>
        <w:tc>
          <w:tcPr>
            <w:tcW w:type="dxa" w:w="2160"/>
          </w:tcPr>
          <w:p>
            <w:pPr>
              <w:spacing w:before="20" w:after="20"/>
              <w:jc w:val="left"/>
            </w:pPr>
            <w:r>
              <w:rPr>
                <w:sz w:val="17"/>
              </w:rPr>
              <w:t>Average years purchased = 2.5 of 4</w:t>
            </w:r>
          </w:p>
        </w:tc>
        <w:tc>
          <w:tcPr>
            <w:tcW w:type="dxa" w:w="2160"/>
          </w:tcPr>
          <w:p>
            <w:pPr>
              <w:spacing w:before="20" w:after="20"/>
              <w:jc w:val="left"/>
            </w:pPr>
            <w:r>
              <w:rPr>
                <w:b/>
                <w:sz w:val="17"/>
              </w:rPr>
              <w:t>Carried forward unchanged</w:t>
            </w:r>
          </w:p>
        </w:tc>
        <w:tc>
          <w:tcPr>
            <w:tcW w:type="dxa" w:w="2160"/>
          </w:tcPr>
          <w:p>
            <w:pPr>
              <w:spacing w:before="20" w:after="20"/>
              <w:jc w:val="left"/>
            </w:pPr>
            <w:r>
              <w:rPr>
                <w:sz w:val="17"/>
              </w:rPr>
              <w:t>A-23</w:t>
            </w:r>
          </w:p>
        </w:tc>
      </w:tr>
      <w:tr>
        <w:tc>
          <w:tcPr>
            <w:tcW w:type="dxa" w:w="2160"/>
          </w:tcPr>
          <w:p>
            <w:pPr>
              <w:spacing w:before="20" w:after="20"/>
              <w:jc w:val="left"/>
            </w:pPr>
            <w:r>
              <w:rPr>
                <w:sz w:val="17"/>
              </w:rPr>
              <w:t>A-13</w:t>
            </w:r>
          </w:p>
        </w:tc>
        <w:tc>
          <w:tcPr>
            <w:tcW w:type="dxa" w:w="2160"/>
          </w:tcPr>
          <w:p>
            <w:pPr>
              <w:spacing w:before="20" w:after="20"/>
              <w:jc w:val="left"/>
            </w:pPr>
            <w:r>
              <w:rPr>
                <w:sz w:val="17"/>
              </w:rPr>
              <w:t xml:space="preserve">Average AEC-minus-ANC gap ≈ </w:t>
            </w:r>
            <w:r>
              <w:rPr>
                <w:b/>
                <w:sz w:val="17"/>
              </w:rPr>
              <w:t>$1,500 per year of credit</w:t>
            </w:r>
          </w:p>
        </w:tc>
        <w:tc>
          <w:tcPr>
            <w:tcW w:type="dxa" w:w="2160"/>
          </w:tcPr>
          <w:p>
            <w:pPr>
              <w:spacing w:before="20" w:after="20"/>
              <w:jc w:val="left"/>
            </w:pPr>
            <w:r>
              <w:rPr>
                <w:b/>
                <w:sz w:val="17"/>
              </w:rPr>
              <w:t>Retired — priced the wrong thing.</w:t>
            </w:r>
            <w:r>
              <w:rPr>
                <w:sz w:val="17"/>
              </w:rPr>
              <w:t xml:space="preserve"> It valued the benefit-amount channel only and omitted retirement-date acceleration, which is 20%–49% of the cost and a floor at that</w:t>
            </w:r>
          </w:p>
        </w:tc>
        <w:tc>
          <w:tcPr>
            <w:tcW w:type="dxa" w:w="2160"/>
          </w:tcPr>
          <w:p>
            <w:pPr>
              <w:spacing w:before="20" w:after="20"/>
              <w:jc w:val="left"/>
            </w:pPr>
            <w:r>
              <w:rPr>
                <w:sz w:val="17"/>
              </w:rPr>
              <w:t>FM-4 § 4.2 (decomposition); § 4.4 (per-purchaser PV of $6,779–$47,967)</w:t>
            </w:r>
          </w:p>
        </w:tc>
      </w:tr>
      <w:tr>
        <w:tc>
          <w:tcPr>
            <w:tcW w:type="dxa" w:w="2160"/>
          </w:tcPr>
          <w:p>
            <w:pPr>
              <w:spacing w:before="20" w:after="20"/>
              <w:jc w:val="left"/>
            </w:pPr>
            <w:r>
              <w:rPr>
                <w:sz w:val="17"/>
              </w:rPr>
              <w:t>A-14</w:t>
            </w:r>
          </w:p>
        </w:tc>
        <w:tc>
          <w:tcPr>
            <w:tcW w:type="dxa" w:w="2160"/>
          </w:tcPr>
          <w:p>
            <w:pPr>
              <w:spacing w:before="20" w:after="20"/>
              <w:jc w:val="left"/>
            </w:pPr>
            <w:r>
              <w:rPr>
                <w:sz w:val="17"/>
              </w:rPr>
              <w:t>Veteran new hires ≈ 600/yr, hence an "ongoing steady state" cost line</w:t>
            </w:r>
          </w:p>
        </w:tc>
        <w:tc>
          <w:tcPr>
            <w:tcW w:type="dxa" w:w="2160"/>
          </w:tcPr>
          <w:p>
            <w:pPr>
              <w:spacing w:before="20" w:after="20"/>
              <w:jc w:val="left"/>
            </w:pPr>
            <w:r>
              <w:rPr>
                <w:b/>
                <w:sz w:val="17"/>
              </w:rPr>
              <w:t>Retired — scope and method.</w:t>
            </w:r>
            <w:r>
              <w:rPr>
                <w:sz w:val="17"/>
              </w:rPr>
              <w:t xml:space="preserve"> State classified only; and DHRM publishes the veteran share of the standing workforce, not of new hires</w:t>
            </w:r>
          </w:p>
        </w:tc>
        <w:tc>
          <w:tcPr>
            <w:tcW w:type="dxa" w:w="2160"/>
          </w:tcPr>
          <w:p>
            <w:pPr>
              <w:spacing w:before="20" w:after="20"/>
              <w:jc w:val="left"/>
            </w:pPr>
            <w:r>
              <w:rPr>
                <w:sz w:val="17"/>
              </w:rPr>
              <w:t>No replacement. See § 7.4 — the live measure is a one-time present value, and a new-hire flow line also mis-frames the bill</w:t>
            </w:r>
          </w:p>
        </w:tc>
      </w:tr>
      <w:tr>
        <w:tc>
          <w:tcPr>
            <w:tcW w:type="dxa" w:w="2160"/>
          </w:tcPr>
          <w:p>
            <w:pPr>
              <w:spacing w:before="20" w:after="20"/>
              <w:jc w:val="left"/>
            </w:pPr>
            <w:r>
              <w:rPr>
                <w:sz w:val="17"/>
              </w:rPr>
              <w:t>A-15</w:t>
            </w:r>
          </w:p>
        </w:tc>
        <w:tc>
          <w:tcPr>
            <w:tcW w:type="dxa" w:w="2160"/>
          </w:tcPr>
          <w:p>
            <w:pPr>
              <w:spacing w:before="20" w:after="20"/>
              <w:jc w:val="left"/>
            </w:pPr>
            <w:r>
              <w:rPr>
                <w:sz w:val="17"/>
              </w:rPr>
              <w:t>5-year amortisation of the one-time liability</w:t>
            </w:r>
          </w:p>
        </w:tc>
        <w:tc>
          <w:tcPr>
            <w:tcW w:type="dxa" w:w="2160"/>
          </w:tcPr>
          <w:p>
            <w:pPr>
              <w:spacing w:before="20" w:after="20"/>
              <w:jc w:val="left"/>
            </w:pPr>
            <w:r>
              <w:rPr>
                <w:b/>
                <w:sz w:val="17"/>
              </w:rPr>
              <w:t>Retired</w:t>
            </w:r>
          </w:p>
        </w:tc>
        <w:tc>
          <w:tcPr>
            <w:tcW w:type="dxa" w:w="2160"/>
          </w:tcPr>
          <w:p>
            <w:pPr>
              <w:spacing w:before="20" w:after="20"/>
              <w:jc w:val="left"/>
            </w:pPr>
            <w:r>
              <w:rPr>
                <w:sz w:val="17"/>
              </w:rPr>
              <w:t>A-27</w:t>
            </w:r>
          </w:p>
        </w:tc>
      </w:tr>
    </w:tbl>
    <w:p>
      <w:pPr>
        <w:spacing w:before="0" w:after="0" w:line="80" w:lineRule="exact"/>
      </w:pPr>
      <w:r>
        <w:rPr>
          <w:sz w:val="8"/>
        </w:rPr>
      </w:r>
    </w:p>
    <w:p>
      <w:pPr>
        <w:pStyle w:val="Heading3"/>
      </w:pPr>
      <w:r>
        <w:t>2.4 Excluded from the cost estimate — must be priced separately</w:t>
      </w:r>
    </w:p>
    <w:p>
      <w:r>
        <w:t xml:space="preserve">All of these push the figure </w:t>
      </w:r>
      <w:r>
        <w:rPr>
          <w:b/>
        </w:rPr>
        <w:t>upward</w:t>
      </w:r>
      <w:r>
        <w:t>. None is netted against the pension cost.</w:t>
      </w:r>
    </w:p>
    <w:p>
      <w:pPr>
        <w:pStyle w:val="ListBullet"/>
      </w:pPr>
      <w:r>
        <w:rPr>
          <w:b/>
        </w:rPr>
        <w:t>Health insurance credit</w:t>
      </w:r>
      <w:r>
        <w:t xml:space="preserve"> (F-14, F-15), including the 15-year threshold step function. Material, not quantified.</w:t>
      </w:r>
    </w:p>
    <w:p>
      <w:pPr>
        <w:pStyle w:val="ListBullet"/>
      </w:pPr>
      <w:r>
        <w:rPr>
          <w:b/>
        </w:rPr>
        <w:t>Adverse selection</w:t>
      </w:r>
      <w:r>
        <w:t xml:space="preserve"> (Annex A, § 5.1). Immediate access on the effective date means the actuary prices an </w:t>
      </w:r>
      <w:r>
        <w:rPr>
          <w:b/>
        </w:rPr>
        <w:t>unbounded cohort</w:t>
      </w:r>
      <w:r>
        <w:t>, so the entire weight of control sits on the two Annex A guardrails — priced as dials at FM-4 § 4.8 and registered here as A-28.</w:t>
      </w:r>
    </w:p>
    <w:p>
      <w:pPr>
        <w:pStyle w:val="ListBullet"/>
      </w:pPr>
      <w:r>
        <w:rPr>
          <w:b/>
        </w:rPr>
        <w:t>The early-retirement reduction subsidy</w:t>
      </w:r>
      <w:r>
        <w:t xml:space="preserve"> (F-48). Reaching an </w:t>
      </w:r>
      <w:r>
        <w:rPr>
          <w:i/>
        </w:rPr>
        <w:t>unreduced</w:t>
      </w:r>
      <w:r>
        <w:t xml:space="preserve"> date earlier also extinguishes a reduction the member would otherwise have borne. Runs in one direction only: upward. This is why the 20%–49% acceleration share is a </w:t>
      </w:r>
      <w:r>
        <w:rPr>
          <w:b/>
        </w:rPr>
        <w:t>floor</w:t>
      </w:r>
      <w:r>
        <w:t>.</w:t>
      </w:r>
    </w:p>
    <w:p>
      <w:pPr>
        <w:pStyle w:val="ListBullet"/>
      </w:pPr>
      <w:r>
        <w:rPr>
          <w:b/>
        </w:rPr>
        <w:t>Refund option value</w:t>
      </w:r>
      <w:r>
        <w:t xml:space="preserve"> (§ 51.1-128).</w:t>
      </w:r>
    </w:p>
    <w:p>
      <w:pPr>
        <w:pStyle w:val="ListBullet"/>
      </w:pPr>
      <w:r>
        <w:rPr>
          <w:b/>
        </w:rPr>
        <w:t>VRS administrative cost</w:t>
      </w:r>
      <w:r>
        <w:t xml:space="preserve"> of implementing a graded schedule and 60-month payment agreements. HB 1867's analogue was ~$78,000 of NGF implementation cost, with </w:t>
      </w:r>
      <w:r>
        <w:rPr>
          <w:b/>
        </w:rPr>
        <w:t>employer cost to implement reported as "None"</w:t>
      </w:r>
      <w:r>
        <w:t xml:space="preserve"> (F-61).</w:t>
      </w:r>
    </w:p>
    <w:p>
      <w:pPr>
        <w:pStyle w:val="ListBullet"/>
      </w:pPr>
      <w:r>
        <w:rPr>
          <w:b/>
        </w:rPr>
        <w:t>Employer-side payroll and backfill consequences of earlier retirement.</w:t>
      </w:r>
      <w:r>
        <w:t xml:space="preserve"> A cost to agencies and school divisions, not to the Fund. </w:t>
      </w:r>
      <w:r>
        <w:rPr>
          <w:b/>
        </w:rPr>
        <w:t>Must not be netted against the pension figures.</w:t>
      </w:r>
    </w:p>
    <w:p>
      <w:pPr>
        <w:pStyle w:val="ListBullet"/>
      </w:pPr>
      <w:r>
        <w:rPr>
          <w:b/>
        </w:rPr>
        <w:t>Hazardous duty</w:t>
      </w:r>
      <w:r>
        <w:t xml:space="preserve"> is now </w:t>
      </w:r>
      <w:r>
        <w:rPr>
          <w:i/>
        </w:rPr>
        <w:t>in</w:t>
      </w:r>
      <w:r>
        <w:t xml:space="preserve"> scope and priced at F-22 / F-43 rates — but see A-25: the net direction for SPORS and VaLORS is unresolved.</w:t>
      </w:r>
    </w:p>
    <w:p>
      <w:pPr>
        <w:jc w:val="center"/>
      </w:pPr>
      <w:r>
        <w:rPr>
          <w:color w:val="909090"/>
          <w:sz w:val="18"/>
        </w:rPr>
        <w:t>* * *</w:t>
      </w:r>
    </w:p>
    <w:p>
      <w:pPr>
        <w:pStyle w:val="Heading2"/>
      </w:pPr>
      <w:r>
        <w:t>3. Cost methodology</w:t>
      </w:r>
    </w:p>
    <w:p>
      <w:r>
        <w:t xml:space="preserve">The governing identity and the formula. </w:t>
      </w:r>
      <w:r>
        <w:rPr>
          <w:b/>
        </w:rPr>
        <w:t>No figures.</w:t>
      </w:r>
      <w:r>
        <w:t xml:space="preserve"> The worked surface is at </w:t>
      </w:r>
      <w:hyperlink r:id="rId10">
        <w:r>
          <w:rPr>
            <w:rFonts w:ascii="Calibri" w:hAnsi="Calibri"/>
            <w:color w:val="1A4F8A"/>
            <w:u w:val="single"/>
          </w:rPr>
          <w:t xml:space="preserve">FM-2 § 2.3</w:t>
        </w:r>
      </w:hyperlink>
      <w:r>
        <w:t>; the totals are at FM-4 § 4.4.</w:t>
      </w:r>
    </w:p>
    <w:p>
      <w:pPr>
        <w:pStyle w:val="Heading3"/>
      </w:pPr>
      <w:r>
        <w:t>3.1 Governing identity</w:t>
      </w:r>
    </w:p>
    <w:p>
      <w:r>
        <w:t>From F-26, actuarial equivalent cost is the plan's break-even price. Therefore:</w:t>
      </w:r>
    </w:p>
    <w:p>
      <w:pPr>
        <w:spacing w:before="120" w:after="0" w:line="220" w:lineRule="exact"/>
        <w:ind w:left="240"/>
      </w:pPr>
      <w:r>
        <w:rPr>
          <w:rFonts w:ascii="Consolas" w:hAnsi="Consolas"/>
          <w:color w:val="303030"/>
          <w:sz w:val="18"/>
        </w:rPr>
        <w:t>Cost to the Fund, per year of credit purchased</w:t>
      </w:r>
    </w:p>
    <w:p>
      <w:pPr>
        <w:spacing w:before="0" w:after="120" w:line="220" w:lineRule="exact"/>
        <w:ind w:left="240"/>
      </w:pPr>
      <w:r>
        <w:rPr>
          <w:rFonts w:ascii="Consolas" w:hAnsi="Consolas"/>
          <w:color w:val="303030"/>
          <w:sz w:val="18"/>
        </w:rPr>
        <w:t xml:space="preserve">  = Actuarial Equivalent Cost  −  price actually paid by the member</w:t>
      </w:r>
    </w:p>
    <w:p>
      <w:r>
        <w:t xml:space="preserve">If the gap is zero the bill is free. </w:t>
      </w:r>
      <w:r>
        <w:rPr>
          <w:b/>
        </w:rPr>
        <w:t>If the gap is negative the member subsidises the Fund</w:t>
      </w:r>
      <w:r>
        <w:t xml:space="preserve"> — and below roughly age 47–48 it is negative in all three plans, which is the strongest fiscal argument the proposal has.</w:t>
      </w:r>
    </w:p>
    <w:p>
      <w:r>
        <w:t xml:space="preserve">Because recommendations A-1, A-2 and A-3 differ </w:t>
      </w:r>
      <w:r>
        <w:rPr>
          <w:b/>
        </w:rPr>
        <w:t>only in the member's price</w:t>
      </w:r>
      <w:r>
        <w:t xml:space="preserve"> and never in the value of the credit, the three structures can be compared directly against one benefit value. FM-4 § 4.3 does that.</w:t>
      </w:r>
    </w:p>
    <w:p>
      <w:pPr>
        <w:pStyle w:val="Heading3"/>
      </w:pPr>
      <w:r>
        <w:t>3.2 The two channels — and why an annex-worth of arithmetic missed one of them</w:t>
      </w:r>
    </w:p>
    <w:p>
      <w:r>
        <w:t xml:space="preserve">Purchased § 51.1-142.2 service </w:t>
      </w:r>
      <w:r>
        <w:rPr>
          <w:b/>
        </w:rPr>
        <w:t>is</w:t>
      </w:r>
      <w:r>
        <w:t xml:space="preserve"> creditable service (F-05), and the unreduced-retirement thresholds of § 51.1-153 are written in terms of creditable service. So a purchase does two distinct things, and VRS's own definition of actuarial equivalent cost covers both (F-26):</w:t>
      </w:r>
    </w:p>
    <w:p>
      <w:pPr>
        <w:spacing w:after="60"/>
        <w:ind w:left="432" w:hanging="432"/>
      </w:pPr>
      <w:r>
        <w:rPr>
          <w:b/>
        </w:rPr>
        <w:t>1.</w:t>
        <w:tab/>
      </w:r>
      <w:r>
        <w:rPr>
          <w:b/>
        </w:rPr>
        <w:t>Benefit amount.</w:t>
      </w:r>
      <w:r>
        <w:t xml:space="preserve"> One more year of service in the allowance formula.</w:t>
      </w:r>
    </w:p>
    <w:p>
      <w:pPr>
        <w:spacing w:after="60"/>
        <w:ind w:left="432" w:hanging="432"/>
      </w:pPr>
      <w:r>
        <w:rPr>
          <w:b/>
        </w:rPr>
        <w:t>2.</w:t>
        <w:tab/>
      </w:r>
      <w:r>
        <w:rPr>
          <w:b/>
        </w:rPr>
        <w:t>Eligibility date.</w:t>
      </w:r>
      <w:r>
        <w:t xml:space="preserve"> The unreduced retirement date moves earlier.</w:t>
      </w:r>
    </w:p>
    <w:p>
      <w:r>
        <w:t>v1.1 of this annex priced only (1).</w:t>
      </w:r>
    </w:p>
    <w:p>
      <w:r>
        <w:rPr>
          <w:b/>
        </w:rPr>
        <w:t>The mechanical asymmetry that drives channel (2)</w:t>
      </w:r>
      <w:r>
        <w:t xml:space="preserve"> — the most important mechanical fact in the package:</w:t>
      </w:r>
    </w:p>
    <w:p>
      <w:pPr>
        <w:pStyle w:val="ListBullet"/>
      </w:pPr>
      <w:r>
        <w:rPr>
          <w:b/>
        </w:rPr>
        <w:t>§ 51.1-153 B 1, age 50 with 30 years (Plan 1):</w:t>
      </w:r>
      <w:r>
        <w:t xml:space="preserve"> once the member is past 50 the service leg binds alone, so one purchased year advances eligibility by </w:t>
      </w:r>
      <w:r>
        <w:rPr>
          <w:b/>
        </w:rPr>
        <w:t>one full year</w:t>
      </w:r>
      <w:r>
        <w:t>.</w:t>
      </w:r>
    </w:p>
    <w:p>
      <w:pPr>
        <w:pStyle w:val="ListBullet"/>
      </w:pPr>
      <w:r>
        <w:rPr>
          <w:b/>
        </w:rPr>
        <w:t>§ 51.1-153 B 3, Rule of 90 (Plan 2 and Hybrid):</w:t>
      </w:r>
      <w:r>
        <w:t xml:space="preserve"> a year actually worked adds </w:t>
      </w:r>
      <w:r>
        <w:rPr>
          <w:b/>
        </w:rPr>
        <w:t>two</w:t>
      </w:r>
      <w:r>
        <w:t xml:space="preserve"> points — one of age, one of service. A purchased year adds </w:t>
      </w:r>
      <w:r>
        <w:rPr>
          <w:b/>
        </w:rPr>
        <w:t>one</w:t>
      </w:r>
      <w:r>
        <w:t xml:space="preserve">. So one purchased year advances eligibility by </w:t>
      </w:r>
      <w:r>
        <w:rPr>
          <w:b/>
        </w:rPr>
        <w:t>half a year</w:t>
      </w:r>
      <w:r>
        <w:t>.</w:t>
      </w:r>
    </w:p>
    <w:p>
      <w:r>
        <w:t>Purchased military service is creditable service, but it is not time lived.</w:t>
      </w:r>
    </w:p>
    <w:p>
      <w:r>
        <w:t xml:space="preserve">This asymmetry is also why the guardrail had to be redrawn (A-28). Acceleration exposure is driven by proximity to an eligibility </w:t>
      </w:r>
      <w:r>
        <w:rPr>
          <w:b/>
        </w:rPr>
        <w:t>threshold</w:t>
      </w:r>
      <w:r>
        <w:t xml:space="preserve"> — age </w:t>
      </w:r>
      <w:r>
        <w:rPr>
          <w:i/>
        </w:rPr>
        <w:t>and</w:t>
      </w:r>
      <w:r>
        <w:t xml:space="preserve"> service together — so a schedule graded on age alone cannot reach it. Two 55-year-olds, one with 25 years of service and one with 8, would pay the same age-graded rate while costing the Fund very different amounts.</w:t>
      </w:r>
    </w:p>
    <w:p>
      <w:pPr>
        <w:pStyle w:val="Heading3"/>
      </w:pPr>
      <w:r>
        <w:t>3.3 Estimating AEC as a percentage of salary — benefit-amount channel</w:t>
      </w:r>
    </w:p>
    <w:p>
      <w:pPr>
        <w:spacing w:before="120" w:after="0" w:line="220" w:lineRule="exact"/>
        <w:ind w:left="240"/>
      </w:pPr>
      <w:r>
        <w:rPr>
          <w:rFonts w:ascii="Consolas" w:hAnsi="Consolas"/>
          <w:color w:val="303030"/>
          <w:sz w:val="18"/>
        </w:rPr>
        <w:t>AEC%  =  M × G × ä × v</w:t>
      </w:r>
    </w:p>
    <w:p>
      <w:pPr>
        <w:spacing w:before="0" w:after="0" w:line="220" w:lineRule="exact"/>
        <w:ind w:left="240"/>
      </w:pPr>
      <w:r>
        <w:rPr>
          <w:rFonts w:ascii="Consolas" w:hAnsi="Consolas"/>
          <w:color w:val="303030"/>
          <w:sz w:val="18"/>
        </w:rPr>
        <w:t xml:space="preserve"> </w:t>
      </w:r>
    </w:p>
    <w:p>
      <w:pPr>
        <w:spacing w:before="0" w:after="0" w:line="220" w:lineRule="exact"/>
        <w:ind w:left="240"/>
      </w:pPr>
      <w:r>
        <w:rPr>
          <w:rFonts w:ascii="Consolas" w:hAnsi="Consolas"/>
          <w:color w:val="303030"/>
          <w:sz w:val="18"/>
        </w:rPr>
        <w:t xml:space="preserve">  M  = plan multiplier per year of service            (F-08, F-12)</w:t>
      </w:r>
    </w:p>
    <w:p>
      <w:pPr>
        <w:spacing w:before="0" w:after="0" w:line="220" w:lineRule="exact"/>
        <w:ind w:left="240"/>
      </w:pPr>
      <w:r>
        <w:rPr>
          <w:rFonts w:ascii="Consolas" w:hAnsi="Consolas"/>
          <w:color w:val="303030"/>
          <w:sz w:val="18"/>
        </w:rPr>
        <w:t xml:space="preserve">  G  = salary growth factor from purchase to AFC measurement</w:t>
      </w:r>
    </w:p>
    <w:p>
      <w:pPr>
        <w:spacing w:before="0" w:after="0" w:line="220" w:lineRule="exact"/>
        <w:ind w:left="240"/>
      </w:pPr>
      <w:r>
        <w:rPr>
          <w:rFonts w:ascii="Consolas" w:hAnsi="Consolas"/>
          <w:color w:val="303030"/>
          <w:sz w:val="18"/>
        </w:rPr>
        <w:t xml:space="preserve">       = (1 + A-04) ^ (years to AFC midpoint)</w:t>
      </w:r>
    </w:p>
    <w:p>
      <w:pPr>
        <w:spacing w:before="0" w:after="0" w:line="220" w:lineRule="exact"/>
        <w:ind w:left="240"/>
      </w:pPr>
      <w:r>
        <w:rPr>
          <w:rFonts w:ascii="Consolas" w:hAnsi="Consolas"/>
          <w:color w:val="303030"/>
          <w:sz w:val="18"/>
        </w:rPr>
        <w:t xml:space="preserve">  ä  = COLA-adjusted annuity factor at retirement     (A-02, A-03, A-07)</w:t>
      </w:r>
    </w:p>
    <w:p>
      <w:pPr>
        <w:spacing w:before="0" w:after="0" w:line="220" w:lineRule="exact"/>
        <w:ind w:left="240"/>
      </w:pPr>
      <w:r>
        <w:rPr>
          <w:rFonts w:ascii="Consolas" w:hAnsi="Consolas"/>
          <w:color w:val="303030"/>
          <w:sz w:val="18"/>
        </w:rPr>
        <w:t xml:space="preserve">  v  = discount from retirement back to purchase date</w:t>
      </w:r>
    </w:p>
    <w:p>
      <w:pPr>
        <w:spacing w:before="0" w:after="120" w:line="220" w:lineRule="exact"/>
        <w:ind w:left="240"/>
      </w:pPr>
      <w:r>
        <w:rPr>
          <w:rFonts w:ascii="Consolas" w:hAnsi="Consolas"/>
          <w:color w:val="303030"/>
          <w:sz w:val="18"/>
        </w:rPr>
        <w:t xml:space="preserve">       = 1 / (1 + A-01) ^ (years to retirement)</w:t>
      </w:r>
    </w:p>
    <w:p>
      <w:r>
        <w:t>The acceleration channel is valued separately, as the present value of moving the whole benefit stream earlier net of the shorter accrual, at the member's own eligibility threshold. FM-4 § 4.1–§ 4.2.</w:t>
      </w:r>
    </w:p>
    <w:p>
      <w:pPr>
        <w:pStyle w:val="Heading3"/>
      </w:pPr>
      <w:r>
        <w:t xml:space="preserve">3.4 Why the AEC/ANC </w:t>
      </w:r>
      <w:r>
        <w:rPr>
          <w:i/>
        </w:rPr>
        <w:t>multiple</w:t>
      </w:r>
      <w:r>
        <w:t xml:space="preserve"> is more trustworthy than the dollar level</w:t>
      </w:r>
    </w:p>
    <w:p>
      <w:r>
        <w:t xml:space="preserve">F-25 states that the approximate normal cost rate is "the average cost of one year of VRS service credit." So the ANC rate is, by construction, the correct actuarial price </w:t>
      </w:r>
      <w:r>
        <w:rPr>
          <w:b/>
        </w:rPr>
        <w:t>at the plan's average member</w:t>
      </w:r>
      <w:r>
        <w:t xml:space="preserve">. The AEC/ANC multiple at any other age is therefore a ratio of actuarial value at that age to value at the average age — a quantity in which the annuity basis </w:t>
      </w:r>
      <w:r>
        <w:rPr>
          <w:b/>
        </w:rPr>
        <w:t>largely cancels</w:t>
      </w:r>
      <w:r>
        <w:t>.</w:t>
      </w:r>
    </w:p>
    <w:p>
      <w:r>
        <w:t>The shape of the surface is robust even where its absolute level is an estimate. That is why A-07's sensitivity is reported on the multiple (≈ ±10%) rather than on the dollar figure, and why the 47–48 break-even cluster survives assumption changes that move the dollars materially.</w:t>
      </w:r>
    </w:p>
    <w:p>
      <w:pPr>
        <w:pStyle w:val="Heading3"/>
      </w:pPr>
      <w:r>
        <w:t>3.5 Reproducibility</w:t>
      </w:r>
    </w:p>
    <w:p>
      <w:r>
        <w:t xml:space="preserve">The live model is </w:t>
      </w:r>
      <w:hyperlink r:id="rId12">
        <w:r>
          <w:rPr>
            <w:rFonts w:ascii="Consolas" w:hAnsi="Consolas"/>
            <w:color w:val="1A4F8A"/>
            <w:u w:val="single"/>
            <w:sz w:val="18"/>
          </w:rPr>
          <w:t xml:space="preserve">models/fm_model.py</w:t>
        </w:r>
      </w:hyperlink>
      <w:r>
        <w:t xml:space="preserve"> — </w:t>
      </w:r>
      <w:r>
        <w:rPr>
          <w:rFonts w:ascii="Consolas" w:hAnsi="Consolas"/>
          <w:color w:val="303030"/>
          <w:sz w:val="18"/>
        </w:rPr>
        <w:t>python3 fm_model.py</w:t>
      </w:r>
      <w:r>
        <w:t>. Every input is tagged OFFICIAL / DERIVED / ESTIMATE. The assumption IDs in § 2 above are the register for that model's inputs.</w:t>
      </w:r>
    </w:p>
    <w:p>
      <w:pPr>
        <w:jc w:val="center"/>
      </w:pPr>
      <w:r>
        <w:rPr>
          <w:color w:val="909090"/>
          <w:sz w:val="18"/>
        </w:rPr>
        <w:t>* * *</w:t>
      </w:r>
    </w:p>
    <w:p>
      <w:pPr>
        <w:pStyle w:val="Heading2"/>
      </w:pPr>
      <w:r>
        <w:t>4. What a veteran pays today (verified rates × published salary)</w:t>
      </w:r>
    </w:p>
    <w:p>
      <w:r>
        <w:rPr>
          <w:b/>
        </w:rPr>
        <w:t>Not modelled.</w:t>
      </w:r>
      <w:r>
        <w:t xml:space="preserve"> F-19 through F-22, F-43 and F-44 multiplied by published salary. This is the </w:t>
      </w:r>
      <w:r>
        <w:rPr>
          <w:b/>
        </w:rPr>
        <w:t>member price</w:t>
      </w:r>
      <w:r>
        <w:t>, not the cost to the Fund, and Annex 2 Closure does not compute it. It is the core affordability finding behind the brief's DISCUSSION section and the 60-month payment authority in Annex A, § 2.3.</w:t>
      </w:r>
    </w:p>
    <w:p>
      <w:r>
        <w:t xml:space="preserve">Salary bases, both official: </w:t>
      </w:r>
      <w:r>
        <w:rPr>
          <w:b/>
        </w:rPr>
        <w:t>$69,865</w:t>
      </w:r>
      <w:r>
        <w:t xml:space="preserve"> = mean classified salary (F-34). </w:t>
      </w:r>
      <w:r>
        <w:rPr>
          <w:b/>
        </w:rPr>
        <w:t>$70,790</w:t>
      </w:r>
      <w:r>
        <w:t xml:space="preserve"> = VRS-wide covered payroll per active member (F-51 ÷ F-38), derived at § 7.1. Group-specific bases below are F-51 ÷ F-38 for that group.</w:t>
      </w:r>
    </w:p>
    <w:p>
      <w:r>
        <w:rPr>
          <w:b/>
        </w:rPr>
        <w:t>Non-hazardous, at the VRS-wide average of $70,790:</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Plan</w:t>
            </w:r>
          </w:p>
        </w:tc>
        <w:tc>
          <w:tcPr>
            <w:tcW w:type="dxa" w:w="1728"/>
          </w:tcPr>
          <w:p>
            <w:pPr>
              <w:spacing w:before="20" w:after="20"/>
              <w:jc w:val="left"/>
            </w:pPr>
            <w:r>
              <w:rPr>
                <w:b/>
                <w:sz w:val="17"/>
              </w:rPr>
              <w:t>Rate</w:t>
            </w:r>
          </w:p>
        </w:tc>
        <w:tc>
          <w:tcPr>
            <w:tcW w:type="dxa" w:w="1728"/>
          </w:tcPr>
          <w:p>
            <w:pPr>
              <w:spacing w:before="20" w:after="20"/>
              <w:jc w:val="left"/>
            </w:pPr>
            <w:r>
              <w:rPr>
                <w:b/>
                <w:sz w:val="17"/>
              </w:rPr>
              <w:t>1 year</w:t>
            </w:r>
          </w:p>
        </w:tc>
        <w:tc>
          <w:tcPr>
            <w:tcW w:type="dxa" w:w="1728"/>
          </w:tcPr>
          <w:p>
            <w:pPr>
              <w:spacing w:before="20" w:after="20"/>
              <w:jc w:val="left"/>
            </w:pPr>
            <w:r>
              <w:rPr>
                <w:b/>
                <w:sz w:val="17"/>
              </w:rPr>
              <w:t>4 years</w:t>
            </w:r>
          </w:p>
        </w:tc>
        <w:tc>
          <w:tcPr>
            <w:tcW w:type="dxa" w:w="1728"/>
          </w:tcPr>
          <w:p>
            <w:pPr>
              <w:spacing w:before="20" w:after="20"/>
              <w:jc w:val="left"/>
            </w:pPr>
            <w:r>
              <w:rPr>
                <w:b/>
                <w:sz w:val="17"/>
              </w:rPr>
              <w:t>4 years at the $69,865 classified mean</w:t>
            </w:r>
          </w:p>
        </w:tc>
      </w:tr>
      <w:tr>
        <w:tc>
          <w:tcPr>
            <w:tcW w:type="dxa" w:w="1728"/>
          </w:tcPr>
          <w:p>
            <w:pPr>
              <w:spacing w:before="20" w:after="20"/>
              <w:jc w:val="left"/>
            </w:pPr>
            <w:r>
              <w:rPr>
                <w:sz w:val="17"/>
              </w:rPr>
              <w:t>Hybrid</w:t>
            </w:r>
          </w:p>
        </w:tc>
        <w:tc>
          <w:tcPr>
            <w:tcW w:type="dxa" w:w="1728"/>
          </w:tcPr>
          <w:p>
            <w:pPr>
              <w:spacing w:before="20" w:after="20"/>
              <w:jc w:val="left"/>
            </w:pPr>
            <w:r>
              <w:rPr>
                <w:sz w:val="17"/>
              </w:rPr>
              <w:t>6.68%</w:t>
            </w:r>
          </w:p>
        </w:tc>
        <w:tc>
          <w:tcPr>
            <w:tcW w:type="dxa" w:w="1728"/>
          </w:tcPr>
          <w:p>
            <w:pPr>
              <w:spacing w:before="20" w:after="20"/>
              <w:jc w:val="left"/>
            </w:pPr>
            <w:r>
              <w:rPr>
                <w:sz w:val="17"/>
              </w:rPr>
              <w:t>$4,729</w:t>
            </w:r>
          </w:p>
        </w:tc>
        <w:tc>
          <w:tcPr>
            <w:tcW w:type="dxa" w:w="1728"/>
          </w:tcPr>
          <w:p>
            <w:pPr>
              <w:spacing w:before="20" w:after="20"/>
              <w:jc w:val="left"/>
            </w:pPr>
            <w:r>
              <w:rPr>
                <w:b/>
                <w:sz w:val="17"/>
              </w:rPr>
              <w:t>$18,915</w:t>
            </w:r>
          </w:p>
        </w:tc>
        <w:tc>
          <w:tcPr>
            <w:tcW w:type="dxa" w:w="1728"/>
          </w:tcPr>
          <w:p>
            <w:pPr>
              <w:spacing w:before="20" w:after="20"/>
              <w:jc w:val="left"/>
            </w:pPr>
            <w:r>
              <w:rPr>
                <w:sz w:val="17"/>
              </w:rPr>
              <w:t>$18,668</w:t>
            </w:r>
          </w:p>
        </w:tc>
      </w:tr>
      <w:tr>
        <w:tc>
          <w:tcPr>
            <w:tcW w:type="dxa" w:w="1728"/>
          </w:tcPr>
          <w:p>
            <w:pPr>
              <w:spacing w:before="20" w:after="20"/>
              <w:jc w:val="left"/>
            </w:pPr>
            <w:r>
              <w:rPr>
                <w:sz w:val="17"/>
              </w:rPr>
              <w:t>Plan 2</w:t>
            </w:r>
          </w:p>
        </w:tc>
        <w:tc>
          <w:tcPr>
            <w:tcW w:type="dxa" w:w="1728"/>
          </w:tcPr>
          <w:p>
            <w:pPr>
              <w:spacing w:before="20" w:after="20"/>
              <w:jc w:val="left"/>
            </w:pPr>
            <w:r>
              <w:rPr>
                <w:sz w:val="17"/>
              </w:rPr>
              <w:t>10.74%</w:t>
            </w:r>
          </w:p>
        </w:tc>
        <w:tc>
          <w:tcPr>
            <w:tcW w:type="dxa" w:w="1728"/>
          </w:tcPr>
          <w:p>
            <w:pPr>
              <w:spacing w:before="20" w:after="20"/>
              <w:jc w:val="left"/>
            </w:pPr>
            <w:r>
              <w:rPr>
                <w:sz w:val="17"/>
              </w:rPr>
              <w:t>$7,603</w:t>
            </w:r>
          </w:p>
        </w:tc>
        <w:tc>
          <w:tcPr>
            <w:tcW w:type="dxa" w:w="1728"/>
          </w:tcPr>
          <w:p>
            <w:pPr>
              <w:spacing w:before="20" w:after="20"/>
              <w:jc w:val="left"/>
            </w:pPr>
            <w:r>
              <w:rPr>
                <w:b/>
                <w:sz w:val="17"/>
              </w:rPr>
              <w:t>$30,411</w:t>
            </w:r>
          </w:p>
        </w:tc>
        <w:tc>
          <w:tcPr>
            <w:tcW w:type="dxa" w:w="1728"/>
          </w:tcPr>
          <w:p>
            <w:pPr>
              <w:spacing w:before="20" w:after="20"/>
              <w:jc w:val="left"/>
            </w:pPr>
            <w:r>
              <w:rPr>
                <w:sz w:val="17"/>
              </w:rPr>
              <w:t>$30,014</w:t>
            </w:r>
          </w:p>
        </w:tc>
      </w:tr>
      <w:tr>
        <w:tc>
          <w:tcPr>
            <w:tcW w:type="dxa" w:w="1728"/>
          </w:tcPr>
          <w:p>
            <w:pPr>
              <w:spacing w:before="20" w:after="20"/>
              <w:jc w:val="left"/>
            </w:pPr>
            <w:r>
              <w:rPr>
                <w:sz w:val="17"/>
              </w:rPr>
              <w:t>Plan 1</w:t>
            </w:r>
          </w:p>
        </w:tc>
        <w:tc>
          <w:tcPr>
            <w:tcW w:type="dxa" w:w="1728"/>
          </w:tcPr>
          <w:p>
            <w:pPr>
              <w:spacing w:before="20" w:after="20"/>
              <w:jc w:val="left"/>
            </w:pPr>
            <w:r>
              <w:rPr>
                <w:sz w:val="17"/>
              </w:rPr>
              <w:t>12.50%</w:t>
            </w:r>
          </w:p>
        </w:tc>
        <w:tc>
          <w:tcPr>
            <w:tcW w:type="dxa" w:w="1728"/>
          </w:tcPr>
          <w:p>
            <w:pPr>
              <w:spacing w:before="20" w:after="20"/>
              <w:jc w:val="left"/>
            </w:pPr>
            <w:r>
              <w:rPr>
                <w:sz w:val="17"/>
              </w:rPr>
              <w:t>$8,849</w:t>
            </w:r>
          </w:p>
        </w:tc>
        <w:tc>
          <w:tcPr>
            <w:tcW w:type="dxa" w:w="1728"/>
          </w:tcPr>
          <w:p>
            <w:pPr>
              <w:spacing w:before="20" w:after="20"/>
              <w:jc w:val="left"/>
            </w:pPr>
            <w:r>
              <w:rPr>
                <w:b/>
                <w:sz w:val="17"/>
              </w:rPr>
              <w:t>$35,395</w:t>
            </w:r>
          </w:p>
        </w:tc>
        <w:tc>
          <w:tcPr>
            <w:tcW w:type="dxa" w:w="1728"/>
          </w:tcPr>
          <w:p>
            <w:pPr>
              <w:spacing w:before="20" w:after="20"/>
              <w:jc w:val="left"/>
            </w:pPr>
            <w:r>
              <w:rPr>
                <w:sz w:val="17"/>
              </w:rPr>
              <w:t>$34,932</w:t>
            </w:r>
          </w:p>
        </w:tc>
      </w:tr>
    </w:tbl>
    <w:p>
      <w:pPr>
        <w:spacing w:before="0" w:after="0" w:line="80" w:lineRule="exact"/>
      </w:pPr>
      <w:r>
        <w:rPr>
          <w:sz w:val="8"/>
        </w:rPr>
      </w:r>
    </w:p>
    <w:p>
      <w:r>
        <w:rPr>
          <w:b/>
        </w:rPr>
        <w:t>Hazardous duty and judicial — new in v2.0, and the sharper half of the affordability finding.</w:t>
      </w:r>
      <w:r>
        <w:t xml:space="preserve"> v1.1 omitted these groups entirely. Each is shown at its own group's average covered payroll, because applying a statewide mean to SPORS or JRS would be meaningless.</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Group and plan</w:t>
            </w:r>
          </w:p>
        </w:tc>
        <w:tc>
          <w:tcPr>
            <w:tcW w:type="dxa" w:w="1728"/>
          </w:tcPr>
          <w:p>
            <w:pPr>
              <w:spacing w:before="20" w:after="20"/>
              <w:jc w:val="left"/>
            </w:pPr>
            <w:r>
              <w:rPr>
                <w:b/>
                <w:sz w:val="17"/>
              </w:rPr>
              <w:t>Rate</w:t>
            </w:r>
          </w:p>
        </w:tc>
        <w:tc>
          <w:tcPr>
            <w:tcW w:type="dxa" w:w="1728"/>
          </w:tcPr>
          <w:p>
            <w:pPr>
              <w:spacing w:before="20" w:after="20"/>
              <w:jc w:val="left"/>
            </w:pPr>
            <w:r>
              <w:rPr>
                <w:b/>
                <w:sz w:val="17"/>
              </w:rPr>
              <w:t>Salary basis</w:t>
            </w:r>
          </w:p>
        </w:tc>
        <w:tc>
          <w:tcPr>
            <w:tcW w:type="dxa" w:w="1728"/>
          </w:tcPr>
          <w:p>
            <w:pPr>
              <w:spacing w:before="20" w:after="20"/>
              <w:jc w:val="left"/>
            </w:pPr>
            <w:r>
              <w:rPr>
                <w:b/>
                <w:sz w:val="17"/>
              </w:rPr>
              <w:t>1 year</w:t>
            </w:r>
          </w:p>
        </w:tc>
        <w:tc>
          <w:tcPr>
            <w:tcW w:type="dxa" w:w="1728"/>
          </w:tcPr>
          <w:p>
            <w:pPr>
              <w:spacing w:before="20" w:after="20"/>
              <w:jc w:val="left"/>
            </w:pPr>
            <w:r>
              <w:rPr>
                <w:b/>
                <w:sz w:val="17"/>
              </w:rPr>
              <w:t>4 years</w:t>
            </w:r>
          </w:p>
        </w:tc>
      </w:tr>
      <w:tr>
        <w:tc>
          <w:tcPr>
            <w:tcW w:type="dxa" w:w="1728"/>
          </w:tcPr>
          <w:p>
            <w:pPr>
              <w:spacing w:before="20" w:after="20"/>
              <w:jc w:val="left"/>
            </w:pPr>
            <w:r>
              <w:rPr>
                <w:sz w:val="17"/>
              </w:rPr>
              <w:t xml:space="preserve">Hazardous duty </w:t>
            </w:r>
            <w:r>
              <w:rPr>
                <w:b/>
                <w:sz w:val="17"/>
              </w:rPr>
              <w:t>alternate option</w:t>
            </w:r>
            <w:r>
              <w:rPr>
                <w:sz w:val="17"/>
              </w:rPr>
              <w:t xml:space="preserve"> (electing localities; F-43)</w:t>
            </w:r>
          </w:p>
        </w:tc>
        <w:tc>
          <w:tcPr>
            <w:tcW w:type="dxa" w:w="1728"/>
          </w:tcPr>
          <w:p>
            <w:pPr>
              <w:spacing w:before="20" w:after="20"/>
              <w:jc w:val="left"/>
            </w:pPr>
            <w:r>
              <w:rPr>
                <w:sz w:val="17"/>
              </w:rPr>
              <w:t>10.01%</w:t>
            </w:r>
          </w:p>
        </w:tc>
        <w:tc>
          <w:tcPr>
            <w:tcW w:type="dxa" w:w="1728"/>
          </w:tcPr>
          <w:p>
            <w:pPr>
              <w:spacing w:before="20" w:after="20"/>
              <w:jc w:val="left"/>
            </w:pPr>
            <w:r>
              <w:rPr>
                <w:sz w:val="17"/>
              </w:rPr>
              <w:t>$70,790</w:t>
            </w:r>
          </w:p>
        </w:tc>
        <w:tc>
          <w:tcPr>
            <w:tcW w:type="dxa" w:w="1728"/>
          </w:tcPr>
          <w:p>
            <w:pPr>
              <w:spacing w:before="20" w:after="20"/>
              <w:jc w:val="left"/>
            </w:pPr>
            <w:r>
              <w:rPr>
                <w:sz w:val="17"/>
              </w:rPr>
              <w:t>$7,086</w:t>
            </w:r>
          </w:p>
        </w:tc>
        <w:tc>
          <w:tcPr>
            <w:tcW w:type="dxa" w:w="1728"/>
          </w:tcPr>
          <w:p>
            <w:pPr>
              <w:spacing w:before="20" w:after="20"/>
              <w:jc w:val="left"/>
            </w:pPr>
            <w:r>
              <w:rPr>
                <w:b/>
                <w:sz w:val="17"/>
              </w:rPr>
              <w:t>$28,344</w:t>
            </w:r>
          </w:p>
        </w:tc>
      </w:tr>
      <w:tr>
        <w:tc>
          <w:tcPr>
            <w:tcW w:type="dxa" w:w="1728"/>
          </w:tcPr>
          <w:p>
            <w:pPr>
              <w:spacing w:before="20" w:after="20"/>
              <w:jc w:val="left"/>
            </w:pPr>
            <w:r>
              <w:rPr>
                <w:b/>
                <w:sz w:val="17"/>
              </w:rPr>
              <w:t>VaLORS</w:t>
            </w:r>
            <w:r>
              <w:rPr>
                <w:sz w:val="17"/>
              </w:rPr>
              <w:t>, Plan 2 hazardous duty</w:t>
            </w:r>
          </w:p>
        </w:tc>
        <w:tc>
          <w:tcPr>
            <w:tcW w:type="dxa" w:w="1728"/>
          </w:tcPr>
          <w:p>
            <w:pPr>
              <w:spacing w:before="20" w:after="20"/>
              <w:jc w:val="left"/>
            </w:pPr>
            <w:r>
              <w:rPr>
                <w:sz w:val="17"/>
              </w:rPr>
              <w:t>19.15%</w:t>
            </w:r>
          </w:p>
        </w:tc>
        <w:tc>
          <w:tcPr>
            <w:tcW w:type="dxa" w:w="1728"/>
          </w:tcPr>
          <w:p>
            <w:pPr>
              <w:spacing w:before="20" w:after="20"/>
              <w:jc w:val="left"/>
            </w:pPr>
            <w:r>
              <w:rPr>
                <w:sz w:val="17"/>
              </w:rPr>
              <w:t>$57,817</w:t>
            </w:r>
          </w:p>
        </w:tc>
        <w:tc>
          <w:tcPr>
            <w:tcW w:type="dxa" w:w="1728"/>
          </w:tcPr>
          <w:p>
            <w:pPr>
              <w:spacing w:before="20" w:after="20"/>
              <w:jc w:val="left"/>
            </w:pPr>
            <w:r>
              <w:rPr>
                <w:sz w:val="17"/>
              </w:rPr>
              <w:t>$11,072</w:t>
            </w:r>
          </w:p>
        </w:tc>
        <w:tc>
          <w:tcPr>
            <w:tcW w:type="dxa" w:w="1728"/>
          </w:tcPr>
          <w:p>
            <w:pPr>
              <w:spacing w:before="20" w:after="20"/>
              <w:jc w:val="left"/>
            </w:pPr>
            <w:r>
              <w:rPr>
                <w:b/>
                <w:sz w:val="17"/>
              </w:rPr>
              <w:t>$44,288</w:t>
            </w:r>
          </w:p>
        </w:tc>
      </w:tr>
      <w:tr>
        <w:tc>
          <w:tcPr>
            <w:tcW w:type="dxa" w:w="1728"/>
          </w:tcPr>
          <w:p>
            <w:pPr>
              <w:spacing w:before="20" w:after="20"/>
              <w:jc w:val="left"/>
            </w:pPr>
            <w:r>
              <w:rPr>
                <w:b/>
                <w:sz w:val="17"/>
              </w:rPr>
              <w:t>SPORS</w:t>
            </w:r>
            <w:r>
              <w:rPr>
                <w:sz w:val="17"/>
              </w:rPr>
              <w:t>, Plan 2 hazardous duty</w:t>
            </w:r>
          </w:p>
        </w:tc>
        <w:tc>
          <w:tcPr>
            <w:tcW w:type="dxa" w:w="1728"/>
          </w:tcPr>
          <w:p>
            <w:pPr>
              <w:spacing w:before="20" w:after="20"/>
              <w:jc w:val="left"/>
            </w:pPr>
            <w:r>
              <w:rPr>
                <w:sz w:val="17"/>
              </w:rPr>
              <w:t>19.15%</w:t>
            </w:r>
          </w:p>
        </w:tc>
        <w:tc>
          <w:tcPr>
            <w:tcW w:type="dxa" w:w="1728"/>
          </w:tcPr>
          <w:p>
            <w:pPr>
              <w:spacing w:before="20" w:after="20"/>
              <w:jc w:val="left"/>
            </w:pPr>
            <w:r>
              <w:rPr>
                <w:sz w:val="17"/>
              </w:rPr>
              <w:t>$96,476</w:t>
            </w:r>
          </w:p>
        </w:tc>
        <w:tc>
          <w:tcPr>
            <w:tcW w:type="dxa" w:w="1728"/>
          </w:tcPr>
          <w:p>
            <w:pPr>
              <w:spacing w:before="20" w:after="20"/>
              <w:jc w:val="left"/>
            </w:pPr>
            <w:r>
              <w:rPr>
                <w:sz w:val="17"/>
              </w:rPr>
              <w:t>$18,475</w:t>
            </w:r>
          </w:p>
        </w:tc>
        <w:tc>
          <w:tcPr>
            <w:tcW w:type="dxa" w:w="1728"/>
          </w:tcPr>
          <w:p>
            <w:pPr>
              <w:spacing w:before="20" w:after="20"/>
              <w:jc w:val="left"/>
            </w:pPr>
            <w:r>
              <w:rPr>
                <w:b/>
                <w:sz w:val="17"/>
              </w:rPr>
              <w:t>$73,901</w:t>
            </w:r>
          </w:p>
        </w:tc>
      </w:tr>
      <w:tr>
        <w:tc>
          <w:tcPr>
            <w:tcW w:type="dxa" w:w="1728"/>
          </w:tcPr>
          <w:p>
            <w:pPr>
              <w:spacing w:before="20" w:after="20"/>
              <w:jc w:val="left"/>
            </w:pPr>
            <w:r>
              <w:rPr>
                <w:b/>
                <w:sz w:val="17"/>
              </w:rPr>
              <w:t>SPORS</w:t>
            </w:r>
            <w:r>
              <w:rPr>
                <w:sz w:val="17"/>
              </w:rPr>
              <w:t>, Plan 1 hazardous duty</w:t>
            </w:r>
          </w:p>
        </w:tc>
        <w:tc>
          <w:tcPr>
            <w:tcW w:type="dxa" w:w="1728"/>
          </w:tcPr>
          <w:p>
            <w:pPr>
              <w:spacing w:before="20" w:after="20"/>
              <w:jc w:val="left"/>
            </w:pPr>
            <w:r>
              <w:rPr>
                <w:sz w:val="17"/>
              </w:rPr>
              <w:t>23.78%</w:t>
            </w:r>
          </w:p>
        </w:tc>
        <w:tc>
          <w:tcPr>
            <w:tcW w:type="dxa" w:w="1728"/>
          </w:tcPr>
          <w:p>
            <w:pPr>
              <w:spacing w:before="20" w:after="20"/>
              <w:jc w:val="left"/>
            </w:pPr>
            <w:r>
              <w:rPr>
                <w:sz w:val="17"/>
              </w:rPr>
              <w:t>$96,476</w:t>
            </w:r>
          </w:p>
        </w:tc>
        <w:tc>
          <w:tcPr>
            <w:tcW w:type="dxa" w:w="1728"/>
          </w:tcPr>
          <w:p>
            <w:pPr>
              <w:spacing w:before="20" w:after="20"/>
              <w:jc w:val="left"/>
            </w:pPr>
            <w:r>
              <w:rPr>
                <w:sz w:val="17"/>
              </w:rPr>
              <w:t>$22,942</w:t>
            </w:r>
          </w:p>
        </w:tc>
        <w:tc>
          <w:tcPr>
            <w:tcW w:type="dxa" w:w="1728"/>
          </w:tcPr>
          <w:p>
            <w:pPr>
              <w:spacing w:before="20" w:after="20"/>
              <w:jc w:val="left"/>
            </w:pPr>
            <w:r>
              <w:rPr>
                <w:b/>
                <w:sz w:val="17"/>
              </w:rPr>
              <w:t>$91,768</w:t>
            </w:r>
          </w:p>
        </w:tc>
      </w:tr>
      <w:tr>
        <w:tc>
          <w:tcPr>
            <w:tcW w:type="dxa" w:w="1728"/>
          </w:tcPr>
          <w:p>
            <w:pPr>
              <w:spacing w:before="20" w:after="20"/>
              <w:jc w:val="left"/>
            </w:pPr>
            <w:r>
              <w:rPr>
                <w:b/>
                <w:sz w:val="17"/>
              </w:rPr>
              <w:t>JRS</w:t>
            </w:r>
            <w:r>
              <w:rPr>
                <w:sz w:val="17"/>
              </w:rPr>
              <w:t>, Plan 2 judicial (F-42)</w:t>
            </w:r>
          </w:p>
        </w:tc>
        <w:tc>
          <w:tcPr>
            <w:tcW w:type="dxa" w:w="1728"/>
          </w:tcPr>
          <w:p>
            <w:pPr>
              <w:spacing w:before="20" w:after="20"/>
              <w:jc w:val="left"/>
            </w:pPr>
            <w:r>
              <w:rPr>
                <w:sz w:val="17"/>
              </w:rPr>
              <w:t>29.67%</w:t>
            </w:r>
          </w:p>
        </w:tc>
        <w:tc>
          <w:tcPr>
            <w:tcW w:type="dxa" w:w="1728"/>
          </w:tcPr>
          <w:p>
            <w:pPr>
              <w:spacing w:before="20" w:after="20"/>
              <w:jc w:val="left"/>
            </w:pPr>
            <w:r>
              <w:rPr>
                <w:sz w:val="17"/>
              </w:rPr>
              <w:t>$209,883</w:t>
            </w:r>
          </w:p>
        </w:tc>
        <w:tc>
          <w:tcPr>
            <w:tcW w:type="dxa" w:w="1728"/>
          </w:tcPr>
          <w:p>
            <w:pPr>
              <w:spacing w:before="20" w:after="20"/>
              <w:jc w:val="left"/>
            </w:pPr>
            <w:r>
              <w:rPr>
                <w:sz w:val="17"/>
              </w:rPr>
              <w:t>$62,272</w:t>
            </w:r>
          </w:p>
        </w:tc>
        <w:tc>
          <w:tcPr>
            <w:tcW w:type="dxa" w:w="1728"/>
          </w:tcPr>
          <w:p>
            <w:pPr>
              <w:spacing w:before="20" w:after="20"/>
              <w:jc w:val="left"/>
            </w:pPr>
            <w:r>
              <w:rPr>
                <w:b/>
                <w:sz w:val="17"/>
              </w:rPr>
              <w:t>$249,089</w:t>
            </w:r>
          </w:p>
        </w:tc>
      </w:tr>
    </w:tbl>
    <w:p>
      <w:pPr>
        <w:spacing w:before="0" w:after="0" w:line="80" w:lineRule="exact"/>
      </w:pPr>
      <w:r>
        <w:rPr>
          <w:sz w:val="8"/>
        </w:rPr>
      </w:r>
    </w:p>
    <w:p>
      <w:r>
        <w:rPr>
          <w:b/>
        </w:rPr>
        <w:t>Three things to take from this table.</w:t>
      </w:r>
    </w:p>
    <w:p>
      <w:pPr>
        <w:spacing w:after="60"/>
        <w:ind w:left="432" w:hanging="432"/>
      </w:pPr>
      <w:r>
        <w:rPr>
          <w:b/>
        </w:rPr>
        <w:t>1.</w:t>
        <w:tab/>
      </w:r>
      <w:r>
        <w:rPr>
          <w:b/>
        </w:rPr>
        <w:t>These are floors.</w:t>
      </w:r>
      <w:r>
        <w:t xml:space="preserve"> F-23: the rate applies to creditable compensation </w:t>
      </w:r>
      <w:r>
        <w:rPr>
          <w:b/>
        </w:rPr>
        <w:t>or AFC at the time of purchase, whichever is higher</w:t>
      </w:r>
      <w:r>
        <w:t>. A mid- or late-career purchase is priced off a higher salary than these averages.</w:t>
      </w:r>
    </w:p>
    <w:p>
      <w:pPr>
        <w:spacing w:after="60"/>
        <w:ind w:left="432" w:hanging="432"/>
      </w:pPr>
      <w:r>
        <w:rPr>
          <w:b/>
        </w:rPr>
        <w:t>2.</w:t>
        <w:tab/>
      </w:r>
      <w:r>
        <w:rPr>
          <w:b/>
        </w:rPr>
        <w:t>Combined with F-27, current law is close to unusable for its intended beneficiaries.</w:t>
      </w:r>
      <w:r>
        <w:t xml:space="preserve"> Payment agreements run 6–12 months and may not extend beyond the two-year window. A Hybrid veteran must therefore find </w:t>
      </w:r>
      <w:r>
        <w:rPr>
          <w:b/>
        </w:rPr>
        <w:t>$18,915</w:t>
      </w:r>
      <w:r>
        <w:t xml:space="preserve"> within two years of being hired — the point in a career at which someone transitioning out of the service has the least liquidity. A VaLORS officer must find </w:t>
      </w:r>
      <w:r>
        <w:rPr>
          <w:b/>
        </w:rPr>
        <w:t>$44,288</w:t>
      </w:r>
      <w:r>
        <w:t>. This is the affordability case for the 60-month payment authority, stated in published numbers rather than in modelled ones.</w:t>
      </w:r>
    </w:p>
    <w:p>
      <w:pPr>
        <w:spacing w:after="60"/>
        <w:ind w:left="432" w:hanging="432"/>
      </w:pPr>
      <w:r>
        <w:rPr>
          <w:b/>
        </w:rPr>
        <w:t>3.</w:t>
        <w:tab/>
      </w:r>
      <w:r>
        <w:rPr>
          <w:b/>
        </w:rPr>
        <w:t>Hazardous duty is where both the Fund's exposure and the member's price are largest</w:t>
      </w:r>
      <w:r>
        <w:t xml:space="preserve"> (FM-3). Those partly offset; the net is for the actuary — A-25.</w:t>
      </w:r>
    </w:p>
    <w:p>
      <w:pPr>
        <w:jc w:val="center"/>
      </w:pPr>
      <w:r>
        <w:rPr>
          <w:color w:val="909090"/>
          <w:sz w:val="18"/>
        </w:rPr>
        <w:t>* * *</w:t>
      </w:r>
    </w:p>
    <w:p>
      <w:pPr>
        <w:pStyle w:val="Heading2"/>
      </w:pPr>
      <w:r>
        <w:t>5. Unverified, open and deliberately omitted claims</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ID</w:t>
            </w:r>
          </w:p>
        </w:tc>
        <w:tc>
          <w:tcPr>
            <w:tcW w:type="dxa" w:w="2160"/>
          </w:tcPr>
          <w:p>
            <w:pPr>
              <w:spacing w:before="20" w:after="20"/>
              <w:jc w:val="left"/>
            </w:pPr>
            <w:r>
              <w:rPr>
                <w:b/>
                <w:sz w:val="17"/>
              </w:rPr>
              <w:t>Claim</w:t>
            </w:r>
          </w:p>
        </w:tc>
        <w:tc>
          <w:tcPr>
            <w:tcW w:type="dxa" w:w="2160"/>
          </w:tcPr>
          <w:p>
            <w:pPr>
              <w:spacing w:before="20" w:after="20"/>
              <w:jc w:val="left"/>
            </w:pPr>
            <w:r>
              <w:rPr>
                <w:b/>
                <w:sz w:val="17"/>
              </w:rPr>
              <w:t>Status</w:t>
            </w:r>
          </w:p>
        </w:tc>
        <w:tc>
          <w:tcPr>
            <w:tcW w:type="dxa" w:w="2160"/>
          </w:tcPr>
          <w:p>
            <w:pPr>
              <w:spacing w:before="20" w:after="20"/>
              <w:jc w:val="left"/>
            </w:pPr>
            <w:r>
              <w:rPr>
                <w:b/>
                <w:sz w:val="17"/>
              </w:rPr>
              <w:t>What would resolve it</w:t>
            </w:r>
          </w:p>
        </w:tc>
      </w:tr>
      <w:tr>
        <w:tc>
          <w:tcPr>
            <w:tcW w:type="dxa" w:w="2160"/>
          </w:tcPr>
          <w:p>
            <w:pPr>
              <w:spacing w:before="20" w:after="20"/>
              <w:jc w:val="left"/>
            </w:pPr>
            <w:r>
              <w:rPr>
                <w:sz w:val="17"/>
              </w:rPr>
              <w:t>U-01</w:t>
            </w:r>
          </w:p>
        </w:tc>
        <w:tc>
          <w:tcPr>
            <w:tcW w:type="dxa" w:w="2160"/>
          </w:tcPr>
          <w:p>
            <w:pPr>
              <w:spacing w:before="20" w:after="20"/>
              <w:jc w:val="left"/>
            </w:pPr>
            <w:r>
              <w:rPr>
                <w:b/>
                <w:sz w:val="17"/>
              </w:rPr>
              <w:t>Historical take-up</w:t>
            </w:r>
            <w:r>
              <w:rPr>
                <w:sz w:val="17"/>
              </w:rPr>
              <w:t xml:space="preserve"> for § 51.1-142.2 military purchases</w:t>
            </w:r>
          </w:p>
        </w:tc>
        <w:tc>
          <w:tcPr>
            <w:tcW w:type="dxa" w:w="2160"/>
          </w:tcPr>
          <w:p>
            <w:pPr>
              <w:spacing w:before="20" w:after="20"/>
              <w:jc w:val="left"/>
            </w:pPr>
            <w:r>
              <w:rPr>
                <w:b/>
                <w:sz w:val="17"/>
              </w:rPr>
              <w:t>Not available publicly.</w:t>
            </w:r>
            <w:r>
              <w:rPr>
                <w:sz w:val="17"/>
              </w:rPr>
              <w:t xml:space="preserve"> The single input that most changes the answer (A-22)</w:t>
            </w:r>
          </w:p>
        </w:tc>
        <w:tc>
          <w:tcPr>
            <w:tcW w:type="dxa" w:w="2160"/>
          </w:tcPr>
          <w:p>
            <w:pPr>
              <w:spacing w:before="20" w:after="20"/>
              <w:jc w:val="left"/>
            </w:pPr>
            <w:r>
              <w:rPr>
                <w:b/>
                <w:sz w:val="17"/>
              </w:rPr>
              <w:t>VRS data request item 5</w:t>
            </w:r>
            <w:r>
              <w:rPr>
                <w:sz w:val="17"/>
              </w:rPr>
              <w:t xml:space="preserve"> — purchases completed per year for ten years, split by ANC vs AEC pricing, with average years and average dollars. Annex A, Q5</w:t>
            </w:r>
          </w:p>
        </w:tc>
      </w:tr>
      <w:tr>
        <w:tc>
          <w:tcPr>
            <w:tcW w:type="dxa" w:w="2160"/>
          </w:tcPr>
          <w:p>
            <w:pPr>
              <w:spacing w:before="20" w:after="20"/>
              <w:jc w:val="left"/>
            </w:pPr>
            <w:r>
              <w:rPr>
                <w:sz w:val="17"/>
              </w:rPr>
              <w:t>U-02</w:t>
            </w:r>
          </w:p>
        </w:tc>
        <w:tc>
          <w:tcPr>
            <w:tcW w:type="dxa" w:w="2160"/>
          </w:tcPr>
          <w:p>
            <w:pPr>
              <w:spacing w:before="20" w:after="20"/>
              <w:jc w:val="left"/>
            </w:pPr>
            <w:r>
              <w:rPr>
                <w:sz w:val="17"/>
              </w:rPr>
              <w:t xml:space="preserve">Number of members holding </w:t>
            </w:r>
            <w:r>
              <w:rPr>
                <w:b/>
                <w:sz w:val="17"/>
              </w:rPr>
              <w:t>verified but unpurchased</w:t>
            </w:r>
            <w:r>
              <w:rPr>
                <w:sz w:val="17"/>
              </w:rPr>
              <w:t xml:space="preserve"> military service</w:t>
            </w:r>
          </w:p>
        </w:tc>
        <w:tc>
          <w:tcPr>
            <w:tcW w:type="dxa" w:w="2160"/>
          </w:tcPr>
          <w:p>
            <w:pPr>
              <w:spacing w:before="20" w:after="20"/>
              <w:jc w:val="left"/>
            </w:pPr>
            <w:r>
              <w:rPr>
                <w:b/>
                <w:sz w:val="17"/>
              </w:rPr>
              <w:t>Irreducibly unavailable — and now confirmed so by VRS itself.</w:t>
            </w:r>
            <w:r>
              <w:rPr>
                <w:sz w:val="17"/>
              </w:rPr>
              <w:t xml:space="preserve"> F-62: VRS told the 2023 General Assembly it "is not able to determine the number of current teachers or future teachers who would have prior active military service to purchase." Verified military service exists in VRS records only for members who already applied (F-29); members who hold it and never applied are not identifiable from VRS data at all, only from an employer self-identification field — which is what F-31 is, and why it is a floor. </w:t>
            </w:r>
            <w:r>
              <w:rPr>
                <w:b/>
                <w:sz w:val="17"/>
              </w:rPr>
              <w:t>This is useful rather than merely limiting:</w:t>
            </w:r>
            <w:r>
              <w:rPr>
                <w:sz w:val="17"/>
              </w:rPr>
              <w:t xml:space="preserve"> it means no one can produce a point estimate here, so the range in FM-1 § 1.6 is not a shortcoming of this analysis</w:t>
            </w:r>
          </w:p>
        </w:tc>
        <w:tc>
          <w:tcPr>
            <w:tcW w:type="dxa" w:w="2160"/>
          </w:tcPr>
          <w:p>
            <w:pPr>
              <w:spacing w:before="20" w:after="20"/>
              <w:jc w:val="left"/>
            </w:pPr>
            <w:r>
              <w:rPr>
                <w:sz w:val="17"/>
              </w:rPr>
              <w:t xml:space="preserve">Items 1–4 and 6–7 of the § 1.7 request still narrow it as far as it can be narrowed. </w:t>
            </w:r>
            <w:r>
              <w:rPr>
                <w:b/>
                <w:sz w:val="17"/>
              </w:rPr>
              <w:t>A point estimate should not be promised to anyone</w:t>
            </w:r>
          </w:p>
        </w:tc>
      </w:tr>
      <w:tr>
        <w:tc>
          <w:tcPr>
            <w:tcW w:type="dxa" w:w="2160"/>
          </w:tcPr>
          <w:p>
            <w:pPr>
              <w:spacing w:before="20" w:after="20"/>
              <w:jc w:val="left"/>
            </w:pPr>
            <w:r>
              <w:rPr>
                <w:sz w:val="17"/>
              </w:rPr>
              <w:t>U-03</w:t>
            </w:r>
          </w:p>
        </w:tc>
        <w:tc>
          <w:tcPr>
            <w:tcW w:type="dxa" w:w="2160"/>
          </w:tcPr>
          <w:p>
            <w:pPr>
              <w:spacing w:before="20" w:after="20"/>
              <w:jc w:val="left"/>
            </w:pPr>
            <w:r>
              <w:rPr>
                <w:sz w:val="17"/>
              </w:rPr>
              <w:t xml:space="preserve">Whether purchased military service counts toward </w:t>
            </w:r>
            <w:r>
              <w:rPr>
                <w:b/>
                <w:sz w:val="17"/>
              </w:rPr>
              <w:t>hazardous-duty service thresholds</w:t>
            </w:r>
          </w:p>
        </w:tc>
        <w:tc>
          <w:tcPr>
            <w:tcW w:type="dxa" w:w="2160"/>
          </w:tcPr>
          <w:p>
            <w:pPr>
              <w:spacing w:before="20" w:after="20"/>
              <w:jc w:val="left"/>
            </w:pPr>
            <w:r>
              <w:rPr>
                <w:b/>
                <w:sz w:val="17"/>
              </w:rPr>
              <w:t>Not determined.</w:t>
            </w:r>
            <w:r>
              <w:rPr>
                <w:sz w:val="17"/>
              </w:rPr>
              <w:t xml:space="preserve"> More consequential than in v1.1, since hazardous duty is in scope and carries the largest per-member exposure</w:t>
            </w:r>
          </w:p>
        </w:tc>
        <w:tc>
          <w:tcPr>
            <w:tcW w:type="dxa" w:w="2160"/>
          </w:tcPr>
          <w:p>
            <w:pPr>
              <w:spacing w:before="20" w:after="20"/>
              <w:jc w:val="left"/>
            </w:pPr>
            <w:r>
              <w:rPr>
                <w:sz w:val="17"/>
              </w:rPr>
              <w:t>VRS counsel — Annex A, Q4</w:t>
            </w:r>
          </w:p>
        </w:tc>
      </w:tr>
      <w:tr>
        <w:tc>
          <w:tcPr>
            <w:tcW w:type="dxa" w:w="2160"/>
          </w:tcPr>
          <w:p>
            <w:pPr>
              <w:spacing w:before="20" w:after="20"/>
              <w:jc w:val="left"/>
            </w:pPr>
            <w:r>
              <w:rPr>
                <w:sz w:val="17"/>
              </w:rPr>
              <w:t>U-04</w:t>
            </w:r>
          </w:p>
        </w:tc>
        <w:tc>
          <w:tcPr>
            <w:tcW w:type="dxa" w:w="2160"/>
          </w:tcPr>
          <w:p>
            <w:pPr>
              <w:spacing w:before="20" w:after="20"/>
              <w:jc w:val="left"/>
            </w:pPr>
            <w:r>
              <w:rPr>
                <w:b/>
                <w:sz w:val="17"/>
              </w:rPr>
              <w:t>Plan mix by employer group</w:t>
            </w:r>
          </w:p>
        </w:tc>
        <w:tc>
          <w:tcPr>
            <w:tcW w:type="dxa" w:w="2160"/>
          </w:tcPr>
          <w:p>
            <w:pPr>
              <w:spacing w:before="20" w:after="20"/>
              <w:jc w:val="left"/>
            </w:pPr>
            <w:r>
              <w:rPr>
                <w:b/>
                <w:sz w:val="17"/>
              </w:rPr>
              <w:t>Not published.</w:t>
            </w:r>
            <w:r>
              <w:rPr>
                <w:sz w:val="17"/>
              </w:rPr>
              <w:t xml:space="preserve"> Governs A-25; the SPORS / VaLORS net is unresolvable without it</w:t>
            </w:r>
          </w:p>
        </w:tc>
        <w:tc>
          <w:tcPr>
            <w:tcW w:type="dxa" w:w="2160"/>
          </w:tcPr>
          <w:p>
            <w:pPr>
              <w:spacing w:before="20" w:after="20"/>
              <w:jc w:val="left"/>
            </w:pPr>
            <w:r>
              <w:rPr>
                <w:b/>
                <w:sz w:val="17"/>
              </w:rPr>
              <w:t>VRS data request item 1</w:t>
            </w:r>
          </w:p>
        </w:tc>
      </w:tr>
      <w:tr>
        <w:tc>
          <w:tcPr>
            <w:tcW w:type="dxa" w:w="2160"/>
          </w:tcPr>
          <w:p>
            <w:pPr>
              <w:spacing w:before="20" w:after="20"/>
              <w:jc w:val="left"/>
            </w:pPr>
            <w:r>
              <w:rPr>
                <w:sz w:val="17"/>
              </w:rPr>
              <w:t>U-05</w:t>
            </w:r>
          </w:p>
        </w:tc>
        <w:tc>
          <w:tcPr>
            <w:tcW w:type="dxa" w:w="2160"/>
          </w:tcPr>
          <w:p>
            <w:pPr>
              <w:spacing w:before="20" w:after="20"/>
              <w:jc w:val="left"/>
            </w:pPr>
            <w:r>
              <w:rPr>
                <w:sz w:val="17"/>
              </w:rPr>
              <w:t xml:space="preserve">The </w:t>
            </w:r>
            <w:r>
              <w:rPr>
                <w:b/>
                <w:sz w:val="17"/>
              </w:rPr>
              <w:t>actuarial-equivalent-cost factor basis</w:t>
            </w:r>
          </w:p>
        </w:tc>
        <w:tc>
          <w:tcPr>
            <w:tcW w:type="dxa" w:w="2160"/>
          </w:tcPr>
          <w:p>
            <w:pPr>
              <w:spacing w:before="20" w:after="20"/>
              <w:jc w:val="left"/>
            </w:pPr>
            <w:r>
              <w:rPr>
                <w:b/>
                <w:sz w:val="17"/>
              </w:rPr>
              <w:t>Exists and is requestable — this changed between v1.1 and v2.0.</w:t>
            </w:r>
            <w:r>
              <w:rPr>
                <w:sz w:val="17"/>
              </w:rPr>
              <w:t xml:space="preserve"> F-46: the Plan Actuary develops AEC rates annually from the prior-year valuation. It is a document, not a per-member computation that must be commissioned. Say "VRS does not publish it," not "VRS has none"</w:t>
            </w:r>
          </w:p>
        </w:tc>
        <w:tc>
          <w:tcPr>
            <w:tcW w:type="dxa" w:w="2160"/>
          </w:tcPr>
          <w:p>
            <w:pPr>
              <w:spacing w:before="20" w:after="20"/>
              <w:jc w:val="left"/>
            </w:pPr>
            <w:r>
              <w:rPr>
                <w:b/>
                <w:sz w:val="17"/>
              </w:rPr>
              <w:t>VRS data request item 8</w:t>
            </w:r>
            <w:r>
              <w:rPr>
                <w:sz w:val="17"/>
              </w:rPr>
              <w:t>, naming Gabriel, Roeder, Smith &amp; Company (F-52)</w:t>
            </w:r>
          </w:p>
        </w:tc>
      </w:tr>
      <w:tr>
        <w:tc>
          <w:tcPr>
            <w:tcW w:type="dxa" w:w="2160"/>
          </w:tcPr>
          <w:p>
            <w:pPr>
              <w:spacing w:before="20" w:after="20"/>
              <w:jc w:val="left"/>
            </w:pPr>
            <w:r>
              <w:rPr>
                <w:sz w:val="17"/>
              </w:rPr>
              <w:t>U-06</w:t>
            </w:r>
          </w:p>
        </w:tc>
        <w:tc>
          <w:tcPr>
            <w:tcW w:type="dxa" w:w="2160"/>
          </w:tcPr>
          <w:p>
            <w:pPr>
              <w:spacing w:before="20" w:after="20"/>
              <w:jc w:val="left"/>
            </w:pPr>
            <w:r>
              <w:rPr>
                <w:b/>
                <w:sz w:val="17"/>
              </w:rPr>
              <w:t>Pinpoint for the HB 1867 fiscal impact statement</w:t>
            </w:r>
            <w:r>
              <w:rPr>
                <w:sz w:val="17"/>
              </w:rPr>
              <w:t xml:space="preserve"> (F-56)</w:t>
            </w:r>
          </w:p>
        </w:tc>
        <w:tc>
          <w:tcPr>
            <w:tcW w:type="dxa" w:w="2160"/>
          </w:tcPr>
          <w:p>
            <w:pPr>
              <w:spacing w:before="20" w:after="20"/>
              <w:jc w:val="left"/>
            </w:pPr>
            <w:r>
              <w:rPr>
                <w:b/>
                <w:sz w:val="17"/>
              </w:rPr>
              <w:t>CLOSED October 25, 2026.</w:t>
            </w:r>
            <w:r>
              <w:rPr>
                <w:sz w:val="17"/>
              </w:rPr>
              <w:t xml:space="preserve"> Retrieved from Virginia LIS (document HB1867F158, dated 1/16/2023). The band is verbatim and the statement contains </w:t>
            </w:r>
            <w:r>
              <w:rPr>
                <w:b/>
                <w:sz w:val="17"/>
              </w:rPr>
              <w:t>more</w:t>
            </w:r>
            <w:r>
              <w:rPr>
                <w:sz w:val="17"/>
              </w:rPr>
              <w:t xml:space="preserve"> than was being cited: VRS's own worked total of </w:t>
            </w:r>
            <w:r>
              <w:rPr>
                <w:b/>
                <w:sz w:val="17"/>
              </w:rPr>
              <w:t>$50 million</w:t>
            </w:r>
            <w:r>
              <w:rPr>
                <w:sz w:val="17"/>
              </w:rPr>
              <w:t xml:space="preserve"> at 1% teacher take-up on a </w:t>
            </w:r>
            <w:r>
              <w:rPr>
                <w:b/>
                <w:sz w:val="17"/>
              </w:rPr>
              <w:t>$35,000</w:t>
            </w:r>
            <w:r>
              <w:rPr>
                <w:sz w:val="17"/>
              </w:rPr>
              <w:t xml:space="preserve"> average (F-60), the $78,000 administrative figure with "employer cost to implement: None" (F-61), VRS's own statement that it cannot identify who holds the service (F-62), and VRS confirming the credit reaches vesting, retirement eligibility and the HIC (F-63). Confidence raised Medium → High. See § 7.5</w:t>
            </w:r>
          </w:p>
        </w:tc>
        <w:tc>
          <w:tcPr>
            <w:tcW w:type="dxa" w:w="2160"/>
          </w:tcPr>
          <w:p>
            <w:pPr>
              <w:spacing w:before="20" w:after="20"/>
              <w:jc w:val="left"/>
            </w:pPr>
            <w:r>
              <w:rPr>
                <w:sz w:val="17"/>
              </w:rPr>
              <w:t>—</w:t>
            </w:r>
          </w:p>
        </w:tc>
      </w:tr>
      <w:tr>
        <w:tc>
          <w:tcPr>
            <w:tcW w:type="dxa" w:w="2160"/>
          </w:tcPr>
          <w:p>
            <w:pPr>
              <w:spacing w:before="20" w:after="20"/>
              <w:jc w:val="left"/>
            </w:pPr>
            <w:r>
              <w:rPr>
                <w:sz w:val="17"/>
              </w:rPr>
              <w:t>U-07</w:t>
            </w:r>
          </w:p>
        </w:tc>
        <w:tc>
          <w:tcPr>
            <w:tcW w:type="dxa" w:w="2160"/>
          </w:tcPr>
          <w:p>
            <w:pPr>
              <w:spacing w:before="20" w:after="20"/>
              <w:jc w:val="left"/>
            </w:pPr>
            <w:r>
              <w:rPr>
                <w:b/>
                <w:sz w:val="17"/>
              </w:rPr>
              <w:t>SB 950 (2026)</w:t>
            </w:r>
            <w:r>
              <w:rPr>
                <w:sz w:val="17"/>
              </w:rPr>
              <w:t xml:space="preserve"> putting new judges in Plan 2 (F-42)</w:t>
            </w:r>
          </w:p>
        </w:tc>
        <w:tc>
          <w:tcPr>
            <w:tcW w:type="dxa" w:w="2160"/>
          </w:tcPr>
          <w:p>
            <w:pPr>
              <w:spacing w:before="20" w:after="20"/>
              <w:jc w:val="left"/>
            </w:pPr>
            <w:r>
              <w:rPr>
                <w:b/>
                <w:sz w:val="17"/>
              </w:rPr>
              <w:t>Verified only at one remove</w:t>
            </w:r>
            <w:r>
              <w:rPr>
                <w:sz w:val="17"/>
              </w:rPr>
              <w:t xml:space="preserve"> — read from the VRS ACFR FY2025 legislative summary, not from the chapter text</w:t>
            </w:r>
          </w:p>
        </w:tc>
        <w:tc>
          <w:tcPr>
            <w:tcW w:type="dxa" w:w="2160"/>
          </w:tcPr>
          <w:p>
            <w:pPr>
              <w:spacing w:before="20" w:after="20"/>
              <w:jc w:val="left"/>
            </w:pPr>
            <w:r>
              <w:rPr>
                <w:sz w:val="17"/>
              </w:rPr>
              <w:t>Retrieve the 2026 Acts of Assembly chapter text for SB 950</w:t>
            </w:r>
          </w:p>
        </w:tc>
      </w:tr>
      <w:tr>
        <w:tc>
          <w:tcPr>
            <w:tcW w:type="dxa" w:w="2160"/>
          </w:tcPr>
          <w:p>
            <w:pPr>
              <w:spacing w:before="20" w:after="20"/>
              <w:jc w:val="left"/>
            </w:pPr>
            <w:r>
              <w:rPr>
                <w:sz w:val="17"/>
              </w:rPr>
              <w:t>U-08</w:t>
            </w:r>
          </w:p>
        </w:tc>
        <w:tc>
          <w:tcPr>
            <w:tcW w:type="dxa" w:w="2160"/>
          </w:tcPr>
          <w:p>
            <w:pPr>
              <w:spacing w:before="20" w:after="20"/>
              <w:jc w:val="left"/>
            </w:pPr>
            <w:r>
              <w:rPr>
                <w:b/>
                <w:sz w:val="17"/>
              </w:rPr>
              <w:t>Standards of Quality composite share</w:t>
            </w:r>
          </w:p>
        </w:tc>
        <w:tc>
          <w:tcPr>
            <w:tcW w:type="dxa" w:w="2160"/>
          </w:tcPr>
          <w:p>
            <w:pPr>
              <w:spacing w:before="20" w:after="20"/>
              <w:jc w:val="left"/>
            </w:pPr>
            <w:r>
              <w:rPr>
                <w:b/>
                <w:sz w:val="17"/>
              </w:rPr>
              <w:t>Deliberately not assumed</w:t>
            </w:r>
            <w:r>
              <w:rPr>
                <w:sz w:val="17"/>
              </w:rPr>
              <w:t xml:space="preserve"> (A-26)</w:t>
            </w:r>
          </w:p>
        </w:tc>
        <w:tc>
          <w:tcPr>
            <w:tcW w:type="dxa" w:w="2160"/>
          </w:tcPr>
          <w:p>
            <w:pPr>
              <w:spacing w:before="20" w:after="20"/>
              <w:jc w:val="left"/>
            </w:pPr>
            <w:r>
              <w:rPr>
                <w:sz w:val="17"/>
              </w:rPr>
              <w:t>DPB</w:t>
            </w:r>
          </w:p>
        </w:tc>
      </w:tr>
      <w:tr>
        <w:tc>
          <w:tcPr>
            <w:tcW w:type="dxa" w:w="2160"/>
          </w:tcPr>
          <w:p>
            <w:pPr>
              <w:spacing w:before="20" w:after="20"/>
              <w:jc w:val="left"/>
            </w:pPr>
            <w:r>
              <w:rPr>
                <w:sz w:val="17"/>
              </w:rPr>
              <w:t>U-09</w:t>
            </w:r>
          </w:p>
        </w:tc>
        <w:tc>
          <w:tcPr>
            <w:tcW w:type="dxa" w:w="2160"/>
          </w:tcPr>
          <w:p>
            <w:pPr>
              <w:spacing w:before="20" w:after="20"/>
              <w:jc w:val="left"/>
            </w:pPr>
            <w:r>
              <w:rPr>
                <w:sz w:val="17"/>
              </w:rPr>
              <w:t xml:space="preserve">Veteran </w:t>
            </w:r>
            <w:r>
              <w:rPr>
                <w:b/>
                <w:sz w:val="17"/>
              </w:rPr>
              <w:t>new hires</w:t>
            </w:r>
            <w:r>
              <w:rPr>
                <w:sz w:val="17"/>
              </w:rPr>
              <w:t xml:space="preserve"> per year into state service</w:t>
            </w:r>
          </w:p>
        </w:tc>
        <w:tc>
          <w:tcPr>
            <w:tcW w:type="dxa" w:w="2160"/>
          </w:tcPr>
          <w:p>
            <w:pPr>
              <w:spacing w:before="20" w:after="20"/>
              <w:jc w:val="left"/>
            </w:pPr>
            <w:r>
              <w:rPr>
                <w:b/>
                <w:sz w:val="17"/>
              </w:rPr>
              <w:t>Estimate retired, not replaced</w:t>
            </w:r>
            <w:r>
              <w:rPr>
                <w:sz w:val="17"/>
              </w:rPr>
              <w:t xml:space="preserve"> (A-14 → § 2.3). DHRM publishes the veteran share of the standing workforce, not of new hires. Likely above 6% given the § 2.2-2903 preference (F-18)</w:t>
            </w:r>
          </w:p>
        </w:tc>
        <w:tc>
          <w:tcPr>
            <w:tcW w:type="dxa" w:w="2160"/>
          </w:tcPr>
          <w:p>
            <w:pPr>
              <w:spacing w:before="20" w:after="20"/>
              <w:jc w:val="left"/>
            </w:pPr>
            <w:r>
              <w:rPr>
                <w:sz w:val="17"/>
              </w:rPr>
              <w:t>DHRM or Cardinal HCM new-hire data disaggregated by veteran status</w:t>
            </w:r>
          </w:p>
        </w:tc>
      </w:tr>
      <w:tr>
        <w:tc>
          <w:tcPr>
            <w:tcW w:type="dxa" w:w="2160"/>
          </w:tcPr>
          <w:p>
            <w:pPr>
              <w:spacing w:before="20" w:after="20"/>
              <w:jc w:val="left"/>
            </w:pPr>
            <w:r>
              <w:rPr>
                <w:sz w:val="17"/>
              </w:rPr>
              <w:t>U-10</w:t>
            </w:r>
          </w:p>
        </w:tc>
        <w:tc>
          <w:tcPr>
            <w:tcW w:type="dxa" w:w="2160"/>
          </w:tcPr>
          <w:p>
            <w:pPr>
              <w:spacing w:before="20" w:after="20"/>
              <w:jc w:val="left"/>
            </w:pPr>
            <w:r>
              <w:rPr>
                <w:sz w:val="17"/>
              </w:rPr>
              <w:t xml:space="preserve">Prior General Assembly bills changing the </w:t>
            </w:r>
            <w:r>
              <w:rPr>
                <w:b/>
                <w:sz w:val="17"/>
              </w:rPr>
              <w:t>military</w:t>
            </w:r>
            <w:r>
              <w:rPr>
                <w:sz w:val="17"/>
              </w:rPr>
              <w:t xml:space="preserve"> cost window</w:t>
            </w:r>
          </w:p>
        </w:tc>
        <w:tc>
          <w:tcPr>
            <w:tcW w:type="dxa" w:w="2160"/>
          </w:tcPr>
          <w:p>
            <w:pPr>
              <w:spacing w:before="20" w:after="20"/>
              <w:jc w:val="left"/>
            </w:pPr>
            <w:r>
              <w:rPr>
                <w:b/>
                <w:sz w:val="17"/>
              </w:rPr>
              <w:t>Searched; none identified.</w:t>
            </w:r>
            <w:r>
              <w:rPr>
                <w:sz w:val="17"/>
              </w:rPr>
              <w:t xml:space="preserve"> 2026 c. 563 amended § 51.1-142.2 for an unrelated purpose (F-36)</w:t>
            </w:r>
          </w:p>
        </w:tc>
        <w:tc>
          <w:tcPr>
            <w:tcW w:type="dxa" w:w="2160"/>
          </w:tcPr>
          <w:p>
            <w:pPr>
              <w:spacing w:before="20" w:after="20"/>
              <w:jc w:val="left"/>
            </w:pPr>
            <w:r>
              <w:rPr>
                <w:sz w:val="17"/>
              </w:rPr>
              <w:t>A full LIS bill-history search of § 51.1-142.2 amendments by Legislative Services</w:t>
            </w:r>
          </w:p>
        </w:tc>
      </w:tr>
      <w:tr>
        <w:tc>
          <w:tcPr>
            <w:tcW w:type="dxa" w:w="2160"/>
          </w:tcPr>
          <w:p>
            <w:pPr>
              <w:spacing w:before="20" w:after="20"/>
              <w:jc w:val="left"/>
            </w:pPr>
            <w:r>
              <w:rPr>
                <w:sz w:val="17"/>
              </w:rPr>
              <w:t>U-11</w:t>
            </w:r>
          </w:p>
        </w:tc>
        <w:tc>
          <w:tcPr>
            <w:tcW w:type="dxa" w:w="2160"/>
          </w:tcPr>
          <w:p>
            <w:pPr>
              <w:spacing w:before="20" w:after="20"/>
              <w:jc w:val="left"/>
            </w:pPr>
            <w:r>
              <w:rPr>
                <w:sz w:val="17"/>
              </w:rPr>
              <w:t>Virginia's total veteran population</w:t>
            </w:r>
          </w:p>
        </w:tc>
        <w:tc>
          <w:tcPr>
            <w:tcW w:type="dxa" w:w="2160"/>
          </w:tcPr>
          <w:p>
            <w:pPr>
              <w:spacing w:before="20" w:after="20"/>
              <w:jc w:val="left"/>
            </w:pPr>
            <w:r>
              <w:rPr>
                <w:b/>
                <w:sz w:val="17"/>
              </w:rPr>
              <w:t>Resolved in v2.0 — verified at 646,000</w:t>
            </w:r>
            <w:r>
              <w:rPr>
                <w:sz w:val="17"/>
              </w:rPr>
              <w:t xml:space="preserve"> (F-58), inside the 630,000–665,000 band v1.1 flagged and omitted. Still not load-bearing, but citable if asked</w:t>
            </w:r>
          </w:p>
        </w:tc>
        <w:tc>
          <w:tcPr>
            <w:tcW w:type="dxa" w:w="2160"/>
          </w:tcPr>
          <w:p>
            <w:pPr>
              <w:spacing w:before="20" w:after="20"/>
              <w:jc w:val="left"/>
            </w:pPr>
            <w:r>
              <w:rPr>
                <w:sz w:val="17"/>
              </w:rPr>
              <w:t>—</w:t>
            </w:r>
          </w:p>
        </w:tc>
      </w:tr>
      <w:tr>
        <w:tc>
          <w:tcPr>
            <w:tcW w:type="dxa" w:w="2160"/>
          </w:tcPr>
          <w:p>
            <w:pPr>
              <w:spacing w:before="20" w:after="20"/>
              <w:jc w:val="left"/>
            </w:pPr>
            <w:r>
              <w:rPr>
                <w:sz w:val="17"/>
              </w:rPr>
              <w:t>U-12</w:t>
            </w:r>
          </w:p>
        </w:tc>
        <w:tc>
          <w:tcPr>
            <w:tcW w:type="dxa" w:w="2160"/>
          </w:tcPr>
          <w:p>
            <w:pPr>
              <w:spacing w:before="20" w:after="20"/>
              <w:jc w:val="left"/>
            </w:pPr>
            <w:r>
              <w:rPr>
                <w:sz w:val="17"/>
              </w:rPr>
              <w:t xml:space="preserve">The DVS Commissioner's Annual Report FY2025 </w:t>
            </w:r>
            <w:r>
              <w:rPr>
                <w:b/>
                <w:sz w:val="17"/>
              </w:rPr>
              <w:t>does not state</w:t>
            </w:r>
            <w:r>
              <w:rPr>
                <w:sz w:val="17"/>
              </w:rPr>
              <w:t xml:space="preserve"> a Virginia veteran population figure</w:t>
            </w:r>
          </w:p>
        </w:tc>
        <w:tc>
          <w:tcPr>
            <w:tcW w:type="dxa" w:w="2160"/>
          </w:tcPr>
          <w:p>
            <w:pPr>
              <w:spacing w:before="20" w:after="20"/>
              <w:jc w:val="left"/>
            </w:pPr>
            <w:r>
              <w:rPr>
                <w:b/>
                <w:sz w:val="17"/>
              </w:rPr>
              <w:t>Verified absence.</w:t>
            </w:r>
            <w:r>
              <w:rPr>
                <w:sz w:val="17"/>
              </w:rPr>
              <w:t xml:space="preserve"> Reports V3 program outputs only</w:t>
            </w:r>
          </w:p>
        </w:tc>
        <w:tc>
          <w:tcPr>
            <w:tcW w:type="dxa" w:w="2160"/>
          </w:tcPr>
          <w:p>
            <w:pPr>
              <w:spacing w:before="20" w:after="20"/>
              <w:jc w:val="left"/>
            </w:pPr>
            <w:r>
              <w:rPr>
                <w:sz w:val="17"/>
              </w:rPr>
              <w:t>—</w:t>
            </w:r>
          </w:p>
        </w:tc>
      </w:tr>
      <w:tr>
        <w:tc>
          <w:tcPr>
            <w:tcW w:type="dxa" w:w="2160"/>
          </w:tcPr>
          <w:p>
            <w:pPr>
              <w:spacing w:before="20" w:after="20"/>
              <w:jc w:val="left"/>
            </w:pPr>
            <w:r>
              <w:rPr>
                <w:sz w:val="17"/>
              </w:rPr>
              <w:t>U-13</w:t>
            </w:r>
          </w:p>
        </w:tc>
        <w:tc>
          <w:tcPr>
            <w:tcW w:type="dxa" w:w="2160"/>
          </w:tcPr>
          <w:p>
            <w:pPr>
              <w:spacing w:before="20" w:after="20"/>
              <w:jc w:val="left"/>
            </w:pPr>
            <w:r>
              <w:rPr>
                <w:sz w:val="17"/>
              </w:rPr>
              <w:t>Age of the NCES teacher veteran share (F-59)</w:t>
            </w:r>
          </w:p>
        </w:tc>
        <w:tc>
          <w:tcPr>
            <w:tcW w:type="dxa" w:w="2160"/>
          </w:tcPr>
          <w:p>
            <w:pPr>
              <w:spacing w:before="20" w:after="20"/>
              <w:jc w:val="left"/>
            </w:pPr>
            <w:r>
              <w:rPr>
                <w:b/>
                <w:sz w:val="17"/>
              </w:rPr>
              <w:t>2016 data, used as the teacher floor.</w:t>
            </w:r>
            <w:r>
              <w:rPr>
                <w:sz w:val="17"/>
              </w:rPr>
              <w:t xml:space="preserve"> No more recent published figure located</w:t>
            </w:r>
          </w:p>
        </w:tc>
        <w:tc>
          <w:tcPr>
            <w:tcW w:type="dxa" w:w="2160"/>
          </w:tcPr>
          <w:p>
            <w:pPr>
              <w:spacing w:before="20" w:after="20"/>
              <w:jc w:val="left"/>
            </w:pPr>
            <w:r>
              <w:rPr>
                <w:sz w:val="17"/>
              </w:rPr>
              <w:t>A more recent NCES or BLS cut of teachers by veteran status</w:t>
            </w:r>
          </w:p>
        </w:tc>
      </w:tr>
    </w:tbl>
    <w:p>
      <w:pPr>
        <w:spacing w:before="0" w:after="0" w:line="80" w:lineRule="exact"/>
      </w:pPr>
      <w:r>
        <w:rPr>
          <w:sz w:val="8"/>
        </w:rPr>
      </w:r>
    </w:p>
    <w:p>
      <w:pPr>
        <w:jc w:val="center"/>
      </w:pPr>
      <w:r>
        <w:rPr>
          <w:color w:val="909090"/>
          <w:sz w:val="18"/>
        </w:rPr>
        <w:t>* * *</w:t>
      </w:r>
    </w:p>
    <w:p>
      <w:pPr>
        <w:pStyle w:val="Heading2"/>
      </w:pPr>
      <w:r>
        <w:t>6. Primary sources</w:t>
      </w:r>
    </w:p>
    <w:p>
      <w:r>
        <w:t>All retrieved October 24, 2026. This is the consolidated list for the package; Annex 2 Closure's own table is this same set plus its derivations.</w:t>
      </w:r>
    </w:p>
    <w:p>
      <w:r>
        <w:rPr>
          <w:b/>
        </w:rPr>
        <w:t>Code of Virginia</w:t>
      </w:r>
      <w:r>
        <w:t xml:space="preserve"> (all retrieved and text-verified):</w:t>
      </w:r>
    </w:p>
    <w:p>
      <w:pPr>
        <w:pStyle w:val="ListBullet"/>
      </w:pPr>
      <w:hyperlink r:id="rId13">
        <w:r>
          <w:rPr>
            <w:rFonts w:ascii="Calibri" w:hAnsi="Calibri"/>
            <w:color w:val="1A4F8A"/>
            <w:u w:val="single"/>
          </w:rPr>
          <w:t xml:space="preserve">§ 51.1-142.2</w:t>
        </w:r>
      </w:hyperlink>
      <w:r>
        <w:t xml:space="preserve"> · </w:t>
      </w:r>
      <w:hyperlink r:id="rId14">
        <w:r>
          <w:rPr>
            <w:rFonts w:ascii="Calibri" w:hAnsi="Calibri"/>
            <w:color w:val="1A4F8A"/>
            <w:u w:val="single"/>
          </w:rPr>
          <w:t xml:space="preserve">§ 51.1-124.3</w:t>
        </w:r>
      </w:hyperlink>
      <w:r>
        <w:t xml:space="preserve"> · </w:t>
      </w:r>
      <w:hyperlink r:id="rId15">
        <w:r>
          <w:rPr>
            <w:rFonts w:ascii="Calibri" w:hAnsi="Calibri"/>
            <w:color w:val="1A4F8A"/>
            <w:u w:val="single"/>
          </w:rPr>
          <w:t xml:space="preserve">§ 51.1-128</w:t>
        </w:r>
      </w:hyperlink>
      <w:r>
        <w:t xml:space="preserve"> · </w:t>
      </w:r>
      <w:hyperlink r:id="rId16">
        <w:r>
          <w:rPr>
            <w:rFonts w:ascii="Calibri" w:hAnsi="Calibri"/>
            <w:color w:val="1A4F8A"/>
            <w:u w:val="single"/>
          </w:rPr>
          <w:t xml:space="preserve">§ 51.1-138</w:t>
        </w:r>
      </w:hyperlink>
      <w:r>
        <w:t xml:space="preserve"> · </w:t>
      </w:r>
      <w:hyperlink r:id="rId17">
        <w:r>
          <w:rPr>
            <w:rFonts w:ascii="Calibri" w:hAnsi="Calibri"/>
            <w:color w:val="1A4F8A"/>
            <w:u w:val="single"/>
          </w:rPr>
          <w:t xml:space="preserve">§ 51.1-145</w:t>
        </w:r>
      </w:hyperlink>
      <w:r>
        <w:t xml:space="preserve"> · </w:t>
      </w:r>
      <w:hyperlink r:id="rId18">
        <w:r>
          <w:rPr>
            <w:rFonts w:ascii="Calibri" w:hAnsi="Calibri"/>
            <w:color w:val="1A4F8A"/>
            <w:u w:val="single"/>
          </w:rPr>
          <w:t xml:space="preserve">§ 51.1-153</w:t>
        </w:r>
      </w:hyperlink>
      <w:r>
        <w:t xml:space="preserve"> · </w:t>
      </w:r>
      <w:hyperlink r:id="rId19">
        <w:r>
          <w:rPr>
            <w:rFonts w:ascii="Calibri" w:hAnsi="Calibri"/>
            <w:color w:val="1A4F8A"/>
            <w:u w:val="single"/>
          </w:rPr>
          <w:t xml:space="preserve">§ 51.1-155</w:t>
        </w:r>
      </w:hyperlink>
      <w:r>
        <w:t xml:space="preserve"> · </w:t>
      </w:r>
      <w:hyperlink r:id="rId20">
        <w:r>
          <w:rPr>
            <w:rFonts w:ascii="Calibri" w:hAnsi="Calibri"/>
            <w:color w:val="1A4F8A"/>
            <w:u w:val="single"/>
          </w:rPr>
          <w:t xml:space="preserve">§ 51.1-165.01</w:t>
        </w:r>
      </w:hyperlink>
      <w:r>
        <w:t xml:space="preserve"> · </w:t>
      </w:r>
      <w:hyperlink r:id="rId21">
        <w:r>
          <w:rPr>
            <w:rFonts w:ascii="Calibri" w:hAnsi="Calibri"/>
            <w:color w:val="1A4F8A"/>
            <w:u w:val="single"/>
          </w:rPr>
          <w:t xml:space="preserve">§ 51.1-166</w:t>
        </w:r>
      </w:hyperlink>
      <w:r>
        <w:t xml:space="preserve"> · </w:t>
      </w:r>
      <w:hyperlink r:id="rId22">
        <w:r>
          <w:rPr>
            <w:rFonts w:ascii="Calibri" w:hAnsi="Calibri"/>
            <w:color w:val="1A4F8A"/>
            <w:u w:val="single"/>
          </w:rPr>
          <w:t xml:space="preserve">§ 51.1-169</w:t>
        </w:r>
      </w:hyperlink>
      <w:r>
        <w:t xml:space="preserve"> · </w:t>
      </w:r>
      <w:hyperlink r:id="rId23">
        <w:r>
          <w:rPr>
            <w:rFonts w:ascii="Calibri" w:hAnsi="Calibri"/>
            <w:color w:val="1A4F8A"/>
            <w:u w:val="single"/>
          </w:rPr>
          <w:t xml:space="preserve">§ 51.1-1400</w:t>
        </w:r>
      </w:hyperlink>
      <w:r>
        <w:t xml:space="preserve"> · </w:t>
      </w:r>
      <w:hyperlink r:id="rId24">
        <w:r>
          <w:rPr>
            <w:rFonts w:ascii="Calibri" w:hAnsi="Calibri"/>
            <w:color w:val="1A4F8A"/>
            <w:u w:val="single"/>
          </w:rPr>
          <w:t xml:space="preserve">§ 2.2-2903</w:t>
        </w:r>
      </w:hyperlink>
      <w:r>
        <w:t xml:space="preserve"> · </w:t>
      </w:r>
      <w:hyperlink r:id="rId25">
        <w:r>
          <w:rPr>
            <w:rFonts w:ascii="Calibri" w:hAnsi="Calibri"/>
            <w:color w:val="1A4F8A"/>
            <w:u w:val="single"/>
          </w:rPr>
          <w:t xml:space="preserve">§ 30-19.1:7</w:t>
        </w:r>
      </w:hyperlink>
    </w:p>
    <w:p>
      <w:r>
        <w:rPr>
          <w:b/>
        </w:rPr>
        <w:t>Virginia Retirement System:</w:t>
      </w:r>
    </w:p>
    <w:p>
      <w:pPr>
        <w:pStyle w:val="ListBullet"/>
      </w:pPr>
      <w:hyperlink r:id="rId26">
        <w:r>
          <w:rPr>
            <w:rFonts w:ascii="Calibri" w:hAnsi="Calibri"/>
            <w:color w:val="1A4F8A"/>
            <w:u w:val="single"/>
            <w:i/>
          </w:rPr>
          <w:t xml:space="preserve">Purchase of Prior Service Cost Rates</w:t>
        </w:r>
      </w:hyperlink>
      <w:r>
        <w:t xml:space="preserve"> — rates effective July 1, 2025, pp. 1–4</w:t>
      </w:r>
    </w:p>
    <w:p>
      <w:pPr>
        <w:pStyle w:val="ListBullet"/>
      </w:pPr>
      <w:hyperlink r:id="rId27">
        <w:r>
          <w:rPr>
            <w:rFonts w:ascii="Calibri" w:hAnsi="Calibri"/>
            <w:color w:val="1A4F8A"/>
            <w:u w:val="single"/>
          </w:rPr>
          <w:t xml:space="preserve">VRS Employer Manual, </w:t>
        </w:r>
      </w:hyperlink>
      <w:hyperlink r:id="rId27">
        <w:r>
          <w:rPr>
            <w:rFonts w:ascii="Calibri" w:hAnsi="Calibri"/>
            <w:color w:val="1A4F8A"/>
            <w:u w:val="single"/>
            <w:i/>
          </w:rPr>
          <w:t xml:space="preserve">Purchase of Prior Service Credit</w:t>
        </w:r>
      </w:hyperlink>
      <w:r>
        <w:t xml:space="preserve"> — July 2026 edition</w:t>
      </w:r>
    </w:p>
    <w:p>
      <w:pPr>
        <w:pStyle w:val="ListBullet"/>
      </w:pPr>
      <w:hyperlink r:id="rId28">
        <w:r>
          <w:rPr>
            <w:rFonts w:ascii="Calibri" w:hAnsi="Calibri"/>
            <w:color w:val="1A4F8A"/>
            <w:u w:val="single"/>
          </w:rPr>
          <w:t xml:space="preserve">VRS Annual Comprehensive Financial Report FY2025</w:t>
        </w:r>
      </w:hyperlink>
      <w:r>
        <w:t xml:space="preserve"> — Figures 2.3, 2.9, 2.10; legislative summary</w:t>
      </w:r>
    </w:p>
    <w:p>
      <w:pPr>
        <w:pStyle w:val="ListBullet"/>
      </w:pPr>
      <w:hyperlink r:id="rId29">
        <w:r>
          <w:rPr>
            <w:rFonts w:ascii="Calibri" w:hAnsi="Calibri"/>
            <w:color w:val="1A4F8A"/>
            <w:u w:val="single"/>
          </w:rPr>
          <w:t xml:space="preserve">VRS Annual Actuarial Valuation, June 30, 2025</w:t>
        </w:r>
      </w:hyperlink>
      <w:r>
        <w:t xml:space="preserve"> — Executive Summary; Results Summary by group</w:t>
      </w:r>
    </w:p>
    <w:p>
      <w:pPr>
        <w:pStyle w:val="ListBullet"/>
      </w:pPr>
      <w:hyperlink r:id="rId30">
        <w:r>
          <w:rPr>
            <w:rFonts w:ascii="Calibri" w:hAnsi="Calibri"/>
            <w:color w:val="1A4F8A"/>
            <w:u w:val="single"/>
            <w:i/>
          </w:rPr>
          <w:t xml:space="preserve">VRS 101 / Who We Serve</w:t>
        </w:r>
      </w:hyperlink>
      <w:r>
        <w:t xml:space="preserve"> — 2025 edition, p. 4</w:t>
      </w:r>
    </w:p>
    <w:p>
      <w:pPr>
        <w:pStyle w:val="ListBullet"/>
      </w:pPr>
      <w:r>
        <w:t xml:space="preserve">VRS Board of Trustees minutes — </w:t>
      </w:r>
      <w:hyperlink r:id="rId31">
        <w:r>
          <w:rPr>
            <w:rFonts w:ascii="Calibri" w:hAnsi="Calibri"/>
            <w:color w:val="1A4F8A"/>
            <w:u w:val="single"/>
          </w:rPr>
          <w:t xml:space="preserve">June 18, 2025</w:t>
        </w:r>
      </w:hyperlink>
      <w:r>
        <w:t xml:space="preserve"> (RBA 2025-06-10; the quadrennial-cycle and Plan-Actuary statements) · </w:t>
      </w:r>
      <w:hyperlink r:id="rId32">
        <w:r>
          <w:rPr>
            <w:rFonts w:ascii="Calibri" w:hAnsi="Calibri"/>
            <w:color w:val="1A4F8A"/>
            <w:u w:val="single"/>
          </w:rPr>
          <w:t xml:space="preserve">February 5, 2026</w:t>
        </w:r>
      </w:hyperlink>
      <w:r>
        <w:t xml:space="preserve"> · </w:t>
      </w:r>
      <w:hyperlink r:id="rId33">
        <w:r>
          <w:rPr>
            <w:rFonts w:ascii="Calibri" w:hAnsi="Calibri"/>
            <w:color w:val="1A4F8A"/>
            <w:u w:val="single"/>
          </w:rPr>
          <w:t xml:space="preserve">April 23, 2026</w:t>
        </w:r>
      </w:hyperlink>
      <w:r>
        <w:t xml:space="preserve"> · </w:t>
      </w:r>
      <w:hyperlink r:id="rId34">
        <w:r>
          <w:rPr>
            <w:rFonts w:ascii="Calibri" w:hAnsi="Calibri"/>
            <w:color w:val="1A4F8A"/>
            <w:u w:val="single"/>
          </w:rPr>
          <w:t xml:space="preserve">June 17, 2026</w:t>
        </w:r>
      </w:hyperlink>
      <w:r>
        <w:t xml:space="preserve"> (B&amp;A report; Early Retirement Factors Study)</w:t>
      </w:r>
    </w:p>
    <w:p>
      <w:pPr>
        <w:pStyle w:val="ListBullet"/>
      </w:pPr>
      <w:hyperlink r:id="rId35">
        <w:r>
          <w:rPr>
            <w:rFonts w:ascii="Calibri" w:hAnsi="Calibri"/>
            <w:color w:val="1A4F8A"/>
            <w:u w:val="single"/>
          </w:rPr>
          <w:t xml:space="preserve">VRS, </w:t>
        </w:r>
      </w:hyperlink>
      <w:hyperlink r:id="rId35">
        <w:r>
          <w:rPr>
            <w:rFonts w:ascii="Calibri" w:hAnsi="Calibri"/>
            <w:color w:val="1A4F8A"/>
            <w:u w:val="single"/>
            <w:i/>
          </w:rPr>
          <w:t xml:space="preserve">2023 Fiscal Impact Statement</w:t>
        </w:r>
      </w:hyperlink>
      <w:hyperlink r:id="rId35">
        <w:r>
          <w:rPr>
            <w:rFonts w:ascii="Calibri" w:hAnsi="Calibri"/>
            <w:color w:val="1A4F8A"/>
            <w:u w:val="single"/>
          </w:rPr>
          <w:t xml:space="preserve">, </w:t>
        </w:r>
      </w:hyperlink>
      <w:hyperlink r:id="rId35">
        <w:r>
          <w:rPr>
            <w:rFonts w:ascii="Calibri" w:hAnsi="Calibri"/>
            <w:color w:val="1A4F8A"/>
            <w:u w:val="single"/>
            <w:b/>
          </w:rPr>
          <w:t xml:space="preserve">HB 1867</w:t>
        </w:r>
      </w:hyperlink>
      <w:r>
        <w:t xml:space="preserve"> — the § 30-19.1:7 statement; dated January 16, 2023, document HB1867.DOC/VRS, 3 pp. Bill history: </w:t>
      </w:r>
      <w:hyperlink r:id="rId36">
        <w:r>
          <w:rPr>
            <w:rFonts w:ascii="Calibri" w:hAnsi="Calibri"/>
            <w:color w:val="1A4F8A"/>
            <w:u w:val="single"/>
          </w:rPr>
          <w:t xml:space="preserve">LIS HB 1867, 2023 Reg. Sess.</w:t>
        </w:r>
      </w:hyperlink>
      <w:r>
        <w:t xml:space="preserve"> (patron P. Scott; left in Appropriations 2/7/2023)</w:t>
      </w:r>
    </w:p>
    <w:p>
      <w:r>
        <w:rPr>
          <w:b/>
        </w:rPr>
        <w:t>Virginia government:</w:t>
      </w:r>
    </w:p>
    <w:p>
      <w:pPr>
        <w:pStyle w:val="ListBullet"/>
      </w:pPr>
      <w:hyperlink r:id="rId37">
        <w:r>
          <w:rPr>
            <w:rFonts w:ascii="Calibri" w:hAnsi="Calibri"/>
            <w:color w:val="1A4F8A"/>
            <w:u w:val="single"/>
          </w:rPr>
          <w:t xml:space="preserve">DHRM, </w:t>
        </w:r>
      </w:hyperlink>
      <w:hyperlink r:id="rId37">
        <w:r>
          <w:rPr>
            <w:rFonts w:ascii="Calibri" w:hAnsi="Calibri"/>
            <w:color w:val="1A4F8A"/>
            <w:u w:val="single"/>
            <w:i/>
          </w:rPr>
          <w:t xml:space="preserve">State Employee Workforce, Compensation, Health Benefits</w:t>
        </w:r>
      </w:hyperlink>
      <w:r>
        <w:t xml:space="preserve"> — Senate Finance &amp; Appropriations, January 21, 2025; data as of June 30, 2024</w:t>
      </w:r>
    </w:p>
    <w:p>
      <w:pPr>
        <w:pStyle w:val="ListBullet"/>
      </w:pPr>
      <w:hyperlink r:id="rId38">
        <w:r>
          <w:rPr>
            <w:rFonts w:ascii="Calibri" w:hAnsi="Calibri"/>
            <w:color w:val="1A4F8A"/>
            <w:u w:val="single"/>
          </w:rPr>
          <w:t xml:space="preserve">Virginia DVS, Commissioner's 2025 Annual Report</w:t>
        </w:r>
      </w:hyperlink>
      <w:r>
        <w:t xml:space="preserve"> (RD986) — reviewed; states no veteran population figure</w:t>
      </w:r>
    </w:p>
    <w:p>
      <w:pPr>
        <w:pStyle w:val="ListBullet"/>
      </w:pPr>
      <w:hyperlink r:id="rId39">
        <w:r>
          <w:rPr>
            <w:rFonts w:ascii="Calibri" w:hAnsi="Calibri"/>
            <w:color w:val="1A4F8A"/>
            <w:u w:val="single"/>
          </w:rPr>
          <w:t xml:space="preserve">Virginia LIS, 2026 Reg. Sess., HB 139 / Chapter 563</w:t>
        </w:r>
      </w:hyperlink>
    </w:p>
    <w:p>
      <w:pPr>
        <w:pStyle w:val="ListBullet"/>
      </w:pPr>
      <w:r>
        <w:t xml:space="preserve">2026 Acts of Assembly, </w:t>
      </w:r>
      <w:r>
        <w:rPr>
          <w:b/>
        </w:rPr>
        <w:t>SB 950</w:t>
      </w:r>
      <w:r>
        <w:t xml:space="preserve"> — </w:t>
      </w:r>
      <w:r>
        <w:rPr>
          <w:b/>
        </w:rPr>
        <w:t>chapter text not yet retrieved, U-07</w:t>
      </w:r>
    </w:p>
    <w:p>
      <w:r>
        <w:rPr>
          <w:b/>
        </w:rPr>
        <w:t>Federal:</w:t>
      </w:r>
    </w:p>
    <w:p>
      <w:pPr>
        <w:pStyle w:val="ListBullet"/>
      </w:pPr>
      <w:r>
        <w:t xml:space="preserve">BLS, </w:t>
      </w:r>
      <w:r>
        <w:rPr>
          <w:i/>
        </w:rPr>
        <w:t>Employment Situation of Veterans</w:t>
      </w:r>
      <w:r>
        <w:t xml:space="preserve"> — </w:t>
      </w:r>
      <w:hyperlink r:id="rId40">
        <w:r>
          <w:rPr>
            <w:rFonts w:ascii="Calibri" w:hAnsi="Calibri"/>
            <w:color w:val="1A4F8A"/>
            <w:u w:val="single"/>
          </w:rPr>
          <w:t xml:space="preserve">Table 8</w:t>
        </w:r>
      </w:hyperlink>
      <w:r>
        <w:t xml:space="preserve"> (August 2025) · </w:t>
      </w:r>
      <w:hyperlink r:id="rId41">
        <w:r>
          <w:rPr>
            <w:rFonts w:ascii="Calibri" w:hAnsi="Calibri"/>
            <w:color w:val="1A4F8A"/>
            <w:u w:val="single"/>
          </w:rPr>
          <w:t xml:space="preserve">Table 6A</w:t>
        </w:r>
      </w:hyperlink>
      <w:r>
        <w:t xml:space="preserve"> · </w:t>
      </w:r>
      <w:hyperlink r:id="rId42">
        <w:r>
          <w:rPr>
            <w:rFonts w:ascii="Calibri" w:hAnsi="Calibri"/>
            <w:color w:val="1A4F8A"/>
            <w:u w:val="single"/>
          </w:rPr>
          <w:t xml:space="preserve">Table 6B</w:t>
        </w:r>
      </w:hyperlink>
      <w:r>
        <w:t xml:space="preserve"> (2025 annual averages)</w:t>
      </w:r>
    </w:p>
    <w:p>
      <w:pPr>
        <w:pStyle w:val="ListBullet"/>
      </w:pPr>
      <w:hyperlink r:id="rId43">
        <w:r>
          <w:rPr>
            <w:rFonts w:ascii="Calibri" w:hAnsi="Calibri"/>
            <w:color w:val="1A4F8A"/>
            <w:u w:val="single"/>
          </w:rPr>
          <w:t xml:space="preserve">NCES, </w:t>
        </w:r>
      </w:hyperlink>
      <w:hyperlink r:id="rId43">
        <w:r>
          <w:rPr>
            <w:rFonts w:ascii="Calibri" w:hAnsi="Calibri"/>
            <w:color w:val="1A4F8A"/>
            <w:u w:val="single"/>
            <w:i/>
          </w:rPr>
          <w:t xml:space="preserve">Digest of Education Statistics</w:t>
        </w:r>
      </w:hyperlink>
      <w:hyperlink r:id="rId43">
        <w:r>
          <w:rPr>
            <w:rFonts w:ascii="Calibri" w:hAnsi="Calibri"/>
            <w:color w:val="1A4F8A"/>
            <w:u w:val="single"/>
          </w:rPr>
          <w:t xml:space="preserve">, table 209.27</w:t>
        </w:r>
      </w:hyperlink>
    </w:p>
    <w:p>
      <w:pPr>
        <w:pStyle w:val="ListBullet"/>
      </w:pPr>
      <w:r>
        <w:t>10 U.S.C. ch. 1223 (Reserve Component retirement), referenced in § 51.1-142.2 B 3; IRC § 415(n) (permissive service credit limits) — both flagged for counsel review, neither independently analysed</w:t>
      </w:r>
    </w:p>
    <w:p>
      <w:r>
        <w:rPr>
          <w:b/>
        </w:rPr>
        <w:t>Comparative:</w:t>
      </w:r>
      <w:r>
        <w:t xml:space="preserve"> N.Y. Ret. &amp; Soc. Sec. Law § 1000 (6% of trailing-12-month compensation, remainder expressly on participating employers) — the model for recommendation A-2, FM-4 § 4.3.</w:t>
      </w:r>
    </w:p>
    <w:p>
      <w:pPr>
        <w:jc w:val="center"/>
      </w:pPr>
      <w:r>
        <w:rPr>
          <w:color w:val="909090"/>
          <w:sz w:val="18"/>
        </w:rPr>
        <w:t>* * *</w:t>
      </w:r>
    </w:p>
    <w:p>
      <w:pPr>
        <w:pStyle w:val="Heading2"/>
      </w:pPr>
      <w:r>
        <w:t>7. Reconciliation log — what this pass changed, and the checks it produced</w:t>
      </w:r>
    </w:p>
    <w:p>
      <w:r>
        <w:t>v2.0 is not a transcription of Annex 2 Closure. Reconciling the two documents required four arithmetic checks (§ 7.1–§ 7.3 and § 7.4), and all four produced findings. Closing the one citation gap the pass opened produced a fifth that was not sought (§ 7.5).</w:t>
      </w:r>
    </w:p>
    <w:p>
      <w:pPr>
        <w:pStyle w:val="Heading3"/>
      </w:pPr>
      <w:r>
        <w:t>7.1 The salary basis of the live cost model was inherited unexamined — and it holds</w:t>
      </w:r>
    </w:p>
    <w:p>
      <w:r>
        <w:t xml:space="preserve">FM-4 § 4.4 computes its statewide per-purchaser figure at </w:t>
      </w:r>
      <w:r>
        <w:rPr>
          <w:b/>
        </w:rPr>
        <w:t>$69,865</w:t>
      </w:r>
      <w:r>
        <w:t xml:space="preserve">, the DHRM mean </w:t>
      </w:r>
      <w:r>
        <w:rPr>
          <w:i/>
        </w:rPr>
        <w:t>classified state</w:t>
      </w:r>
      <w:r>
        <w:t xml:space="preserve"> salary (F-34). But the pool it multiplies is roughly 72% teachers and political-subdivision employees. A state-classified salary applied to a statewide pool was an unflagged exposure in the live model.</w:t>
      </w:r>
    </w:p>
    <w:p>
      <w:r>
        <w:t>It checks out. From official covered payroll (F-51) and official actives (F-38):</w:t>
      </w:r>
    </w:p>
    <w:p>
      <w:pPr>
        <w:spacing w:before="120" w:after="0" w:line="220" w:lineRule="exact"/>
        <w:ind w:left="240"/>
      </w:pPr>
      <w:r>
        <w:rPr>
          <w:rFonts w:ascii="Consolas" w:hAnsi="Consolas"/>
          <w:color w:val="303030"/>
          <w:sz w:val="18"/>
        </w:rPr>
        <w:t>VRS-wide covered payroll per active member</w:t>
      </w:r>
    </w:p>
    <w:p>
      <w:pPr>
        <w:spacing w:before="0" w:after="0" w:line="220" w:lineRule="exact"/>
        <w:ind w:left="240"/>
      </w:pPr>
      <w:r>
        <w:rPr>
          <w:rFonts w:ascii="Consolas" w:hAnsi="Consolas"/>
          <w:color w:val="303030"/>
          <w:sz w:val="18"/>
        </w:rPr>
        <w:t xml:space="preserve">  = $26,762,817,000 / 378,060  =  $70,790          (ratio to F-34: 1.013)</w:t>
      </w:r>
    </w:p>
    <w:p>
      <w:pPr>
        <w:spacing w:before="0" w:after="0" w:line="220" w:lineRule="exact"/>
        <w:ind w:left="240"/>
      </w:pPr>
      <w:r>
        <w:rPr>
          <w:rFonts w:ascii="Consolas" w:hAnsi="Consolas"/>
          <w:color w:val="303030"/>
          <w:sz w:val="18"/>
        </w:rPr>
        <w:t xml:space="preserve"> </w:t>
      </w:r>
    </w:p>
    <w:p>
      <w:pPr>
        <w:spacing w:before="0" w:after="0" w:line="220" w:lineRule="exact"/>
        <w:ind w:left="240"/>
      </w:pPr>
      <w:r>
        <w:rPr>
          <w:rFonts w:ascii="Consolas" w:hAnsi="Consolas"/>
          <w:color w:val="303030"/>
          <w:sz w:val="18"/>
        </w:rPr>
        <w:t>Weighted by the FM-1 § 1.6 eligible pool, low band  =  $70,120   (ratio 1.004)</w:t>
      </w:r>
    </w:p>
    <w:p>
      <w:pPr>
        <w:spacing w:before="0" w:after="120" w:line="220" w:lineRule="exact"/>
        <w:ind w:left="240"/>
      </w:pPr>
      <w:r>
        <w:rPr>
          <w:rFonts w:ascii="Consolas" w:hAnsi="Consolas"/>
          <w:color w:val="303030"/>
          <w:sz w:val="18"/>
        </w:rPr>
        <w:t>Weighted by the FM-1 § 1.6 eligible pool, high band =  $70,229   (ratio 1.005)</w:t>
      </w:r>
    </w:p>
    <w:p>
      <w:r>
        <w:rPr>
          <w:b/>
        </w:rPr>
        <w:t>The inherited basis is within 0.4%–0.5% of the correctly pool-weighted official figure.</w:t>
      </w:r>
      <w:r>
        <w:t xml:space="preserve"> The two largest groups sit either side of it — teachers at $72,961, political subdivisions at $64,709 — and very nearly cancel. So no cost figure in FM-4 needs to move, and A-24 is now a checked assumption rather than a hidden one. Recorded because this is exactly the class of inherited input an assumption register exists to catch, and because a reviewer at Senate Finance is entitled to see that someone looked.</w:t>
      </w:r>
    </w:p>
    <w:p>
      <w:r>
        <w:t xml:space="preserve">One consequence worth carrying: </w:t>
      </w:r>
      <w:r>
        <w:rPr>
          <w:b/>
        </w:rPr>
        <w:t>group averages diverge far more than the mean does</w:t>
      </w:r>
      <w:r>
        <w:t xml:space="preserve"> — JRS $209,883, SPORS $96,476, VaLORS $57,817, against a statewide $70,790. The blended per-purchaser figure is therefore safe statewide and unsafe per group. That is A-25 stated in dollars, and it is the arithmetic reason FM-4 § 4.7's SPORS / VaLORS line must not be read as a net.</w:t>
      </w:r>
    </w:p>
    <w:p>
      <w:pPr>
        <w:pStyle w:val="Heading3"/>
      </w:pPr>
      <w:r>
        <w:t>7.2 One assumption in v1.1's "still current" list was not current — A-03</w:t>
      </w:r>
    </w:p>
    <w:p>
      <w:r>
        <w:t xml:space="preserve">v1.1's superseded-notice asserted that A-01 → A-07 were "additionally confirmed against the June 30, 2025 valuation." </w:t>
      </w:r>
      <w:r>
        <w:rPr>
          <w:b/>
        </w:rPr>
        <w:t>That was true of six of the seven.</w:t>
      </w:r>
      <w:r>
        <w:t xml:space="preserve"> A-03 set the Plan 1 long-run COLA at </w:t>
      </w:r>
      <w:r>
        <w:rPr>
          <w:b/>
        </w:rPr>
        <w:t>3.0%</w:t>
      </w:r>
      <w:r>
        <w:t xml:space="preserve">, an analyst figure reasoned from the F-13 5% cap structure. The Board-adopted assumption in that same valuation is </w:t>
      </w:r>
      <w:r>
        <w:rPr>
          <w:b/>
        </w:rPr>
        <w:t>2.50%</w:t>
      </w:r>
      <w:r>
        <w:t xml:space="preserve"> (F-55).</w:t>
      </w:r>
    </w:p>
    <w:p>
      <w:r>
        <w:t xml:space="preserve">Corrected in § 2.1. Direction of the error: a lower COLA lowers the Plan 1 annuity factor and therefore lowers Plan 1 AEC, so v1.1's Plan 1 gap table was mildly </w:t>
      </w:r>
      <w:r>
        <w:rPr>
          <w:i/>
        </w:rPr>
        <w:t>overstated</w:t>
      </w:r>
      <w:r>
        <w:t xml:space="preserve"> — the opposite direction from v1.1's main error, and small. Annex 2 Closure used the Board-adopted 2.50% throughout, so </w:t>
      </w:r>
      <w:r>
        <w:rPr>
          <w:b/>
        </w:rPr>
        <w:t>no live figure is affected.</w:t>
      </w:r>
      <w:r>
        <w:t xml:space="preserve"> Logged because an annex that holds itself out as an assumption register has to be right about which of its own assumptions are official.</w:t>
      </w:r>
    </w:p>
    <w:p>
      <w:pPr>
        <w:pStyle w:val="Heading3"/>
      </w:pPr>
      <w:r>
        <w:t>7.3 The retired annuity factors reconcile to the live basis, within A-07's own tolerance</w:t>
      </w:r>
    </w:p>
    <w:p>
      <w:r>
        <w:t xml:space="preserve">v1.1's A-07 asserted factors of </w:t>
      </w:r>
      <w:r>
        <w:rPr>
          <w:b/>
        </w:rPr>
        <w:t>13.3</w:t>
      </w:r>
      <w:r>
        <w:t xml:space="preserve"> (post-2010 / Hybrid) and </w:t>
      </w:r>
      <w:r>
        <w:rPr>
          <w:b/>
        </w:rPr>
        <w:t>14.5</w:t>
      </w:r>
      <w:r>
        <w:t xml:space="preserve"> (Plan 1) from a "~20-year expectancy." Annex 2 Closure instead uses a level-COLA annuity-certain to age 87. On the live Board-adopted assumptions that gives:</w:t>
      </w:r>
    </w:p>
    <w:p>
      <w:pPr>
        <w:spacing w:before="120" w:after="0" w:line="220" w:lineRule="exact"/>
        <w:ind w:left="240"/>
      </w:pPr>
      <w:r>
        <w:rPr>
          <w:rFonts w:ascii="Consolas" w:hAnsi="Consolas"/>
          <w:color w:val="303030"/>
          <w:sz w:val="18"/>
        </w:rPr>
        <w:t>Plan 2 / Hybrid, retire 67, net discount 1.0675/1.0225 − 1 = 4.401%, 20 yrs  →  13.70</w:t>
      </w:r>
    </w:p>
    <w:p>
      <w:pPr>
        <w:spacing w:before="0" w:after="120" w:line="220" w:lineRule="exact"/>
        <w:ind w:left="240"/>
      </w:pPr>
      <w:r>
        <w:rPr>
          <w:rFonts w:ascii="Consolas" w:hAnsi="Consolas"/>
          <w:color w:val="303030"/>
          <w:sz w:val="18"/>
        </w:rPr>
        <w:t>Plan 1,          retire 65, net discount 1.0675/1.0250 − 1 = 4.146%, 22 yrs  →  14.84</w:t>
      </w:r>
    </w:p>
    <w:p>
      <w:r>
        <w:rPr>
          <w:b/>
        </w:rPr>
        <w:t>13.3 against 13.70 is 2.9% low; 14.5 against 14.84 is 2.3% low.</w:t>
      </w:r>
      <w:r>
        <w:t xml:space="preserve"> Both well inside A-07's stated ±10%. The two annexes were therefore using compatible annuity bases, which is why FM-2 § 2.3 independently reproduced v1.1's 47–48 break-even ages from a different construction. That reproduction is now explained rather than coincidental, and it is a genuine cross-validation of the one part of v1.1's model that survives.</w:t>
      </w:r>
    </w:p>
    <w:p>
      <w:pPr>
        <w:pStyle w:val="Heading3"/>
      </w:pPr>
      <w:r>
        <w:t>7.4 What was actually wrong with "under $2 million one-time, under $100,000 per year"</w:t>
      </w:r>
    </w:p>
    <w:p>
      <w:r>
        <w:t xml:space="preserve">So that the retraction can be defended rather than merely stated. Both figures came from v1.1 § 3.4 of this annex. The arithmetic was </w:t>
      </w:r>
      <w:r>
        <w:rPr>
          <w:b/>
        </w:rPr>
        <w:t>internally consistent for what it covered</w:t>
      </w:r>
      <w:r>
        <w:t>; it covered the wrong things.</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p>
        </w:tc>
        <w:tc>
          <w:tcPr>
            <w:tcW w:type="dxa" w:w="2160"/>
          </w:tcPr>
          <w:p>
            <w:pPr>
              <w:spacing w:before="20" w:after="20"/>
              <w:jc w:val="left"/>
            </w:pPr>
            <w:r>
              <w:rPr>
                <w:b/>
                <w:sz w:val="17"/>
              </w:rPr>
              <w:t>v1.1</w:t>
            </w:r>
          </w:p>
        </w:tc>
        <w:tc>
          <w:tcPr>
            <w:tcW w:type="dxa" w:w="2160"/>
          </w:tcPr>
          <w:p>
            <w:pPr>
              <w:spacing w:before="20" w:after="20"/>
              <w:jc w:val="left"/>
            </w:pPr>
            <w:r>
              <w:rPr>
                <w:b/>
                <w:sz w:val="17"/>
              </w:rPr>
              <w:t>Live basis</w:t>
            </w:r>
          </w:p>
        </w:tc>
        <w:tc>
          <w:tcPr>
            <w:tcW w:type="dxa" w:w="2160"/>
          </w:tcPr>
          <w:p>
            <w:pPr>
              <w:spacing w:before="20" w:after="20"/>
              <w:jc w:val="left"/>
            </w:pPr>
            <w:r>
              <w:rPr>
                <w:b/>
                <w:sz w:val="17"/>
              </w:rPr>
              <w:t>Effect</w:t>
            </w:r>
          </w:p>
        </w:tc>
      </w:tr>
      <w:tr>
        <w:tc>
          <w:tcPr>
            <w:tcW w:type="dxa" w:w="2160"/>
          </w:tcPr>
          <w:p>
            <w:pPr>
              <w:spacing w:before="20" w:after="20"/>
              <w:jc w:val="left"/>
            </w:pPr>
            <w:r>
              <w:rPr>
                <w:sz w:val="17"/>
              </w:rPr>
              <w:t>Population</w:t>
            </w:r>
          </w:p>
        </w:tc>
        <w:tc>
          <w:tcPr>
            <w:tcW w:type="dxa" w:w="2160"/>
          </w:tcPr>
          <w:p>
            <w:pPr>
              <w:spacing w:before="20" w:after="20"/>
              <w:jc w:val="left"/>
            </w:pPr>
            <w:r>
              <w:rPr>
                <w:sz w:val="17"/>
              </w:rPr>
              <w:t>2,600 — state classified veterans past the window (A-08 × A-09 × A-10)</w:t>
            </w:r>
          </w:p>
        </w:tc>
        <w:tc>
          <w:tcPr>
            <w:tcW w:type="dxa" w:w="2160"/>
          </w:tcPr>
          <w:p>
            <w:pPr>
              <w:spacing w:before="20" w:after="20"/>
              <w:jc w:val="left"/>
            </w:pPr>
            <w:r>
              <w:rPr>
                <w:b/>
                <w:sz w:val="17"/>
              </w:rPr>
              <w:t>10,561 – 26,321</w:t>
            </w:r>
            <w:r>
              <w:rPr>
                <w:sz w:val="17"/>
              </w:rPr>
              <w:t xml:space="preserve"> across three plans and six employer groups (FM-1 § 1.6)</w:t>
            </w:r>
          </w:p>
        </w:tc>
        <w:tc>
          <w:tcPr>
            <w:tcW w:type="dxa" w:w="2160"/>
          </w:tcPr>
          <w:p>
            <w:pPr>
              <w:spacing w:before="20" w:after="20"/>
              <w:jc w:val="left"/>
            </w:pPr>
            <w:r>
              <w:rPr>
                <w:b/>
                <w:sz w:val="17"/>
              </w:rPr>
              <w:t>4× – 10×</w:t>
            </w:r>
          </w:p>
        </w:tc>
      </w:tr>
      <w:tr>
        <w:tc>
          <w:tcPr>
            <w:tcW w:type="dxa" w:w="2160"/>
          </w:tcPr>
          <w:p>
            <w:pPr>
              <w:spacing w:before="20" w:after="20"/>
              <w:jc w:val="left"/>
            </w:pPr>
            <w:r>
              <w:rPr>
                <w:sz w:val="17"/>
              </w:rPr>
              <w:t>Channels priced</w:t>
            </w:r>
          </w:p>
        </w:tc>
        <w:tc>
          <w:tcPr>
            <w:tcW w:type="dxa" w:w="2160"/>
          </w:tcPr>
          <w:p>
            <w:pPr>
              <w:spacing w:before="20" w:after="20"/>
              <w:jc w:val="left"/>
            </w:pPr>
            <w:r>
              <w:rPr>
                <w:sz w:val="17"/>
              </w:rPr>
              <w:t>Benefit amount only, at ~$1,500 per year of credit (A-13)</w:t>
            </w:r>
          </w:p>
        </w:tc>
        <w:tc>
          <w:tcPr>
            <w:tcW w:type="dxa" w:w="2160"/>
          </w:tcPr>
          <w:p>
            <w:pPr>
              <w:spacing w:before="20" w:after="20"/>
              <w:jc w:val="left"/>
            </w:pPr>
            <w:r>
              <w:rPr>
                <w:sz w:val="17"/>
              </w:rPr>
              <w:t xml:space="preserve">Benefit amount </w:t>
            </w:r>
            <w:r>
              <w:rPr>
                <w:b/>
                <w:sz w:val="17"/>
              </w:rPr>
              <w:t>and</w:t>
            </w:r>
            <w:r>
              <w:rPr>
                <w:sz w:val="17"/>
              </w:rPr>
              <w:t xml:space="preserve"> retirement-date acceleration; $6,779 – $47,967 per purchaser (FM-4 § 4.2, § 4.4)</w:t>
            </w:r>
          </w:p>
        </w:tc>
        <w:tc>
          <w:tcPr>
            <w:tcW w:type="dxa" w:w="2160"/>
          </w:tcPr>
          <w:p>
            <w:pPr>
              <w:spacing w:before="20" w:after="20"/>
              <w:jc w:val="left"/>
            </w:pPr>
            <w:r>
              <w:rPr>
                <w:b/>
                <w:sz w:val="17"/>
              </w:rPr>
              <w:t>~2× – 13×</w:t>
            </w:r>
            <w:r>
              <w:rPr>
                <w:sz w:val="17"/>
              </w:rPr>
              <w:t xml:space="preserve"> per member</w:t>
            </w:r>
          </w:p>
        </w:tc>
      </w:tr>
      <w:tr>
        <w:tc>
          <w:tcPr>
            <w:tcW w:type="dxa" w:w="2160"/>
          </w:tcPr>
          <w:p>
            <w:pPr>
              <w:spacing w:before="20" w:after="20"/>
              <w:jc w:val="left"/>
            </w:pPr>
            <w:r>
              <w:rPr>
                <w:sz w:val="17"/>
              </w:rPr>
              <w:t>Payroll denominator</w:t>
            </w:r>
          </w:p>
        </w:tc>
        <w:tc>
          <w:tcPr>
            <w:tcW w:type="dxa" w:w="2160"/>
          </w:tcPr>
          <w:p>
            <w:pPr>
              <w:spacing w:before="20" w:after="20"/>
              <w:jc w:val="left"/>
            </w:pPr>
            <w:r>
              <w:rPr>
                <w:sz w:val="17"/>
              </w:rPr>
              <w:t>$3.98bn classified payroll (F-30 × F-34)</w:t>
            </w:r>
          </w:p>
        </w:tc>
        <w:tc>
          <w:tcPr>
            <w:tcW w:type="dxa" w:w="2160"/>
          </w:tcPr>
          <w:p>
            <w:pPr>
              <w:spacing w:before="20" w:after="20"/>
              <w:jc w:val="left"/>
            </w:pPr>
            <w:r>
              <w:rPr>
                <w:b/>
                <w:sz w:val="17"/>
              </w:rPr>
              <w:t>$26.76bn</w:t>
            </w:r>
            <w:r>
              <w:rPr>
                <w:sz w:val="17"/>
              </w:rPr>
              <w:t xml:space="preserve"> total covered payroll (F-51)</w:t>
            </w:r>
          </w:p>
        </w:tc>
        <w:tc>
          <w:tcPr>
            <w:tcW w:type="dxa" w:w="2160"/>
          </w:tcPr>
          <w:p>
            <w:pPr>
              <w:spacing w:before="20" w:after="20"/>
              <w:jc w:val="left"/>
            </w:pPr>
            <w:r>
              <w:rPr>
                <w:sz w:val="17"/>
              </w:rPr>
              <w:t xml:space="preserve">6.7× — but the pool grew faster, so </w:t>
            </w:r>
            <w:r>
              <w:rPr>
                <w:b/>
                <w:sz w:val="17"/>
              </w:rPr>
              <w:t>the payroll share rises too</w:t>
            </w:r>
          </w:p>
        </w:tc>
      </w:tr>
      <w:tr>
        <w:tc>
          <w:tcPr>
            <w:tcW w:type="dxa" w:w="2160"/>
          </w:tcPr>
          <w:p>
            <w:pPr>
              <w:spacing w:before="20" w:after="20"/>
              <w:jc w:val="left"/>
            </w:pPr>
            <w:r>
              <w:rPr>
                <w:sz w:val="17"/>
              </w:rPr>
              <w:t>Ongoing line</w:t>
            </w:r>
          </w:p>
        </w:tc>
        <w:tc>
          <w:tcPr>
            <w:tcW w:type="dxa" w:w="2160"/>
          </w:tcPr>
          <w:p>
            <w:pPr>
              <w:spacing w:before="20" w:after="20"/>
              <w:jc w:val="left"/>
            </w:pPr>
            <w:r>
              <w:rPr>
                <w:sz w:val="17"/>
              </w:rPr>
              <w:t>"Under $100,000/yr", from a flow of ~600 veteran new hires per year at a near-zero Hybrid gap (A-14)</w:t>
            </w:r>
          </w:p>
        </w:tc>
        <w:tc>
          <w:tcPr>
            <w:tcW w:type="dxa" w:w="2160"/>
          </w:tcPr>
          <w:p>
            <w:pPr>
              <w:spacing w:before="20" w:after="20"/>
              <w:jc w:val="left"/>
            </w:pPr>
            <w:r>
              <w:rPr>
                <w:b/>
                <w:sz w:val="17"/>
              </w:rPr>
              <w:t>Withdrawn, not replaced.</w:t>
            </w:r>
            <w:r>
              <w:rPr>
                <w:sz w:val="17"/>
              </w:rPr>
              <w:t xml:space="preserve"> The scope decision gives immediate access to a standing cohort, so the measure is a one-time present value, not a steady-state flow. A new-hire flow line also mis-frames the bill: the members it exists to help are precisely those already past the window</w:t>
            </w:r>
          </w:p>
        </w:tc>
        <w:tc>
          <w:tcPr>
            <w:tcW w:type="dxa" w:w="2160"/>
          </w:tcPr>
          <w:p>
            <w:pPr>
              <w:spacing w:before="20" w:after="20"/>
              <w:jc w:val="left"/>
            </w:pPr>
            <w:r>
              <w:rPr>
                <w:sz w:val="17"/>
              </w:rPr>
              <w:t>—</w:t>
            </w:r>
          </w:p>
        </w:tc>
      </w:tr>
      <w:tr>
        <w:tc>
          <w:tcPr>
            <w:tcW w:type="dxa" w:w="2160"/>
          </w:tcPr>
          <w:p>
            <w:pPr>
              <w:spacing w:before="20" w:after="20"/>
              <w:jc w:val="left"/>
            </w:pPr>
            <w:r>
              <w:rPr>
                <w:sz w:val="17"/>
              </w:rPr>
              <w:t>Rounding</w:t>
            </w:r>
          </w:p>
        </w:tc>
        <w:tc>
          <w:tcPr>
            <w:tcW w:type="dxa" w:w="2160"/>
          </w:tcPr>
          <w:p>
            <w:pPr>
              <w:spacing w:before="20" w:after="20"/>
              <w:jc w:val="left"/>
            </w:pPr>
            <w:r>
              <w:rPr>
                <w:sz w:val="17"/>
              </w:rPr>
              <w:t>$1.46M rounded up to "under $2 million" to absorb HIC and adverse selection</w:t>
            </w:r>
          </w:p>
        </w:tc>
        <w:tc>
          <w:tcPr>
            <w:tcW w:type="dxa" w:w="2160"/>
          </w:tcPr>
          <w:p>
            <w:pPr>
              <w:spacing w:before="20" w:after="20"/>
              <w:jc w:val="left"/>
            </w:pPr>
            <w:r>
              <w:rPr>
                <w:sz w:val="17"/>
              </w:rPr>
              <w:t xml:space="preserve">Those items remain </w:t>
            </w:r>
            <w:r>
              <w:rPr>
                <w:b/>
                <w:sz w:val="17"/>
              </w:rPr>
              <w:t>unpriced and excluded</w:t>
            </w:r>
            <w:r>
              <w:rPr>
                <w:sz w:val="17"/>
              </w:rPr>
              <w:t xml:space="preserve"> (§ 2.4), and a 37% round-up cannot absorb them</w:t>
            </w:r>
          </w:p>
        </w:tc>
        <w:tc>
          <w:tcPr>
            <w:tcW w:type="dxa" w:w="2160"/>
          </w:tcPr>
          <w:p>
            <w:pPr>
              <w:spacing w:before="20" w:after="20"/>
              <w:jc w:val="left"/>
            </w:pPr>
            <w:r>
              <w:rPr>
                <w:sz w:val="17"/>
              </w:rPr>
              <w:t>The round-up was a judgment, not a calculation — and it was not conservative</w:t>
            </w:r>
          </w:p>
        </w:tc>
      </w:tr>
    </w:tbl>
    <w:p>
      <w:pPr>
        <w:spacing w:before="0" w:after="0" w:line="80" w:lineRule="exact"/>
      </w:pPr>
      <w:r>
        <w:rPr>
          <w:sz w:val="8"/>
        </w:rPr>
      </w:r>
    </w:p>
    <w:p>
      <w:r>
        <w:rPr>
          <w:b/>
        </w:rPr>
        <w:t>The independent signal that it was too low was available at the time.</w:t>
      </w:r>
      <w:r>
        <w:t xml:space="preserve"> VRS's own fiscal impact statement on HB 1867 (2023) put a </w:t>
      </w:r>
      <w:r>
        <w:rPr>
          <w:b/>
        </w:rPr>
        <w:t>free</w:t>
      </w:r>
      <w:r>
        <w:t xml:space="preserve"> grant of active-duty military service to teachers at $10,000–$60,000 of unfunded liability per participating member (F-56). v1.1 implied roughly </w:t>
      </w:r>
      <w:r>
        <w:rPr>
          <w:b/>
        </w:rPr>
        <w:t>$3,750</w:t>
      </w:r>
      <w:r>
        <w:t xml:space="preserve"> per purchasing member — a factor of three below the </w:t>
      </w:r>
      <w:r>
        <w:rPr>
          <w:i/>
        </w:rPr>
        <w:t>floor</w:t>
      </w:r>
      <w:r>
        <w:t xml:space="preserve"> of a band VRS produced for a benefit with no member price at all. A purchase at which the member still pays must cost the Fund less than a free grant; it cannot cost a third of the floor. FM-4 § 4.6.</w:t>
      </w:r>
    </w:p>
    <w:p>
      <w:r>
        <w:rPr>
          <w:b/>
        </w:rPr>
        <w:t>Also corrected:</w:t>
      </w:r>
      <w:r>
        <w:t xml:space="preserve"> the scale sentence. "About 5 cents out of every $100 of a single year's payroll" is right only at the very bottom of the live grid (0.049%) and understates the top by about fourteen times (0.681%). Brief v1.2 and the one-pager carry the corrected framing.</w:t>
      </w:r>
    </w:p>
    <w:p>
      <w:pPr>
        <w:pStyle w:val="Heading3"/>
      </w:pPr>
      <w:r>
        <w:t>7.5 The HB 1867 statement, retrieved — and what it does and does not validate</w:t>
      </w:r>
    </w:p>
    <w:p>
      <w:r>
        <w:t xml:space="preserve">U-06 was opened and closed in this pass. The statement (VRS, </w:t>
      </w:r>
      <w:r>
        <w:rPr>
          <w:i/>
        </w:rPr>
        <w:t>2023 Fiscal Impact Statement</w:t>
      </w:r>
      <w:r>
        <w:t>, HB 1867, dated 1/16/2023) turned out to carry three things the package was not using.</w:t>
      </w:r>
    </w:p>
    <w:p>
      <w:r>
        <w:rPr>
          <w:b/>
        </w:rPr>
        <w:t>1. VRS published its own total, and it is in our order of magnitude — for teachers alone, free, at 1% take-up.</w:t>
      </w:r>
    </w:p>
    <w:p>
      <w:pPr>
        <w:spacing w:before="120" w:after="120"/>
        <w:ind w:left="480"/>
      </w:pPr>
      <w:r>
        <w:rPr>
          <w:i/>
          <w:color w:val="444444"/>
          <w:sz w:val="20"/>
        </w:rPr>
        <w:t xml:space="preserve">"if 1,500 members (1% of the Teacher population) had this type of service, and the average cost was $35,000, the total cost to the fund could be </w:t>
      </w:r>
      <w:r>
        <w:rPr>
          <w:b/>
          <w:i/>
          <w:color w:val="444444"/>
          <w:sz w:val="20"/>
        </w:rPr>
        <w:t>$50 million</w:t>
      </w:r>
      <w:r>
        <w:rPr>
          <w:i/>
          <w:color w:val="444444"/>
          <w:sz w:val="20"/>
        </w:rPr>
        <w:t>." (F-60)</w:t>
      </w:r>
    </w:p>
    <w:p>
      <w:r>
        <w:t xml:space="preserve">So the only total VRS has ever published for a benefit of this shape is </w:t>
      </w:r>
      <w:r>
        <w:rPr>
          <w:b/>
        </w:rPr>
        <w:t>$50 million against the teacher population alone, at 1% participation, for a free grant.</w:t>
      </w:r>
      <w:r>
        <w:t xml:space="preserve"> Our $13M–$182M across six employer groups, three plans, 5%–30% take-up, for a benefit the member still pays for, is plainly the same order of magnitude. </w:t>
      </w:r>
      <w:r>
        <w:rPr>
          <w:b/>
        </w:rPr>
        <w:t>It is the retracted "under $2 million" that is the outlier, not the new range</w:t>
      </w:r>
      <w:r>
        <w:t xml:space="preserve"> — and that can now be demonstrated from VRS's own arithmetic rather than argued.</w:t>
      </w:r>
    </w:p>
    <w:p>
      <w:r>
        <w:rPr>
          <w:b/>
        </w:rPr>
        <w:t>2. The per-member figures agree structurally, not just in magnitude.</w:t>
      </w:r>
      <w:r>
        <w:t xml:space="preserve"> A priced purchase must cost the Fund less than a free grant of identical service. By how much is predictable: the member pays the approximate normal cost, so the Fund bears </w:t>
      </w:r>
      <w:r>
        <w:rPr>
          <w:rFonts w:ascii="Consolas" w:hAnsi="Consolas"/>
          <w:color w:val="303030"/>
          <w:sz w:val="18"/>
        </w:rPr>
        <w:t>1 − 1/m</w:t>
      </w:r>
      <w:r>
        <w:t xml:space="preserve"> of the value, where </w:t>
      </w:r>
      <w:r>
        <w:rPr>
          <w:rFonts w:ascii="Consolas" w:hAnsi="Consolas"/>
          <w:color w:val="303030"/>
          <w:sz w:val="18"/>
        </w:rPr>
        <w:t>m</w:t>
      </w:r>
      <w:r>
        <w:t xml:space="preserve"> is the AEC/ANC multiple.</w:t>
      </w:r>
    </w:p>
    <w:p>
      <w:pPr>
        <w:spacing w:before="120" w:after="0" w:line="220" w:lineRule="exact"/>
        <w:ind w:left="240"/>
      </w:pPr>
      <w:r>
        <w:rPr>
          <w:rFonts w:ascii="Consolas" w:hAnsi="Consolas"/>
          <w:color w:val="303030"/>
          <w:sz w:val="18"/>
        </w:rPr>
        <w:t>Our blended A-3 net PV per purchaser / VRS free-grant average</w:t>
      </w:r>
    </w:p>
    <w:p>
      <w:pPr>
        <w:spacing w:before="0" w:after="0" w:line="220" w:lineRule="exact"/>
        <w:ind w:left="240"/>
      </w:pPr>
      <w:r>
        <w:rPr>
          <w:rFonts w:ascii="Consolas" w:hAnsi="Consolas"/>
          <w:color w:val="303030"/>
          <w:sz w:val="18"/>
        </w:rPr>
        <w:t xml:space="preserve">  = $24,627 / $35,000  =  0.704</w:t>
      </w:r>
    </w:p>
    <w:p>
      <w:pPr>
        <w:spacing w:before="0" w:after="0" w:line="220" w:lineRule="exact"/>
        <w:ind w:left="240"/>
      </w:pPr>
      <w:r>
        <w:rPr>
          <w:rFonts w:ascii="Consolas" w:hAnsi="Consolas"/>
          <w:color w:val="303030"/>
          <w:sz w:val="18"/>
        </w:rPr>
        <w:t xml:space="preserve"> </w:t>
      </w:r>
    </w:p>
    <w:p>
      <w:pPr>
        <w:spacing w:before="0" w:after="0" w:line="220" w:lineRule="exact"/>
        <w:ind w:left="240"/>
      </w:pPr>
      <w:r>
        <w:rPr>
          <w:rFonts w:ascii="Consolas" w:hAnsi="Consolas"/>
          <w:color w:val="303030"/>
          <w:sz w:val="18"/>
        </w:rPr>
        <w:t>Predicted band from the modelled multiples (FM-2 § 2.4, m = 2.76x - 3.54x):</w:t>
      </w:r>
    </w:p>
    <w:p>
      <w:pPr>
        <w:spacing w:before="0" w:after="120" w:line="220" w:lineRule="exact"/>
        <w:ind w:left="240"/>
      </w:pPr>
      <w:r>
        <w:rPr>
          <w:rFonts w:ascii="Consolas" w:hAnsi="Consolas"/>
          <w:color w:val="303030"/>
          <w:sz w:val="18"/>
        </w:rPr>
        <w:t xml:space="preserve">  1 - 1/2.76 = 0.638   ...   1 - 1/3.54 = 0.718</w:t>
      </w:r>
    </w:p>
    <w:p>
      <w:r>
        <w:rPr>
          <w:b/>
        </w:rPr>
        <w:t>0.704 sits inside that band</w:t>
      </w:r>
      <w:r>
        <w:t>, and nearest to the 3.23× profile (0.690). Two independently constructed quantities — our per-purchaser present value, and VRS's average cost for a free grant — stand in the ratio the pricing structure requires, and neither half was built to produce the other.</w:t>
      </w:r>
    </w:p>
    <w:p>
      <w:r>
        <w:rPr>
          <w:b/>
        </w:rPr>
        <w:t>The limit of this check, which must travel with it.</w:t>
      </w:r>
      <w:r>
        <w:t xml:space="preserve"> VRS's $35,000 is a </w:t>
      </w:r>
      <w:r>
        <w:rPr>
          <w:b/>
        </w:rPr>
        <w:t>teacher-only</w:t>
      </w:r>
      <w:r>
        <w:t xml:space="preserve"> average for a </w:t>
      </w:r>
      <w:r>
        <w:rPr>
          <w:b/>
        </w:rPr>
        <w:t>free</w:t>
      </w:r>
      <w:r>
        <w:t xml:space="preserve"> grant; our $24,627 is pool-weighted across all six employer groups and three plans. The plan mixes are not the same, and the teacher plan mix is unpublished (U-04). So this is a </w:t>
      </w:r>
      <w:r>
        <w:rPr>
          <w:b/>
        </w:rPr>
        <w:t>magnitude-and-direction check, not a calibration</w:t>
      </w:r>
      <w:r>
        <w:t xml:space="preserve"> — it says the figures are the right size and in the right order, not that either is confirmed to three digits. Red Team finding S-8 makes the same point against a stronger version of this comparison on the one-pager, and it is right to. The direction of the residual uncertainty is knowable: teachers are a longer-tenure workforce, so if they skew more Plan 1 than our blend does, VRS's $35,000 reflects a costlier mix and the true comparable ratio is </w:t>
      </w:r>
      <w:r>
        <w:rPr>
          <w:b/>
        </w:rPr>
        <w:t>higher</w:t>
      </w:r>
      <w:r>
        <w:t xml:space="preserve"> than 0.704, not lower.</w:t>
      </w:r>
    </w:p>
    <w:p>
      <w:r>
        <w:rPr>
          <w:b/>
        </w:rPr>
        <w:t>3. VRS's own words close two of our open items and support a third.</w:t>
      </w:r>
    </w:p>
    <w:p>
      <w:pPr>
        <w:pStyle w:val="ListBullet"/>
      </w:pPr>
      <w:r>
        <w:rPr>
          <w:b/>
        </w:rPr>
        <w:t>F-62 confirms U-02 is irreducible.</w:t>
      </w:r>
      <w:r>
        <w:t xml:space="preserve"> VRS: it "is not able to determine the number of current teachers or future teachers who would have prior active military service to purchase." The population range in FM-1 § 1.6 is therefore not a weakness of this analysis — </w:t>
      </w:r>
      <w:r>
        <w:rPr>
          <w:b/>
        </w:rPr>
        <w:t>nobody can do better, including VRS.</w:t>
      </w:r>
      <w:r>
        <w:t xml:space="preserve"> Say that plainly rather than apologising for the range.</w:t>
      </w:r>
    </w:p>
    <w:p>
      <w:pPr>
        <w:pStyle w:val="ListBullet"/>
      </w:pPr>
      <w:r>
        <w:rPr>
          <w:b/>
        </w:rPr>
        <w:t>F-63 confirms the eligibility channel from VRS's own mouth:</w:t>
      </w:r>
      <w:r>
        <w:t xml:space="preserve"> prior service credit "counts toward vesting, eligibility for retirement and eligibility for the health insurance credit." That is § 3.2's two channels and the § 2.4 HIC exclusion, stated by VRS in a filed impact statement.</w:t>
      </w:r>
    </w:p>
    <w:p>
      <w:pPr>
        <w:pStyle w:val="ListBullet"/>
      </w:pPr>
      <w:r>
        <w:rPr>
          <w:b/>
        </w:rPr>
        <w:t xml:space="preserve">F-61 gives a § 30-19.1:7 precedent for the </w:t>
      </w:r>
      <w:r>
        <w:rPr>
          <w:b/>
          <w:i/>
        </w:rPr>
        <w:t>narrow</w:t>
      </w:r>
      <w:r>
        <w:rPr>
          <w:b/>
        </w:rPr>
        <w:t xml:space="preserve"> general-fund claim, and refutes the broad one.</w:t>
      </w:r>
      <w:r>
        <w:t xml:space="preserve"> For a </w:t>
      </w:r>
      <w:r>
        <w:rPr>
          <w:i/>
        </w:rPr>
        <w:t>free</w:t>
      </w:r>
      <w:r>
        <w:t xml:space="preserve"> grant VRS put its own implementation cost at ~$78,000 NGF, employer cost to implement at </w:t>
      </w:r>
      <w:r>
        <w:rPr>
          <w:b/>
        </w:rPr>
        <w:t>"None,"</w:t>
      </w:r>
      <w:r>
        <w:t xml:space="preserve"> and the general fund at </w:t>
      </w:r>
      <w:r>
        <w:rPr>
          <w:b/>
        </w:rPr>
        <w:t>"no immediate impact."</w:t>
      </w:r>
      <w:r>
        <w:t xml:space="preserve"> Our A-3 requires no new rate-setting at all (FM-3, point 4), so its administrative footprint should be no larger — that part is good precedent. </w:t>
      </w:r>
      <w:r>
        <w:rPr>
          <w:b/>
        </w:rPr>
        <w:t>But note the word "immediate," and the sentence VRS put beside it:</w:t>
      </w:r>
      <w:r>
        <w:t xml:space="preserve"> </w:t>
      </w:r>
      <w:r>
        <w:rPr>
          <w:i/>
        </w:rPr>
        <w:t>"Depending on the number of teachers who take advantage of this provision over time, this may impact contribution rates."</w:t>
      </w:r>
      <w:r>
        <w:t xml:space="preserve"> VRS's own statement therefore supports "</w:t>
      </w:r>
      <w:r>
        <w:rPr>
          <w:b/>
        </w:rPr>
        <w:t>this bill requests no appropriation</w:t>
      </w:r>
      <w:r>
        <w:t xml:space="preserve">" and </w:t>
      </w:r>
      <w:r>
        <w:rPr>
          <w:b/>
        </w:rPr>
        <w:t>does not</w:t>
      </w:r>
      <w:r>
        <w:t xml:space="preserve"> support an unqualified "general fund cost: $0." Read correctly, F-61 is </w:t>
      </w:r>
      <w:r>
        <w:rPr>
          <w:b/>
        </w:rPr>
        <w:t>evidence for</w:t>
      </w:r>
      <w:r>
        <w:t xml:space="preserve"> Red Team finding F-2, not against it — the printed one-pager generalises a true narrow claim into a false broad one. I had this the wrong way round when I first logged it; corrected here. The defensible formulation is the one at Red Team F-2: no appropriation is requested, and the cost is absorbed in future employer rates under § 51.1-145, with the three exposure buckets named.</w:t>
      </w:r>
    </w:p>
    <w:p>
      <w:r>
        <w:rPr>
          <w:b/>
        </w:rPr>
        <w:t>One asymmetry to carry honestly.</w:t>
      </w:r>
      <w:r>
        <w:t xml:space="preserve"> F-63 also notes that granting service in a pooled plan "will effectively spread the cost of each period of granted service over all of the employers in the Teacher plan." That is the mechanism by which our political-subdivision and teacher exposure lines reach employers who have no veteran purchasing — and it is what the Commission on Local Government will focus on (FM-4 § 4.7). It cuts against us and should be in the brief before someone else puts it there.</w:t>
      </w:r>
    </w:p>
    <w:p>
      <w:r>
        <w:rPr>
          <w:b/>
        </w:rPr>
        <w:t>Scale comparator now available:</w:t>
      </w:r>
      <w:r>
        <w:t xml:space="preserve"> the Teacher Plan's unfunded liability is </w:t>
      </w:r>
      <w:r>
        <w:rPr>
          <w:b/>
        </w:rPr>
        <w:t>$11.8 billion</w:t>
      </w:r>
      <w:r>
        <w:t xml:space="preserve"> (F-60). VRS's own $50M example is 0.42% of it.</w:t>
      </w:r>
    </w:p>
    <w:p>
      <w:pPr>
        <w:pStyle w:val="Heading3"/>
      </w:pPr>
      <w:r>
        <w:t>7.6 Items this pass closed, and items it opened</w:t>
      </w:r>
    </w:p>
    <w:p>
      <w:r>
        <w:rPr>
          <w:b/>
        </w:rPr>
        <w:t>Closed by Annex A v1.1</w:t>
      </w:r>
      <w:r>
        <w:t xml:space="preserve"> (commit 3704a3e), both originating in FM-4 § 4.8 and FM-3:</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Item</w:t>
            </w:r>
          </w:p>
        </w:tc>
        <w:tc>
          <w:tcPr>
            <w:tcW w:type="dxa" w:w="4320"/>
          </w:tcPr>
          <w:p>
            <w:pPr>
              <w:spacing w:before="20" w:after="20"/>
              <w:jc w:val="left"/>
            </w:pPr>
            <w:r>
              <w:rPr>
                <w:b/>
                <w:sz w:val="17"/>
              </w:rPr>
              <w:t>Resolution</w:t>
            </w:r>
          </w:p>
        </w:tc>
      </w:tr>
      <w:tr>
        <w:tc>
          <w:tcPr>
            <w:tcW w:type="dxa" w:w="4320"/>
          </w:tcPr>
          <w:p>
            <w:pPr>
              <w:spacing w:before="20" w:after="20"/>
              <w:jc w:val="left"/>
            </w:pPr>
            <w:r>
              <w:rPr>
                <w:sz w:val="17"/>
              </w:rPr>
              <w:t xml:space="preserve">The Board's graded rate authority read </w:t>
            </w:r>
            <w:r>
              <w:rPr>
                <w:b/>
                <w:sz w:val="17"/>
              </w:rPr>
              <w:t>"attained age" alone</w:t>
            </w:r>
            <w:r>
              <w:rPr>
                <w:sz w:val="17"/>
              </w:rPr>
              <w:t>, which removes only ~15% of the modelled exposure</w:t>
            </w:r>
          </w:p>
        </w:tc>
        <w:tc>
          <w:tcPr>
            <w:tcW w:type="dxa" w:w="4320"/>
          </w:tcPr>
          <w:p>
            <w:pPr>
              <w:spacing w:before="20" w:after="20"/>
              <w:jc w:val="left"/>
            </w:pPr>
            <w:r>
              <w:rPr>
                <w:b/>
                <w:sz w:val="17"/>
              </w:rPr>
              <w:t>Resolved.</w:t>
            </w:r>
            <w:r>
              <w:rPr>
                <w:sz w:val="17"/>
              </w:rPr>
              <w:t xml:space="preserve"> Annex A § 2.2 now grades on </w:t>
            </w:r>
            <w:r>
              <w:rPr>
                <w:b/>
                <w:sz w:val="17"/>
              </w:rPr>
              <w:t>age and creditable service</w:t>
            </w:r>
            <w:r>
              <w:rPr>
                <w:sz w:val="17"/>
              </w:rPr>
              <w:t xml:space="preserve">, equivalently distance from unreduced eligibility, with the amount purchased as a third factor, plus publication, uniformity and actuarial-equivalent-cost-ceiling constraints and a no-spillover sentence confining the schedule to subdivision B 2. Registered here as A-28. </w:t>
            </w:r>
            <w:r>
              <w:rPr>
                <w:b/>
                <w:sz w:val="17"/>
              </w:rPr>
              <w:t>The phrase is resolved; the dial is not — and per red team F-1 the ceiling drafted alongside it caps a lawful uniform class rate at 59%–66% recovery rather than 100%, so Q3a and Q12 both need reframing</w:t>
            </w:r>
            <w:r>
              <w:rPr>
                <w:sz w:val="17"/>
              </w:rPr>
              <w:t xml:space="preserve"> (A-28; Annex 2 Closure § 4.8.1)</w:t>
            </w:r>
          </w:p>
        </w:tc>
      </w:tr>
      <w:tr>
        <w:tc>
          <w:tcPr>
            <w:tcW w:type="dxa" w:w="4320"/>
          </w:tcPr>
          <w:p>
            <w:pPr>
              <w:spacing w:before="20" w:after="20"/>
              <w:jc w:val="left"/>
            </w:pPr>
            <w:r>
              <w:rPr>
                <w:sz w:val="17"/>
              </w:rPr>
              <w:t xml:space="preserve">The </w:t>
            </w:r>
            <w:r>
              <w:rPr>
                <w:b/>
                <w:sz w:val="17"/>
              </w:rPr>
              <w:t>10.01% alternate hazardous duty option</w:t>
            </w:r>
            <w:r>
              <w:rPr>
                <w:sz w:val="17"/>
              </w:rPr>
              <w:t xml:space="preserve"> is published as a stand-alone rate with no plan column, so drafting by reference to "the approximate normal cost of the retirement plan under which the member is covered" did not cleanly reach it</w:t>
            </w:r>
          </w:p>
        </w:tc>
        <w:tc>
          <w:tcPr>
            <w:tcW w:type="dxa" w:w="4320"/>
          </w:tcPr>
          <w:p>
            <w:pPr>
              <w:spacing w:before="20" w:after="20"/>
              <w:jc w:val="left"/>
            </w:pPr>
            <w:r>
              <w:rPr>
                <w:b/>
                <w:sz w:val="17"/>
              </w:rPr>
              <w:t>Resolved</w:t>
            </w:r>
            <w:r>
              <w:rPr>
                <w:sz w:val="17"/>
              </w:rPr>
              <w:t xml:space="preserve"> via Annex A § 2.2 factor (v), anchored to "the benefits permitted by § 51.1-138." Note that the same pre-existing mismatch for </w:t>
            </w:r>
            <w:r>
              <w:rPr>
                <w:i/>
                <w:sz w:val="17"/>
              </w:rPr>
              <w:t>other</w:t>
            </w:r>
            <w:r>
              <w:rPr>
                <w:sz w:val="17"/>
              </w:rPr>
              <w:t xml:space="preserve"> purchase categories is deliberately left unamended</w:t>
            </w:r>
          </w:p>
        </w:tc>
      </w:tr>
    </w:tbl>
    <w:p>
      <w:pPr>
        <w:spacing w:before="0" w:after="0" w:line="80" w:lineRule="exact"/>
      </w:pPr>
      <w:r>
        <w:rPr>
          <w:sz w:val="8"/>
        </w:rPr>
      </w:r>
    </w:p>
    <w:p>
      <w:r>
        <w:rPr>
          <w:b/>
        </w:rPr>
        <w:t>Opened or still open:</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Item</w:t>
            </w:r>
          </w:p>
        </w:tc>
        <w:tc>
          <w:tcPr>
            <w:tcW w:type="dxa" w:w="4320"/>
          </w:tcPr>
          <w:p>
            <w:pPr>
              <w:spacing w:before="20" w:after="20"/>
              <w:jc w:val="left"/>
            </w:pPr>
            <w:r>
              <w:rPr>
                <w:b/>
                <w:sz w:val="17"/>
              </w:rPr>
              <w:t>Owner</w:t>
            </w:r>
          </w:p>
        </w:tc>
      </w:tr>
      <w:tr>
        <w:tc>
          <w:tcPr>
            <w:tcW w:type="dxa" w:w="4320"/>
          </w:tcPr>
          <w:p>
            <w:pPr>
              <w:spacing w:before="20" w:after="20"/>
              <w:jc w:val="left"/>
            </w:pPr>
            <w:r>
              <w:rPr>
                <w:b/>
                <w:sz w:val="17"/>
              </w:rPr>
              <w:t>U-06 — pinpoint the HB 1867 fiscal impact statement</w:t>
            </w:r>
          </w:p>
        </w:tc>
        <w:tc>
          <w:tcPr>
            <w:tcW w:type="dxa" w:w="4320"/>
          </w:tcPr>
          <w:p>
            <w:pPr>
              <w:spacing w:before="20" w:after="20"/>
              <w:jc w:val="left"/>
            </w:pPr>
            <w:r>
              <w:rPr>
                <w:b/>
                <w:sz w:val="17"/>
              </w:rPr>
              <w:t>Closed in this pass.</w:t>
            </w:r>
            <w:r>
              <w:rPr>
                <w:sz w:val="17"/>
              </w:rPr>
              <w:t xml:space="preserve"> Retrieved, verbatim, and it strengthened the package rather than merely citing it — § 7.5. F-56 confidence Medium → High; F-60 to F-63 added</w:t>
            </w:r>
          </w:p>
        </w:tc>
      </w:tr>
      <w:tr>
        <w:tc>
          <w:tcPr>
            <w:tcW w:type="dxa" w:w="4320"/>
          </w:tcPr>
          <w:p>
            <w:pPr>
              <w:spacing w:before="20" w:after="20"/>
              <w:jc w:val="left"/>
            </w:pPr>
            <w:r>
              <w:rPr>
                <w:b/>
                <w:sz w:val="17"/>
              </w:rPr>
              <w:t>U-07 — retrieve the SB 950 (2026) chapter text</w:t>
            </w:r>
            <w:r>
              <w:rPr>
                <w:sz w:val="17"/>
              </w:rPr>
              <w:t xml:space="preserve"> rather than relying on the ACFR legislative summary</w:t>
            </w:r>
          </w:p>
        </w:tc>
        <w:tc>
          <w:tcPr>
            <w:tcW w:type="dxa" w:w="4320"/>
          </w:tcPr>
          <w:p>
            <w:pPr>
              <w:spacing w:before="20" w:after="20"/>
              <w:jc w:val="left"/>
            </w:pPr>
            <w:r>
              <w:rPr>
                <w:sz w:val="17"/>
              </w:rPr>
              <w:t>Fiscal &amp; Impact Modeler</w:t>
            </w:r>
          </w:p>
        </w:tc>
      </w:tr>
      <w:tr>
        <w:tc>
          <w:tcPr>
            <w:tcW w:type="dxa" w:w="4320"/>
          </w:tcPr>
          <w:p>
            <w:pPr>
              <w:spacing w:before="20" w:after="20"/>
              <w:jc w:val="left"/>
            </w:pPr>
            <w:r>
              <w:rPr>
                <w:sz w:val="17"/>
              </w:rPr>
              <w:t xml:space="preserve">Annex 2 Closure § 4.6 cited "the brief's own Annex 3 source list at S8." </w:t>
            </w:r>
            <w:r>
              <w:rPr>
                <w:b/>
                <w:sz w:val="17"/>
              </w:rPr>
              <w:t>There is no Annex 3 in this package</w:t>
            </w:r>
            <w:r>
              <w:rPr>
                <w:sz w:val="17"/>
              </w:rPr>
              <w:t xml:space="preserve"> and no S-numbered source list</w:t>
            </w:r>
          </w:p>
        </w:tc>
        <w:tc>
          <w:tcPr>
            <w:tcW w:type="dxa" w:w="4320"/>
          </w:tcPr>
          <w:p>
            <w:pPr>
              <w:spacing w:before="20" w:after="20"/>
              <w:jc w:val="left"/>
            </w:pPr>
            <w:r>
              <w:rPr>
                <w:b/>
                <w:sz w:val="17"/>
              </w:rPr>
              <w:t>Fixed in this pass</w:t>
            </w:r>
            <w:r>
              <w:rPr>
                <w:sz w:val="17"/>
              </w:rPr>
              <w:t xml:space="preserve"> — 04 § 4.6 rewritten on the retrieved statement, citing F-56 and F-60 to F-63</w:t>
            </w:r>
          </w:p>
        </w:tc>
      </w:tr>
      <w:tr>
        <w:tc>
          <w:tcPr>
            <w:tcW w:type="dxa" w:w="4320"/>
          </w:tcPr>
          <w:p>
            <w:pPr>
              <w:spacing w:before="20" w:after="20"/>
              <w:jc w:val="left"/>
            </w:pPr>
            <w:r>
              <w:rPr>
                <w:b/>
                <w:sz w:val="17"/>
              </w:rPr>
              <w:t>A-26 / U-08 — the DPB Standards of Quality composite share</w:t>
            </w:r>
            <w:r>
              <w:rPr>
                <w:sz w:val="17"/>
              </w:rPr>
              <w:t>, to split the teacher exposure line</w:t>
            </w:r>
          </w:p>
        </w:tc>
        <w:tc>
          <w:tcPr>
            <w:tcW w:type="dxa" w:w="4320"/>
          </w:tcPr>
          <w:p>
            <w:pPr>
              <w:spacing w:before="20" w:after="20"/>
              <w:jc w:val="left"/>
            </w:pPr>
            <w:r>
              <w:rPr>
                <w:sz w:val="17"/>
              </w:rPr>
              <w:t>DPB request, via Fiscal &amp; Impact Modeler</w:t>
            </w:r>
          </w:p>
        </w:tc>
      </w:tr>
      <w:tr>
        <w:tc>
          <w:tcPr>
            <w:tcW w:type="dxa" w:w="4320"/>
          </w:tcPr>
          <w:p>
            <w:pPr>
              <w:spacing w:before="20" w:after="20"/>
              <w:jc w:val="left"/>
            </w:pPr>
            <w:r>
              <w:rPr>
                <w:b/>
                <w:sz w:val="17"/>
              </w:rPr>
              <w:t>A-28 — the guardrail dial setting. Reframed in v2.1 per red team F-1, and it is now a drafting question again, not only a policy one.</w:t>
            </w:r>
            <w:r>
              <w:rPr>
                <w:sz w:val="17"/>
              </w:rPr>
              <w:t xml:space="preserve"> A </w:t>
            </w:r>
            <w:r>
              <w:rPr>
                <w:i/>
                <w:sz w:val="17"/>
              </w:rPr>
              <w:t>lawful uniform</w:t>
            </w:r>
            <w:r>
              <w:rPr>
                <w:sz w:val="17"/>
              </w:rPr>
              <w:t xml:space="preserve"> class rate recovers 0%–96% by classification, 59%–66% at the class mean, and only ~23% in the long-service Plan 1 cohort most eager for the bill — a residual of </w:t>
            </w:r>
            <w:r>
              <w:rPr>
                <w:b/>
                <w:sz w:val="17"/>
              </w:rPr>
              <w:t>$20M–$48M</w:t>
            </w:r>
            <w:r>
              <w:rPr>
                <w:sz w:val="17"/>
              </w:rPr>
              <w:t xml:space="preserve"> at 20% take-up, not $0. So the choice is between </w:t>
            </w:r>
            <w:r>
              <w:rPr>
                <w:b/>
                <w:sz w:val="17"/>
              </w:rPr>
              <w:t>(a)</w:t>
            </w:r>
            <w:r>
              <w:rPr>
                <w:sz w:val="17"/>
              </w:rPr>
              <w:t xml:space="preserve"> capping at the actuarial equivalent cost determined </w:t>
            </w:r>
            <w:r>
              <w:rPr>
                <w:i/>
                <w:sz w:val="17"/>
              </w:rPr>
              <w:t>for the classification</w:t>
            </w:r>
            <w:r>
              <w:rPr>
                <w:sz w:val="17"/>
              </w:rPr>
              <w:t xml:space="preserve"> (lawful class rate, near-full recovery, but some members pay above their own actuarial value) and </w:t>
            </w:r>
            <w:r>
              <w:rPr>
                <w:b/>
                <w:sz w:val="17"/>
              </w:rPr>
              <w:t>(b)</w:t>
            </w:r>
            <w:r>
              <w:rPr>
                <w:sz w:val="17"/>
              </w:rPr>
              <w:t xml:space="preserve"> keeping the individual ceiling and stating the fiscal case on the $20M–$48M band. </w:t>
            </w:r>
            <w:r>
              <w:rPr>
                <w:b/>
                <w:sz w:val="17"/>
              </w:rPr>
              <w:t>Annex A Q3a and Q12 both need reframing</w:t>
            </w:r>
          </w:p>
        </w:tc>
        <w:tc>
          <w:tcPr>
            <w:tcW w:type="dxa" w:w="4320"/>
          </w:tcPr>
          <w:p>
            <w:pPr>
              <w:spacing w:before="20" w:after="20"/>
              <w:jc w:val="left"/>
            </w:pPr>
            <w:r>
              <w:rPr>
                <w:sz w:val="17"/>
              </w:rPr>
              <w:t xml:space="preserve">JLCVSO </w:t>
            </w:r>
            <w:r>
              <w:rPr>
                <w:i/>
                <w:sz w:val="17"/>
              </w:rPr>
              <w:t>and</w:t>
            </w:r>
            <w:r>
              <w:rPr>
                <w:sz w:val="17"/>
              </w:rPr>
              <w:t xml:space="preserve"> Drafting Specialist (Annex A, Q3a and Q12)</w:t>
            </w:r>
          </w:p>
        </w:tc>
      </w:tr>
      <w:tr>
        <w:tc>
          <w:tcPr>
            <w:tcW w:type="dxa" w:w="4320"/>
          </w:tcPr>
          <w:p>
            <w:pPr>
              <w:spacing w:before="20" w:after="20"/>
              <w:jc w:val="left"/>
            </w:pPr>
            <w:r>
              <w:rPr>
                <w:b/>
                <w:sz w:val="17"/>
              </w:rPr>
              <w:t>A-22 / U-01 — historical take-up.</w:t>
            </w:r>
            <w:r>
              <w:rPr>
                <w:sz w:val="17"/>
              </w:rPr>
              <w:t xml:space="preserve"> Roughly a factor of 6 of the grid's factor-of-14 span</w:t>
            </w:r>
          </w:p>
        </w:tc>
        <w:tc>
          <w:tcPr>
            <w:tcW w:type="dxa" w:w="4320"/>
          </w:tcPr>
          <w:p>
            <w:pPr>
              <w:spacing w:before="20" w:after="20"/>
              <w:jc w:val="left"/>
            </w:pPr>
            <w:r>
              <w:rPr>
                <w:sz w:val="17"/>
              </w:rPr>
              <w:t>VRS data request item 5</w:t>
            </w:r>
          </w:p>
        </w:tc>
      </w:tr>
    </w:tbl>
    <w:p>
      <w:pPr>
        <w:spacing w:before="0" w:after="0" w:line="80" w:lineRule="exact"/>
      </w:pPr>
      <w:r>
        <w:rPr>
          <w:sz w:val="8"/>
        </w:rP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4-Annex-2-Closure-FM1-FM5.md" TargetMode="External"/><Relationship Id="rId11" Type="http://schemas.openxmlformats.org/officeDocument/2006/relationships/hyperlink" Target="05-Red-Team-Review.md" TargetMode="External"/><Relationship Id="rId12" Type="http://schemas.openxmlformats.org/officeDocument/2006/relationships/hyperlink" Target="models/fm_model.py" TargetMode="External"/><Relationship Id="rId13" Type="http://schemas.openxmlformats.org/officeDocument/2006/relationships/hyperlink" Target="https://law.lis.virginia.gov/vacode/title51.1/chapter1/section51.1-142.2/" TargetMode="External"/><Relationship Id="rId14" Type="http://schemas.openxmlformats.org/officeDocument/2006/relationships/hyperlink" Target="https://law.lis.virginia.gov/vacode/title51.1/chapter1/section51.1-124.3/" TargetMode="External"/><Relationship Id="rId15" Type="http://schemas.openxmlformats.org/officeDocument/2006/relationships/hyperlink" Target="https://law.lis.virginia.gov/vacode/title51.1/chapter1/section51.1-128/" TargetMode="External"/><Relationship Id="rId16" Type="http://schemas.openxmlformats.org/officeDocument/2006/relationships/hyperlink" Target="https://law.lis.virginia.gov/vacode/title51.1/chapter1/section51.1-138/" TargetMode="External"/><Relationship Id="rId17" Type="http://schemas.openxmlformats.org/officeDocument/2006/relationships/hyperlink" Target="https://law.lis.virginia.gov/vacode/title51.1/chapter1/section51.1-145/" TargetMode="External"/><Relationship Id="rId18" Type="http://schemas.openxmlformats.org/officeDocument/2006/relationships/hyperlink" Target="https://law.lis.virginia.gov/vacode/title51.1/chapter1/section51.1-153/" TargetMode="External"/><Relationship Id="rId19" Type="http://schemas.openxmlformats.org/officeDocument/2006/relationships/hyperlink" Target="https://law.lis.virginia.gov/vacode/title51.1/chapter1/section51.1-155/" TargetMode="External"/><Relationship Id="rId20" Type="http://schemas.openxmlformats.org/officeDocument/2006/relationships/hyperlink" Target="https://law.lis.virginia.gov/vacode/title51.1/chapter1/section51.1-165.01/" TargetMode="External"/><Relationship Id="rId21" Type="http://schemas.openxmlformats.org/officeDocument/2006/relationships/hyperlink" Target="https://law.lis.virginia.gov/vacode/title51.1/chapter1/section51.1-166/" TargetMode="External"/><Relationship Id="rId22" Type="http://schemas.openxmlformats.org/officeDocument/2006/relationships/hyperlink" Target="https://law.lis.virginia.gov/vacode/title51.1/chapter1/section51.1-169/" TargetMode="External"/><Relationship Id="rId23" Type="http://schemas.openxmlformats.org/officeDocument/2006/relationships/hyperlink" Target="https://law.lis.virginia.gov/vacode/title51.1/chapter14/section51.1-1400/" TargetMode="External"/><Relationship Id="rId24" Type="http://schemas.openxmlformats.org/officeDocument/2006/relationships/hyperlink" Target="https://law.lis.virginia.gov/vacode/title2.2/chapter29/section2.2-2903/" TargetMode="External"/><Relationship Id="rId25" Type="http://schemas.openxmlformats.org/officeDocument/2006/relationships/hyperlink" Target="https://law.lis.virginia.gov/vacode/title30/chapter1/section30-19.1:7/" TargetMode="External"/><Relationship Id="rId26" Type="http://schemas.openxmlformats.org/officeDocument/2006/relationships/hyperlink" Target="https://www.varetire.org/am/media/shared/pdf/publications/pps-rate-charts.pdf" TargetMode="External"/><Relationship Id="rId27" Type="http://schemas.openxmlformats.org/officeDocument/2006/relationships/hyperlink" Target="https://employers.varetire.org/media/shared/pdf/er-manual-purchase-of-prior-service-credit.pdf" TargetMode="External"/><Relationship Id="rId28" Type="http://schemas.openxmlformats.org/officeDocument/2006/relationships/hyperlink" Target="https://www.varetire.org/media/shared/pdf/publications/2025-annual-report.pdf" TargetMode="External"/><Relationship Id="rId29" Type="http://schemas.openxmlformats.org/officeDocument/2006/relationships/hyperlink" Target="https://employers.varetire.org/media/employers/pdf/financial-reporting/valuations/valuation-report-vrs.pdf" TargetMode="External"/><Relationship Id="rId30" Type="http://schemas.openxmlformats.org/officeDocument/2006/relationships/hyperlink" Target="https://www.varetire.org/media/shared/pdf/publications/intro-to-vrs-brochure.pdf" TargetMode="External"/><Relationship Id="rId31" Type="http://schemas.openxmlformats.org/officeDocument/2006/relationships/hyperlink" Target="https://www.varetire.org/media/members/pdf/board/minutes/2025/board-of-trustees-minutes-06-18-25.pdf" TargetMode="External"/><Relationship Id="rId32" Type="http://schemas.openxmlformats.org/officeDocument/2006/relationships/hyperlink" Target="https://www.varetire.org/media/members/pdf/board/minutes/2026/board-of-trustees-minutes-02-05-26.pdf" TargetMode="External"/><Relationship Id="rId33" Type="http://schemas.openxmlformats.org/officeDocument/2006/relationships/hyperlink" Target="https://www.varetire.org/media/members/pdf/board/minutes/2026/board-of-trustees-minutes-04-23-26.pdf" TargetMode="External"/><Relationship Id="rId34" Type="http://schemas.openxmlformats.org/officeDocument/2006/relationships/hyperlink" Target="https://www.varetire.org/media/members/pdf/board/minutes/2026/board-of-trustees-minutes-06-17-26.pdf" TargetMode="External"/><Relationship Id="rId35" Type="http://schemas.openxmlformats.org/officeDocument/2006/relationships/hyperlink" Target="https://legacylis.virginia.gov/cgi-bin/legp604.exe?231+oth+HB1867F158+PDF" TargetMode="External"/><Relationship Id="rId36" Type="http://schemas.openxmlformats.org/officeDocument/2006/relationships/hyperlink" Target="https://legacylis.virginia.gov/cgi-bin/legp604.exe?231+sum+HB1867=" TargetMode="External"/><Relationship Id="rId37" Type="http://schemas.openxmlformats.org/officeDocument/2006/relationships/hyperlink" Target="https://sfac.virginia.gov/pdf/General%20Gov/2025/01212025_No1_DHRM.pdf" TargetMode="External"/><Relationship Id="rId38" Type="http://schemas.openxmlformats.org/officeDocument/2006/relationships/hyperlink" Target="https://rga.lis.virginia.gov/Published/2025/RD986" TargetMode="External"/><Relationship Id="rId39" Type="http://schemas.openxmlformats.org/officeDocument/2006/relationships/hyperlink" Target="https://lis.virginia.gov/bill-details/20261/HB139/text/CHAP0563" TargetMode="External"/><Relationship Id="rId40" Type="http://schemas.openxmlformats.org/officeDocument/2006/relationships/hyperlink" Target="https://www.bls.gov/news.release/vet.t08.htm" TargetMode="External"/><Relationship Id="rId41" Type="http://schemas.openxmlformats.org/officeDocument/2006/relationships/hyperlink" Target="https://www.bls.gov/news.release/vet.t06a.htm" TargetMode="External"/><Relationship Id="rId42" Type="http://schemas.openxmlformats.org/officeDocument/2006/relationships/hyperlink" Target="https://www.bls.gov/news.release/vet.t06b.htm" TargetMode="External"/><Relationship Id="rId43" Type="http://schemas.openxmlformats.org/officeDocument/2006/relationships/hyperlink" Target="https://nces.ed.gov/programs/digest/d17/tables/dt17_209.27.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B — Fiscal Assumption Register, Claim/Evidence Table and Source Appendix</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