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 Team and Adversarial Counsel Review — MOO-292</w:t>
      </w:r>
    </w:p>
    <w:p>
      <w:pPr>
        <w:spacing w:before="120" w:after="120"/>
        <w:ind w:left="480"/>
      </w:pPr>
      <w:r>
        <w:rPr>
          <w:b/>
          <w:i/>
          <w:color w:val="444444"/>
          <w:sz w:val="20"/>
        </w:rPr>
        <w:t xml:space="preserve">Read </w:t>
      </w:r>
      <w:r>
        <w:rPr>
          <w:rFonts w:ascii="Consolas" w:hAnsi="Consolas"/>
          <w:b/>
          <w:i/>
          <w:color w:val="303030"/>
          <w:sz w:val="18"/>
        </w:rPr>
        <w:t>05-Red-Team-Review.md</w:t>
      </w:r>
      <w:r>
        <w:rPr>
          <w:b/>
          <w:i/>
          <w:color w:val="444444"/>
          <w:sz w:val="20"/>
        </w:rPr>
        <w:t xml:space="preserve"> first.</w:t>
      </w:r>
      <w:r>
        <w:rPr>
          <w:i/>
          <w:color w:val="444444"/>
          <w:sz w:val="20"/>
        </w:rPr>
        <w:t xml:space="preserve"> A parallel red-team review of the same package was commissioned on </w:t>
      </w:r>
      <w:r>
        <w:rPr>
          <w:b/>
          <w:i/>
          <w:color w:val="444444"/>
          <w:sz w:val="20"/>
        </w:rPr>
        <w:t>MOO-289</w:t>
      </w:r>
      <w:r>
        <w:rPr>
          <w:i/>
          <w:color w:val="444444"/>
          <w:sz w:val="20"/>
        </w:rPr>
        <w:t xml:space="preserve"> and committed while this one was in progress (</w:t>
      </w:r>
      <w:r>
        <w:rPr>
          <w:rFonts w:ascii="Consolas" w:hAnsi="Consolas"/>
          <w:i/>
          <w:color w:val="303030"/>
          <w:sz w:val="18"/>
        </w:rPr>
        <w:t>2d0ceb4</w:t>
      </w:r>
      <w:r>
        <w:rPr>
          <w:i/>
          <w:color w:val="444444"/>
          <w:sz w:val="20"/>
        </w:rPr>
        <w:t>…</w:t>
      </w:r>
      <w:r>
        <w:rPr>
          <w:rFonts w:ascii="Consolas" w:hAnsi="Consolas"/>
          <w:i/>
          <w:color w:val="303030"/>
          <w:sz w:val="18"/>
        </w:rPr>
        <w:t>2dfae25</w:t>
      </w:r>
      <w:r>
        <w:rPr>
          <w:i/>
          <w:color w:val="444444"/>
          <w:sz w:val="20"/>
        </w:rPr>
        <w:t xml:space="preserve">). It carries 18 findings and is the better document on the adverse-selection guardrail. </w:t>
      </w:r>
      <w:r>
        <w:rPr>
          <w:b/>
          <w:i/>
          <w:color w:val="444444"/>
          <w:sz w:val="20"/>
        </w:rPr>
        <w:t>This review does not replace it.</w:t>
      </w:r>
      <w:r>
        <w:rPr>
          <w:i/>
          <w:color w:val="444444"/>
          <w:sz w:val="20"/>
        </w:rPr>
        <w:t xml:space="preserve"> It adopts it, maps the overlap, corrects two items in it, withdraws one of its own recommendations in its favour, and adds the work MOO-292 specifically assigned: the three sections that exist only in the </w:t>
      </w:r>
      <w:r>
        <w:rPr>
          <w:b/>
          <w:i/>
          <w:color w:val="444444"/>
          <w:sz w:val="20"/>
        </w:rPr>
        <w:t>v1.0</w:t>
      </w:r>
      <w:r>
        <w:rPr>
          <w:i/>
          <w:color w:val="444444"/>
          <w:sz w:val="20"/>
        </w:rPr>
        <w:t xml:space="preserve"> document on MOO-288 (comparative claim, notice finding, Cliff Graph), the closure of </w:t>
      </w:r>
      <w:r>
        <w:rPr>
          <w:b/>
          <w:i/>
          <w:color w:val="444444"/>
          <w:sz w:val="20"/>
        </w:rPr>
        <w:t>LC-1 to LC-4</w:t>
      </w:r>
      <w:r>
        <w:rPr>
          <w:i/>
          <w:color w:val="444444"/>
          <w:sz w:val="20"/>
        </w:rPr>
        <w:t xml:space="preserve">, a constitutional and preemption screen, and four numerical re-tests of the model. See </w:t>
      </w:r>
      <w:r>
        <w:rPr>
          <w:b/>
          <w:i/>
          <w:color w:val="444444"/>
          <w:sz w:val="20"/>
        </w:rPr>
        <w:t>§ 2.0</w:t>
      </w:r>
      <w:r>
        <w:rPr>
          <w:i/>
          <w:color w:val="444444"/>
          <w:sz w:val="20"/>
        </w:rPr>
        <w:t>.</w:t>
      </w:r>
    </w:p>
    <w:p>
      <w:r>
        <w:rPr>
          <w:b/>
        </w:rPr>
        <w:t>Target reviewed:</w:t>
      </w:r>
      <w:r>
        <w:t xml:space="preserve"> the 2027 session package as it stood on October 25, 2026 — one-pager </w:t>
      </w:r>
      <w:r>
        <w:rPr>
          <w:rFonts w:ascii="Consolas" w:hAnsi="Consolas"/>
          <w:color w:val="303030"/>
          <w:sz w:val="18"/>
        </w:rPr>
        <w:t>00</w:t>
      </w:r>
      <w:r>
        <w:t xml:space="preserve"> (md/html/pdf, HOLD lifted, cleared to print), full brief </w:t>
      </w:r>
      <w:r>
        <w:rPr>
          <w:rFonts w:ascii="Consolas" w:hAnsi="Consolas"/>
          <w:color w:val="303030"/>
          <w:sz w:val="18"/>
        </w:rPr>
        <w:t>01</w:t>
      </w:r>
      <w:r>
        <w:t xml:space="preserve"> </w:t>
      </w:r>
      <w:r>
        <w:rPr>
          <w:b/>
        </w:rPr>
        <w:t>v1.2</w:t>
      </w:r>
      <w:r>
        <w:t xml:space="preserve">, Annex A </w:t>
      </w:r>
      <w:r>
        <w:rPr>
          <w:rFonts w:ascii="Consolas" w:hAnsi="Consolas"/>
          <w:color w:val="303030"/>
          <w:sz w:val="18"/>
        </w:rPr>
        <w:t>02</w:t>
      </w:r>
      <w:r>
        <w:t xml:space="preserve"> </w:t>
      </w:r>
      <w:r>
        <w:rPr>
          <w:b/>
        </w:rPr>
        <w:t>v1.1</w:t>
      </w:r>
      <w:r>
        <w:t xml:space="preserve">, Annex B </w:t>
      </w:r>
      <w:r>
        <w:rPr>
          <w:rFonts w:ascii="Consolas" w:hAnsi="Consolas"/>
          <w:color w:val="303030"/>
          <w:sz w:val="18"/>
        </w:rPr>
        <w:t>03</w:t>
      </w:r>
      <w:r>
        <w:t xml:space="preserve"> v2.0, Annex 2 Closure </w:t>
      </w:r>
      <w:r>
        <w:rPr>
          <w:rFonts w:ascii="Consolas" w:hAnsi="Consolas"/>
          <w:color w:val="303030"/>
          <w:sz w:val="18"/>
        </w:rPr>
        <w:t>04</w:t>
      </w:r>
      <w:r>
        <w:t xml:space="preserve">, and </w:t>
      </w:r>
      <w:r>
        <w:rPr>
          <w:rFonts w:ascii="Consolas" w:hAnsi="Consolas"/>
          <w:color w:val="303030"/>
          <w:sz w:val="18"/>
        </w:rPr>
        <w:t>models/fm_model.py</w:t>
      </w:r>
      <w:r>
        <w:t xml:space="preserve">. Also reviewed: the </w:t>
      </w:r>
      <w:r>
        <w:rPr>
          <w:b/>
        </w:rPr>
        <w:t>v1.0</w:t>
      </w:r>
      <w:r>
        <w:t xml:space="preserve"> brief document and 12-page PDF artifact on MOO-288, which is the version that carries the 20-state comparative claim, the notice-gap section and the Cliff Graph. Those three sections </w:t>
      </w:r>
      <w:r>
        <w:rPr>
          <w:b/>
        </w:rPr>
        <w:t xml:space="preserve">do not appear in </w:t>
      </w:r>
      <w:r>
        <w:rPr>
          <w:rFonts w:ascii="Consolas" w:hAnsi="Consolas"/>
          <w:b/>
          <w:color w:val="303030"/>
          <w:sz w:val="18"/>
        </w:rPr>
        <w:t>01</w:t>
      </w:r>
      <w:r>
        <w:rPr>
          <w:b/>
        </w:rPr>
        <w:t xml:space="preserve"> v1.2</w:t>
      </w:r>
      <w:r>
        <w:t xml:space="preserve"> — see Finding M-4.</w:t>
      </w:r>
    </w:p>
    <w:p>
      <w:r>
        <w:rPr>
          <w:b/>
        </w:rPr>
        <w:t>Git basis:</w:t>
      </w:r>
      <w:r>
        <w:t xml:space="preserve"> </w:t>
      </w:r>
      <w:r>
        <w:rPr>
          <w:rFonts w:ascii="Consolas" w:hAnsi="Consolas"/>
          <w:color w:val="303030"/>
          <w:sz w:val="18"/>
        </w:rPr>
        <w:t>3704a3e</w:t>
      </w:r>
      <w:r>
        <w:t xml:space="preserve"> plus the working-tree edits to </w:t>
      </w:r>
      <w:r>
        <w:rPr>
          <w:rFonts w:ascii="Consolas" w:hAnsi="Consolas"/>
          <w:color w:val="303030"/>
          <w:sz w:val="18"/>
        </w:rPr>
        <w:t>02</w:t>
      </w:r>
      <w:r>
        <w:t xml:space="preserve">, </w:t>
      </w:r>
      <w:r>
        <w:rPr>
          <w:rFonts w:ascii="Consolas" w:hAnsi="Consolas"/>
          <w:color w:val="303030"/>
          <w:sz w:val="18"/>
        </w:rPr>
        <w:t>03</w:t>
      </w:r>
      <w:r>
        <w:t xml:space="preserve">, </w:t>
      </w:r>
      <w:r>
        <w:rPr>
          <w:rFonts w:ascii="Consolas" w:hAnsi="Consolas"/>
          <w:color w:val="303030"/>
          <w:sz w:val="18"/>
        </w:rPr>
        <w:t>04</w:t>
      </w:r>
      <w:r>
        <w:t xml:space="preserve"> and </w:t>
      </w:r>
      <w:r>
        <w:rPr>
          <w:rFonts w:ascii="Consolas" w:hAnsi="Consolas"/>
          <w:color w:val="303030"/>
          <w:sz w:val="18"/>
        </w:rPr>
        <w:t>README.md</w:t>
      </w:r>
      <w:r>
        <w:t xml:space="preserve"> present at the time of review. The workspace was shared with a concurrent run; where a finding may already have been fixed after this timestamp, it is marked </w:t>
      </w:r>
      <w:r>
        <w:rPr>
          <w:i/>
        </w:rPr>
        <w:t>(verify current)</w:t>
      </w:r>
      <w:r>
        <w:t>.</w:t>
      </w:r>
    </w:p>
    <w:p>
      <w:r>
        <w:rPr>
          <w:b/>
        </w:rPr>
        <w:t>Owner:</w:t>
      </w:r>
      <w:r>
        <w:t xml:space="preserve"> Red Team / Counsel Reviewer · </w:t>
      </w:r>
      <w:r>
        <w:rPr>
          <w:b/>
        </w:rPr>
        <w:t>Issue:</w:t>
      </w:r>
      <w:r>
        <w:t xml:space="preserve"> MOO-292 · </w:t>
      </w:r>
      <w:r>
        <w:rPr>
          <w:b/>
        </w:rPr>
        <w:t>Date:</w:t>
      </w:r>
      <w:r>
        <w:t xml:space="preserve"> October 25, 2026</w:t>
      </w:r>
    </w:p>
    <w:p>
      <w:pPr>
        <w:spacing w:before="120" w:after="120"/>
        <w:ind w:left="480"/>
      </w:pPr>
      <w:r>
        <w:rPr>
          <w:b/>
          <w:i/>
          <w:color w:val="444444"/>
          <w:sz w:val="20"/>
        </w:rPr>
        <w:t>This is internal risk analysis, not legal advice.</w:t>
      </w:r>
      <w:r>
        <w:rPr>
          <w:i/>
          <w:color w:val="444444"/>
          <w:sz w:val="20"/>
        </w:rPr>
        <w:t xml:space="preserve"> Nothing here is a legal opinion the organisation may rely on, and nothing here clears any provision. Final sign-off on Title 51.1 language remains with the VRS attorney. Under § 30-19.1:7 the VRS Board files the official impact statement; every fiscal figure below is a re-run of the team's own model, not a certification.</w:t>
      </w:r>
    </w:p>
    <w:p>
      <w:pPr>
        <w:spacing w:before="120" w:after="120"/>
        <w:ind w:left="480"/>
      </w:pPr>
      <w:r>
        <w:rPr>
          <w:b/>
          <w:i/>
          <w:color w:val="444444"/>
          <w:sz w:val="20"/>
        </w:rPr>
        <w:t>New files added by this review:</w:t>
      </w:r>
      <w:r>
        <w:rPr>
          <w:i/>
          <w:color w:val="444444"/>
          <w:sz w:val="20"/>
        </w:rPr>
        <w:t xml:space="preserve"> this annex and </w:t>
      </w:r>
      <w:r>
        <w:rPr>
          <w:rFonts w:ascii="Consolas" w:hAnsi="Consolas"/>
          <w:i/>
          <w:color w:val="303030"/>
          <w:sz w:val="18"/>
        </w:rPr>
        <w:t>models/redteam_checks.py</w:t>
      </w:r>
      <w:r>
        <w:rPr>
          <w:i/>
          <w:color w:val="444444"/>
          <w:sz w:val="20"/>
        </w:rPr>
        <w:t xml:space="preserve">. </w:t>
      </w:r>
      <w:r>
        <w:rPr>
          <w:b/>
          <w:i/>
          <w:color w:val="444444"/>
          <w:sz w:val="20"/>
        </w:rPr>
        <w:t>No existing file was modified.</w:t>
      </w:r>
      <w:r>
        <w:rPr>
          <w:i/>
          <w:color w:val="444444"/>
          <w:sz w:val="20"/>
        </w:rPr>
        <w:t xml:space="preserve"> </w:t>
      </w:r>
      <w:r>
        <w:rPr>
          <w:rFonts w:ascii="Consolas" w:hAnsi="Consolas"/>
          <w:i/>
          <w:color w:val="303030"/>
          <w:sz w:val="18"/>
        </w:rPr>
        <w:t>redteam_checks.py</w:t>
      </w:r>
      <w:r>
        <w:rPr>
          <w:i/>
          <w:color w:val="444444"/>
          <w:sz w:val="20"/>
        </w:rPr>
        <w:t xml:space="preserve"> imports </w:t>
      </w:r>
      <w:r>
        <w:rPr>
          <w:rFonts w:ascii="Consolas" w:hAnsi="Consolas"/>
          <w:i/>
          <w:color w:val="303030"/>
          <w:sz w:val="18"/>
        </w:rPr>
        <w:t>fm_model.py</w:t>
      </w:r>
      <w:r>
        <w:rPr>
          <w:i/>
          <w:color w:val="444444"/>
          <w:sz w:val="20"/>
        </w:rPr>
        <w:t xml:space="preserve"> unchanged and re-runs four challenges against it; every figure in § 4 is reproducible with </w:t>
      </w:r>
      <w:r>
        <w:rPr>
          <w:rFonts w:ascii="Consolas" w:hAnsi="Consolas"/>
          <w:i/>
          <w:color w:val="303030"/>
          <w:sz w:val="18"/>
        </w:rPr>
        <w:t>python3 redteam_checks.py</w:t>
      </w:r>
      <w:r>
        <w:rPr>
          <w:i/>
          <w:color w:val="444444"/>
          <w:sz w:val="20"/>
        </w:rPr>
        <w:t>.</w:t>
      </w:r>
    </w:p>
    <w:p>
      <w:pPr>
        <w:jc w:val="center"/>
      </w:pPr>
      <w:r>
        <w:rPr>
          <w:color w:val="909090"/>
          <w:sz w:val="18"/>
        </w:rPr>
        <w:t>* * *</w:t>
      </w:r>
    </w:p>
    <w:p>
      <w:pPr>
        <w:pStyle w:val="Heading2"/>
      </w:pPr>
      <w:r>
        <w:t>1. The strongest case against — written as the opposition would write it</w:t>
      </w:r>
    </w:p>
    <w:p>
      <w:pPr>
        <w:spacing w:before="120" w:after="120"/>
        <w:ind w:left="480"/>
      </w:pPr>
      <w:r>
        <w:rPr>
          <w:i/>
          <w:color w:val="444444"/>
          <w:sz w:val="20"/>
        </w:rPr>
        <w:t>Chairman, I want to be careful here, because nobody on this committee wants to be against veterans. So let me talk only about the document.</w:t>
      </w:r>
    </w:p>
    <w:p>
      <w:pPr>
        <w:spacing w:before="120" w:after="120"/>
        <w:ind w:left="480"/>
      </w:pPr>
      <w:r>
        <w:rPr>
          <w:i/>
          <w:color w:val="444444"/>
          <w:sz w:val="20"/>
        </w:rPr>
        <w:t>This proposal arrives with a one-page handout that says, in bold, "General fund cost: $0. That is structural, not a rounding." That is not correct, and the proponents' own annex knows it is not correct — it books the state-agency share as "general fund plus nongeneral fund." Under § 51.1-145 I the Board certifies a rate, under § 51.1-145 K the Governor's appropriation bill must carry the resulting employer contributions, and under § 51.1-145 L this body sets the rate. So the general fund pays. Not this year. Next biennium, in the retirement line, where nobody is looking. And when VRS files its § 30-19.1:7 statement — a statute that by its terms requires the Board to report "the financial impact of the proposed bill upon the general fund" — I expect it to say what it said about the last bill like this one: "no immediate impact," and "Budget Amendment Necessary: Yes."</w:t>
      </w:r>
    </w:p>
    <w:p>
      <w:pPr>
        <w:spacing w:before="120" w:after="120"/>
        <w:ind w:left="480"/>
      </w:pPr>
      <w:r>
        <w:rPr>
          <w:i/>
          <w:color w:val="444444"/>
          <w:sz w:val="20"/>
        </w:rPr>
        <w:t xml:space="preserve">Second: the handout is titled "Let veteran </w:t>
      </w:r>
      <w:r>
        <w:rPr>
          <w:i/>
          <w:color w:val="444444"/>
          <w:sz w:val="20"/>
        </w:rPr>
        <w:t>state employees</w:t>
      </w:r>
      <w:r>
        <w:rPr>
          <w:i/>
          <w:color w:val="444444"/>
          <w:sz w:val="20"/>
        </w:rPr>
        <w:t xml:space="preserve"> buy their military retirement credit at a fair price." It never tells the reader that school divisions and local governments pay too. The proponents' own exposure table shows the political-subdivision line is the </w:t>
      </w:r>
      <w:r>
        <w:rPr>
          <w:i/>
          <w:color w:val="444444"/>
          <w:sz w:val="20"/>
        </w:rPr>
        <w:t>largest of the three</w:t>
      </w:r>
      <w:r>
        <w:rPr>
          <w:i/>
          <w:color w:val="444444"/>
          <w:sz w:val="20"/>
        </w:rPr>
        <w:t>. The Virginia Municipal League and VACo are going to read that table and then read that handout, and they are going to draw a conclusion about this organisation that has nothing to do with veterans.</w:t>
      </w:r>
    </w:p>
    <w:p>
      <w:pPr>
        <w:spacing w:before="120" w:after="120"/>
        <w:ind w:left="480"/>
      </w:pPr>
      <w:r>
        <w:rPr>
          <w:i/>
          <w:color w:val="444444"/>
          <w:sz w:val="20"/>
        </w:rPr>
        <w:t>Third, and this is the one I'd ask the actuary about. Their brief says the strongest fiscal argument for this bill is that a veteran under 47 or 48 "pays more than the credit is actuarially worth" — the veteran subsidises the Fund. Then, three pages later, the same brief says every purchaser costs the Fund money: $6,779 for a Hybrid member, and nearly every Hybrid member in the Commonwealth is under 47. Both statements cannot be true. I ran their own model. On the basis their cost table actually uses, the Fund loses money on every purchaser at every age from 28 to 61, in all three plans. So one of those two numbers is being used to sell the bill and the other is being used to price it, and they contradict each other.</w:t>
      </w:r>
    </w:p>
    <w:p>
      <w:pPr>
        <w:spacing w:before="120" w:after="120"/>
        <w:ind w:left="480"/>
      </w:pPr>
      <w:r>
        <w:rPr>
          <w:i/>
          <w:color w:val="444444"/>
          <w:sz w:val="20"/>
        </w:rPr>
        <w:t xml:space="preserve">Fourth: they call the HB 1867 comparison "the cross-check that matters most" and "the strongest available evidence that this estimate is in the right range." HB 1867 gave the service away </w:t>
      </w:r>
      <w:r>
        <w:rPr>
          <w:i/>
          <w:color w:val="444444"/>
          <w:sz w:val="20"/>
        </w:rPr>
        <w:t>free</w:t>
      </w:r>
      <w:r>
        <w:rPr>
          <w:i/>
          <w:color w:val="444444"/>
          <w:sz w:val="20"/>
        </w:rPr>
        <w:t xml:space="preserve">, for </w:t>
      </w:r>
      <w:r>
        <w:rPr>
          <w:i/>
          <w:color w:val="444444"/>
          <w:sz w:val="20"/>
        </w:rPr>
        <w:t>four years</w:t>
      </w:r>
      <w:r>
        <w:rPr>
          <w:i/>
          <w:color w:val="444444"/>
          <w:sz w:val="20"/>
        </w:rPr>
        <w:t xml:space="preserve">. VRS priced that at $10,000 to $60,000 a member, average $35,000. The proponents compare that to a figure that is net of what the veteran pays, for two and a half years. Put it on the same footing — free, four years — and their Plan 1 number is </w:t>
      </w:r>
      <w:r>
        <w:rPr>
          <w:i/>
          <w:color w:val="444444"/>
          <w:sz w:val="20"/>
        </w:rPr>
        <w:t>$123,520</w:t>
      </w:r>
      <w:r>
        <w:rPr>
          <w:i/>
          <w:color w:val="444444"/>
          <w:sz w:val="20"/>
        </w:rPr>
        <w:t xml:space="preserve">. That is </w:t>
      </w:r>
      <w:r>
        <w:rPr>
          <w:i/>
          <w:color w:val="444444"/>
          <w:sz w:val="20"/>
        </w:rPr>
        <w:t>twice</w:t>
      </w:r>
      <w:r>
        <w:rPr>
          <w:i/>
          <w:color w:val="444444"/>
          <w:sz w:val="20"/>
        </w:rPr>
        <w:t xml:space="preserve"> the top of VRS's entire range and three and a half times VRS's own average. And their new "structural agreement" check divides a two-and-a-half-year figure by a four-year figure; correct that and the ratio is 1.213, which the formula they derived it from cannot produce. Their cross-check, run on one basis, says their estimate is hot, not conservative.</w:t>
      </w:r>
    </w:p>
    <w:p>
      <w:pPr>
        <w:spacing w:before="120" w:after="120"/>
        <w:ind w:left="480"/>
      </w:pPr>
      <w:r>
        <w:rPr>
          <w:i/>
          <w:color w:val="444444"/>
          <w:sz w:val="20"/>
        </w:rPr>
        <w:t>Fifth: the bill's answer to buying on the eve of retirement is a Board power to require that a purchase be "completed not fewer than 12 months prior to the member's effective date of retirement." A member has no effective date of retirement when they buy. And the very next amendment in the same draft begins "Notwithstanding any other provision of this section" and authorises sixty-month payment agreements. So the guardrail is overridden by the convenience, in the same bill, on the same page.</w:t>
      </w:r>
    </w:p>
    <w:p>
      <w:pPr>
        <w:spacing w:before="120" w:after="120"/>
        <w:ind w:left="480"/>
      </w:pPr>
      <w:r>
        <w:rPr>
          <w:i/>
          <w:color w:val="444444"/>
          <w:sz w:val="20"/>
        </w:rPr>
        <w:t xml:space="preserve">Last: who is actually helped. § 51.1-142.2 B 3 says no service credit may be purchased "if it is included in the calculation of any retirement allowance received or to be received… or if there is a balance in a defined contribution account that serves as a primary retirement account related to such service." A twenty-year military retiree cannot buy. A soldier who served under the Blended Retirement System has a TSP account funded by the government against that very service. The proponents' estimate of "10,600 to 26,300 veterans" is built from Census and DHRM counts of </w:t>
      </w:r>
      <w:r>
        <w:rPr>
          <w:i/>
          <w:color w:val="444444"/>
          <w:sz w:val="20"/>
        </w:rPr>
        <w:t>veterans</w:t>
      </w:r>
      <w:r>
        <w:rPr>
          <w:i/>
          <w:color w:val="444444"/>
          <w:sz w:val="20"/>
        </w:rPr>
        <w:t>, and it applies a haircut for the 180-day rule and for nothing else. Their own package does not mention either half of that sentence — not in the brief, not in the annexes, not in the eight-item data request. I'd want VRS to tell us how many of those 26,300 are statutorily barred before I vote on a number.</w:t>
      </w:r>
    </w:p>
    <w:p>
      <w:r>
        <w:t>That brief is survivable. Every one of those six points has a fix, four of them are one sentence long, and the underlying policy argument — that Virginia withdraws a price from a veteran for the offence of staying — is strong and survives all of it. But as the package is printed today, the opposition does not have to argue about veterans at all. It can argue about arithmetic and about a handout, and it will win that argument.</w:t>
      </w:r>
    </w:p>
    <w:p>
      <w:pPr>
        <w:jc w:val="center"/>
      </w:pPr>
      <w:r>
        <w:rPr>
          <w:color w:val="909090"/>
          <w:sz w:val="18"/>
        </w:rPr>
        <w:t>* * *</w:t>
      </w:r>
    </w:p>
    <w:p>
      <w:pPr>
        <w:pStyle w:val="Heading2"/>
      </w:pPr>
      <w:r>
        <w:t>2.0 Relationship to the MOO-289 review — overlap, adoption, and two corrections</w:t>
      </w:r>
    </w:p>
    <w:p>
      <w:r>
        <w:t>Two issues commissioned the same adversarial review of the same package. That is a process defect worth naming (Policy Director: MOO-289 and MOO-292 overlap), but the two reviews were run independently and converge, which is itself evidence. Where they converge, treat the finding as confirmed twice. Where they diverge, the resolutions are below.</w:t>
      </w:r>
    </w:p>
    <w:p>
      <w:r>
        <w:rPr>
          <w:b/>
        </w:rPr>
        <w:t>Adopted from MOO-289, and it changes my verdict.</w:t>
      </w:r>
      <w:r>
        <w:t xml:space="preserve"> Its </w:t>
      </w:r>
      <w:r>
        <w:rPr>
          <w:b/>
        </w:rPr>
        <w:t>F-1</w:t>
      </w:r>
      <w:r>
        <w:t xml:space="preserve"> is the single best finding in either document: a uniform class rate that may never exceed </w:t>
      </w:r>
      <w:r>
        <w:rPr>
          <w:i/>
        </w:rPr>
        <w:t>each</w:t>
      </w:r>
      <w:r>
        <w:t xml:space="preserve"> member's own actuarial equivalent cost must be set at the class </w:t>
      </w:r>
      <w:r>
        <w:rPr>
          <w:b/>
        </w:rPr>
        <w:t>minimum</w:t>
      </w:r>
      <w:r>
        <w:t xml:space="preserve">, so the 100% dial recovers only </w:t>
      </w:r>
      <w:r>
        <w:rPr>
          <w:b/>
        </w:rPr>
        <w:t>25%</w:t>
      </w:r>
      <w:r>
        <w:t xml:space="preserve"> of the excess in the Plan 1 age 55–59 / 20–29-years class — the cohort the one-pager leads with. The $0 fiscal note is unreachable at any lawful setting. I had concluded that fixing my S-6 would make the adverse-selection dimension pass. That was wrong. </w:t>
      </w:r>
      <w:r>
        <w:rPr>
          <w:b/>
        </w:rPr>
        <w:t>It does not pass</w:t>
      </w:r>
      <w:r>
        <w:t>, and the reason is MOO-289 F-1, not S-6. Both must be fixed. My § 8 dimension 6 verdict is corrected accordingly.</w:t>
      </w:r>
    </w:p>
    <w:p>
      <w:r>
        <w:rPr>
          <w:b/>
        </w:rPr>
        <w:t>Withdrawn in favour of MOO-289.</w:t>
      </w:r>
      <w:r>
        <w:t xml:space="preserve"> My § 6 recommendation to </w:t>
      </w:r>
      <w:r>
        <w:rPr>
          <w:b/>
        </w:rPr>
        <w:t>strike enactment clause 3</w:t>
      </w:r>
      <w:r>
        <w:t xml:space="preserve"> is withdrawn. MOO-289 M-2 is right and cites the provision I missed: </w:t>
      </w:r>
      <w:r>
        <w:rPr>
          <w:b/>
        </w:rPr>
        <w:t>Va. Const. art. X, § 11</w:t>
      </w:r>
      <w:r>
        <w:t xml:space="preserve"> — "Retirement system benefits shall be funded using methods which are consistent with generally accepted actuarial principles" (verified verbatim). A bill that mandates sale of service credit below actuarial value needs that funding link in its text. Clause 3 should be </w:t>
      </w:r>
      <w:r>
        <w:rPr>
          <w:b/>
        </w:rPr>
        <w:t>retained</w:t>
      </w:r>
      <w:r>
        <w:t xml:space="preserve"> and Q8 inverted to ask whether it is </w:t>
      </w:r>
      <w:r>
        <w:rPr>
          <w:i/>
        </w:rPr>
        <w:t>sufficient</w:t>
      </w:r>
      <w:r>
        <w:t>. Clause 3 does not create the general-fund exposure in F-1 — § 51.1-145 K does — so there was never a reason to strike it.</w:t>
      </w:r>
    </w:p>
    <w:p>
      <w:r>
        <w:rPr>
          <w:b/>
        </w:rPr>
        <w:t>Two corrections to MOO-289.</w:t>
      </w:r>
    </w:p>
    <w:p>
      <w:pPr>
        <w:spacing w:after="60"/>
        <w:ind w:left="432" w:hanging="432"/>
      </w:pPr>
      <w:r>
        <w:rPr>
          <w:b/>
        </w:rPr>
        <w:t>1.</w:t>
        <w:tab/>
      </w:r>
      <w:r>
        <w:rPr>
          <w:b/>
        </w:rPr>
        <w:t>M-5's premise is wrong, though its fix is right.</w:t>
      </w:r>
      <w:r>
        <w:t xml:space="preserve"> "Any member in service may purchase" is </w:t>
      </w:r>
      <w:r>
        <w:rPr>
          <w:b/>
        </w:rPr>
        <w:t>not</w:t>
      </w:r>
      <w:r>
        <w:t xml:space="preserve"> a new or undefined phrase. § 51.1-142.2 B 2 reads, verbatim: "In addition to the service credit that may be purchased under subdivision 1, </w:t>
      </w:r>
      <w:r>
        <w:rPr>
          <w:b/>
        </w:rPr>
        <w:t>any member in service may purchase</w:t>
      </w:r>
      <w:r>
        <w:t xml:space="preserve"> up to four years of service credit for prior active duty military service…" The phrase recurs through the section. A drafter told it is new may go looking to change B 2's own words. The </w:t>
      </w:r>
      <w:r>
        <w:rPr>
          <w:i/>
        </w:rPr>
        <w:t>fix</w:t>
      </w:r>
      <w:r>
        <w:t xml:space="preserve"> MOO-289 recommends — recast the sentence as pricing, not as a grant — is correct and is the same fix as my S-5, for the better of the two reasons (surplus grant outside B 2's caps and conditions).</w:t>
      </w:r>
    </w:p>
    <w:p>
      <w:pPr>
        <w:spacing w:after="60"/>
        <w:ind w:left="432" w:hanging="432"/>
      </w:pPr>
      <w:r>
        <w:rPr>
          <w:b/>
        </w:rPr>
        <w:t>2.</w:t>
        <w:tab/>
      </w:r>
      <w:r>
        <w:rPr>
          <w:b/>
        </w:rPr>
        <w:t>M-4 identifies the two pools but not the cause, and the cause is one line.</w:t>
      </w:r>
      <w:r>
        <w:t xml:space="preserve"> See my </w:t>
      </w:r>
      <w:r>
        <w:rPr>
          <w:b/>
        </w:rPr>
        <w:t>S-3</w:t>
      </w:r>
      <w:r>
        <w:t xml:space="preserve">: the effective-rate band used to split the pool across plans pairs each pool end with the </w:t>
      </w:r>
      <w:r>
        <w:rPr>
          <w:i/>
        </w:rPr>
        <w:t>opposite</w:t>
      </w:r>
      <w:r>
        <w:t xml:space="preserve"> past-window population. Corrected, the two derivations reconcile on a single pool and the published headline moves from $13M–$182M to </w:t>
      </w:r>
      <w:r>
        <w:rPr>
          <w:b/>
        </w:rPr>
        <w:t>$14M–$166M</w:t>
      </w:r>
      <w:r>
        <w:t>.</w:t>
      </w:r>
    </w:p>
    <w:p>
      <w:r>
        <w:rPr>
          <w:b/>
        </w:rPr>
        <w:t>Overlap map.</w:t>
      </w:r>
      <w:r>
        <w:t xml:space="preserve"> Treat these as one finding, confirmed independently:</w:t>
      </w:r>
    </w:p>
    <w:tbl>
      <w:tblPr>
        <w:tblStyle w:val="TableGrid"/>
        <w:tblW w:type="auto" w:w="0"/>
        <w:jc w:val="left"/>
        <w:tblLook w:firstColumn="1" w:firstRow="1" w:lastColumn="0" w:lastRow="0" w:noHBand="0" w:noVBand="1" w:val="04A0"/>
      </w:tblPr>
      <w:tblGrid>
        <w:gridCol w:w="2880"/>
        <w:gridCol w:w="2880"/>
        <w:gridCol w:w="2880"/>
      </w:tblGrid>
      <w:tr>
        <w:trPr>
          <w:tblHeader w:val="true"/>
        </w:trPr>
        <w:tc>
          <w:tcPr>
            <w:tcW w:type="dxa" w:w="2880"/>
          </w:tcPr>
          <w:p>
            <w:pPr>
              <w:spacing w:before="20" w:after="20"/>
              <w:jc w:val="left"/>
            </w:pPr>
            <w:r>
              <w:rPr>
                <w:b/>
                <w:sz w:val="17"/>
              </w:rPr>
              <w:t>MOO-292 (this review)</w:t>
            </w:r>
          </w:p>
        </w:tc>
        <w:tc>
          <w:tcPr>
            <w:tcW w:type="dxa" w:w="2880"/>
          </w:tcPr>
          <w:p>
            <w:pPr>
              <w:spacing w:before="20" w:after="20"/>
              <w:jc w:val="left"/>
            </w:pPr>
            <w:r>
              <w:rPr>
                <w:b/>
                <w:sz w:val="17"/>
              </w:rPr>
              <w:t>MOO-289</w:t>
            </w:r>
          </w:p>
        </w:tc>
        <w:tc>
          <w:tcPr>
            <w:tcW w:type="dxa" w:w="2880"/>
          </w:tcPr>
          <w:p>
            <w:pPr>
              <w:spacing w:before="20" w:after="20"/>
              <w:jc w:val="left"/>
            </w:pPr>
            <w:r>
              <w:rPr>
                <w:b/>
                <w:sz w:val="17"/>
              </w:rPr>
              <w:t>Subject</w:t>
            </w:r>
          </w:p>
        </w:tc>
      </w:tr>
      <w:tr>
        <w:tc>
          <w:tcPr>
            <w:tcW w:type="dxa" w:w="2880"/>
          </w:tcPr>
          <w:p>
            <w:pPr>
              <w:spacing w:before="20" w:after="20"/>
              <w:jc w:val="left"/>
            </w:pPr>
            <w:r>
              <w:rPr>
                <w:b/>
                <w:sz w:val="17"/>
              </w:rPr>
              <w:t>F-1</w:t>
            </w:r>
          </w:p>
        </w:tc>
        <w:tc>
          <w:tcPr>
            <w:tcW w:type="dxa" w:w="2880"/>
          </w:tcPr>
          <w:p>
            <w:pPr>
              <w:spacing w:before="20" w:after="20"/>
              <w:jc w:val="left"/>
            </w:pPr>
            <w:r>
              <w:rPr>
                <w:b/>
                <w:sz w:val="17"/>
              </w:rPr>
              <w:t>F-2</w:t>
            </w:r>
          </w:p>
        </w:tc>
        <w:tc>
          <w:tcPr>
            <w:tcW w:type="dxa" w:w="2880"/>
          </w:tcPr>
          <w:p>
            <w:pPr>
              <w:spacing w:before="20" w:after="20"/>
              <w:jc w:val="left"/>
            </w:pPr>
            <w:r>
              <w:rPr>
                <w:sz w:val="17"/>
              </w:rPr>
              <w:t xml:space="preserve">"$0 general fund" is wrong and the leave-behind omits local cost-bearers. MOO-289 reaches it from the package's own who-bears table; this review adds § 51.1-145 I/K/L, § 30-19.1:7's general-fund mandate, and VRS's own "Budget Amendment Necessary: </w:t>
            </w:r>
            <w:r>
              <w:rPr>
                <w:b/>
                <w:sz w:val="17"/>
              </w:rPr>
              <w:t>Yes</w:t>
            </w:r>
            <w:r>
              <w:rPr>
                <w:sz w:val="17"/>
              </w:rPr>
              <w:t>" on HB 1867.</w:t>
            </w:r>
          </w:p>
        </w:tc>
      </w:tr>
      <w:tr>
        <w:tc>
          <w:tcPr>
            <w:tcW w:type="dxa" w:w="2880"/>
          </w:tcPr>
          <w:p>
            <w:pPr>
              <w:spacing w:before="20" w:after="20"/>
              <w:jc w:val="left"/>
            </w:pPr>
            <w:r>
              <w:rPr>
                <w:b/>
                <w:sz w:val="17"/>
              </w:rPr>
              <w:t>S-1</w:t>
            </w:r>
          </w:p>
        </w:tc>
        <w:tc>
          <w:tcPr>
            <w:tcW w:type="dxa" w:w="2880"/>
          </w:tcPr>
          <w:p>
            <w:pPr>
              <w:spacing w:before="20" w:after="20"/>
              <w:jc w:val="left"/>
            </w:pPr>
            <w:r>
              <w:rPr>
                <w:b/>
                <w:sz w:val="17"/>
              </w:rPr>
              <w:t>S-8</w:t>
            </w:r>
          </w:p>
        </w:tc>
        <w:tc>
          <w:tcPr>
            <w:tcW w:type="dxa" w:w="2880"/>
          </w:tcPr>
          <w:p>
            <w:pPr>
              <w:spacing w:before="20" w:after="20"/>
              <w:jc w:val="left"/>
            </w:pPr>
            <w:r>
              <w:rPr>
                <w:sz w:val="17"/>
              </w:rPr>
              <w:t xml:space="preserve">The HB 1867 cross-check does not say what the package says it says. </w:t>
            </w:r>
            <w:r>
              <w:rPr>
                <w:b/>
                <w:sz w:val="17"/>
              </w:rPr>
              <w:t>This review supersedes both</w:t>
            </w:r>
            <w:r>
              <w:rPr>
                <w:sz w:val="17"/>
              </w:rPr>
              <w:t xml:space="preserve"> — § 4.6 was rewritten on October 25 after MOO-289's finding, and the new "structural agreement" ratio fails its own identity. See S-1 as revised.</w:t>
            </w:r>
          </w:p>
        </w:tc>
      </w:tr>
      <w:tr>
        <w:tc>
          <w:tcPr>
            <w:tcW w:type="dxa" w:w="2880"/>
          </w:tcPr>
          <w:p>
            <w:pPr>
              <w:spacing w:before="20" w:after="20"/>
              <w:jc w:val="left"/>
            </w:pPr>
            <w:r>
              <w:rPr>
                <w:b/>
                <w:sz w:val="17"/>
              </w:rPr>
              <w:t>S-2</w:t>
            </w:r>
          </w:p>
        </w:tc>
        <w:tc>
          <w:tcPr>
            <w:tcW w:type="dxa" w:w="2880"/>
          </w:tcPr>
          <w:p>
            <w:pPr>
              <w:spacing w:before="20" w:after="20"/>
              <w:jc w:val="left"/>
            </w:pPr>
            <w:r>
              <w:rPr>
                <w:b/>
                <w:sz w:val="17"/>
              </w:rPr>
              <w:t>S-4</w:t>
            </w:r>
          </w:p>
        </w:tc>
        <w:tc>
          <w:tcPr>
            <w:tcW w:type="dxa" w:w="2880"/>
          </w:tcPr>
          <w:p>
            <w:pPr>
              <w:spacing w:before="20" w:after="20"/>
              <w:jc w:val="left"/>
            </w:pPr>
            <w:r>
              <w:rPr>
                <w:sz w:val="17"/>
              </w:rPr>
              <w:t>The break-even / "veteran subsidises the Fund" argument does not survive the package's own full basis.</w:t>
            </w:r>
          </w:p>
        </w:tc>
      </w:tr>
      <w:tr>
        <w:tc>
          <w:tcPr>
            <w:tcW w:type="dxa" w:w="2880"/>
          </w:tcPr>
          <w:p>
            <w:pPr>
              <w:spacing w:before="20" w:after="20"/>
              <w:jc w:val="left"/>
            </w:pPr>
            <w:r>
              <w:rPr>
                <w:b/>
                <w:sz w:val="17"/>
              </w:rPr>
              <w:t>S-3</w:t>
            </w:r>
          </w:p>
        </w:tc>
        <w:tc>
          <w:tcPr>
            <w:tcW w:type="dxa" w:w="2880"/>
          </w:tcPr>
          <w:p>
            <w:pPr>
              <w:spacing w:before="20" w:after="20"/>
              <w:jc w:val="left"/>
            </w:pPr>
            <w:r>
              <w:rPr>
                <w:b/>
                <w:sz w:val="17"/>
              </w:rPr>
              <w:t>M-4</w:t>
            </w:r>
          </w:p>
        </w:tc>
        <w:tc>
          <w:tcPr>
            <w:tcW w:type="dxa" w:w="2880"/>
          </w:tcPr>
          <w:p>
            <w:pPr>
              <w:spacing w:before="20" w:after="20"/>
              <w:jc w:val="left"/>
            </w:pPr>
            <w:r>
              <w:rPr>
                <w:sz w:val="17"/>
              </w:rPr>
              <w:t>Two pools, two answers for the same scenario. This review adds the cause and the corrected grid.</w:t>
            </w:r>
          </w:p>
        </w:tc>
      </w:tr>
      <w:tr>
        <w:tc>
          <w:tcPr>
            <w:tcW w:type="dxa" w:w="2880"/>
          </w:tcPr>
          <w:p>
            <w:pPr>
              <w:spacing w:before="20" w:after="20"/>
              <w:jc w:val="left"/>
            </w:pPr>
            <w:r>
              <w:rPr>
                <w:b/>
                <w:sz w:val="17"/>
              </w:rPr>
              <w:t>S-4</w:t>
            </w:r>
          </w:p>
        </w:tc>
        <w:tc>
          <w:tcPr>
            <w:tcW w:type="dxa" w:w="2880"/>
          </w:tcPr>
          <w:p>
            <w:pPr>
              <w:spacing w:before="20" w:after="20"/>
              <w:jc w:val="left"/>
            </w:pPr>
            <w:r>
              <w:rPr>
                <w:b/>
                <w:sz w:val="17"/>
              </w:rPr>
              <w:t>S-1</w:t>
            </w:r>
          </w:p>
        </w:tc>
        <w:tc>
          <w:tcPr>
            <w:tcW w:type="dxa" w:w="2880"/>
          </w:tcPr>
          <w:p>
            <w:pPr>
              <w:spacing w:before="20" w:after="20"/>
              <w:jc w:val="left"/>
            </w:pPr>
            <w:r>
              <w:rPr>
                <w:sz w:val="17"/>
              </w:rPr>
              <w:t xml:space="preserve">The anti-duplication sentence: the omitted defined-contribution limb and BRS-era veterans. </w:t>
            </w:r>
            <w:r>
              <w:rPr>
                <w:b/>
                <w:sz w:val="17"/>
              </w:rPr>
              <w:t>MOO-289 is better on the drafting half</w:t>
            </w:r>
            <w:r>
              <w:rPr>
                <w:sz w:val="17"/>
              </w:rPr>
              <w:t xml:space="preserve">; this review adds the half it does not reach — the effect on the </w:t>
            </w:r>
            <w:r>
              <w:rPr>
                <w:b/>
                <w:sz w:val="17"/>
              </w:rPr>
              <w:t>population estimate</w:t>
            </w:r>
            <w:r>
              <w:rPr>
                <w:sz w:val="17"/>
              </w:rPr>
              <w:t>, because the first limb bars regular military retirees and every veteran-share source counts them.</w:t>
            </w:r>
          </w:p>
        </w:tc>
      </w:tr>
      <w:tr>
        <w:tc>
          <w:tcPr>
            <w:tcW w:type="dxa" w:w="2880"/>
          </w:tcPr>
          <w:p>
            <w:pPr>
              <w:spacing w:before="20" w:after="20"/>
              <w:jc w:val="left"/>
            </w:pPr>
            <w:r>
              <w:rPr>
                <w:b/>
                <w:sz w:val="17"/>
              </w:rPr>
              <w:t>S-5</w:t>
            </w:r>
          </w:p>
        </w:tc>
        <w:tc>
          <w:tcPr>
            <w:tcW w:type="dxa" w:w="2880"/>
          </w:tcPr>
          <w:p>
            <w:pPr>
              <w:spacing w:before="20" w:after="20"/>
              <w:jc w:val="left"/>
            </w:pPr>
            <w:r>
              <w:rPr>
                <w:b/>
                <w:sz w:val="17"/>
              </w:rPr>
              <w:t>M-5</w:t>
            </w:r>
          </w:p>
        </w:tc>
        <w:tc>
          <w:tcPr>
            <w:tcW w:type="dxa" w:w="2880"/>
          </w:tcPr>
          <w:p>
            <w:pPr>
              <w:spacing w:before="20" w:after="20"/>
              <w:jc w:val="left"/>
            </w:pPr>
            <w:r>
              <w:rPr>
                <w:sz w:val="17"/>
              </w:rPr>
              <w:t>The free-standing grant sentence. Same fix; see correction 1 above.</w:t>
            </w:r>
          </w:p>
        </w:tc>
      </w:tr>
      <w:tr>
        <w:tc>
          <w:tcPr>
            <w:tcW w:type="dxa" w:w="2880"/>
          </w:tcPr>
          <w:p>
            <w:pPr>
              <w:spacing w:before="20" w:after="20"/>
              <w:jc w:val="left"/>
            </w:pPr>
            <w:r>
              <w:rPr>
                <w:b/>
                <w:sz w:val="17"/>
              </w:rPr>
              <w:t>S-6</w:t>
            </w:r>
          </w:p>
        </w:tc>
        <w:tc>
          <w:tcPr>
            <w:tcW w:type="dxa" w:w="2880"/>
          </w:tcPr>
          <w:p>
            <w:pPr>
              <w:spacing w:before="20" w:after="20"/>
              <w:jc w:val="left"/>
            </w:pPr>
            <w:r>
              <w:rPr>
                <w:b/>
                <w:sz w:val="17"/>
              </w:rPr>
              <w:t>S-2</w:t>
            </w:r>
          </w:p>
        </w:tc>
        <w:tc>
          <w:tcPr>
            <w:tcW w:type="dxa" w:w="2880"/>
          </w:tcPr>
          <w:p>
            <w:pPr>
              <w:spacing w:before="20" w:after="20"/>
              <w:jc w:val="left"/>
            </w:pPr>
            <w:r>
              <w:rPr>
                <w:sz w:val="17"/>
              </w:rPr>
              <w:t>The 60-month term and the 12-month completion rule cancel, and neither has a remedy.</w:t>
            </w:r>
          </w:p>
        </w:tc>
      </w:tr>
      <w:tr>
        <w:tc>
          <w:tcPr>
            <w:tcW w:type="dxa" w:w="2880"/>
          </w:tcPr>
          <w:p>
            <w:pPr>
              <w:spacing w:before="20" w:after="20"/>
              <w:jc w:val="left"/>
            </w:pPr>
            <w:r>
              <w:rPr>
                <w:b/>
                <w:sz w:val="17"/>
              </w:rPr>
              <w:t>M-7</w:t>
            </w:r>
          </w:p>
        </w:tc>
        <w:tc>
          <w:tcPr>
            <w:tcW w:type="dxa" w:w="2880"/>
          </w:tcPr>
          <w:p>
            <w:pPr>
              <w:spacing w:before="20" w:after="20"/>
              <w:jc w:val="left"/>
            </w:pPr>
            <w:r>
              <w:rPr>
                <w:b/>
                <w:sz w:val="17"/>
              </w:rPr>
              <w:t>S-3</w:t>
            </w:r>
          </w:p>
        </w:tc>
        <w:tc>
          <w:tcPr>
            <w:tcW w:type="dxa" w:w="2880"/>
          </w:tcPr>
          <w:p>
            <w:pPr>
              <w:spacing w:before="20" w:after="20"/>
              <w:jc w:val="left"/>
            </w:pPr>
            <w:r>
              <w:rPr>
                <w:sz w:val="17"/>
              </w:rPr>
              <w:t>PLOP. MOO-289 adds that Annex A mis-describes § 51.1-165.01 B; this review adds the LC-2 closure and the clause 2 (v) narrowing language.</w:t>
            </w:r>
          </w:p>
        </w:tc>
      </w:tr>
      <w:tr>
        <w:tc>
          <w:tcPr>
            <w:tcW w:type="dxa" w:w="2880"/>
          </w:tcPr>
          <w:p>
            <w:pPr>
              <w:spacing w:before="20" w:after="20"/>
              <w:jc w:val="left"/>
            </w:pPr>
            <w:r>
              <w:rPr>
                <w:b/>
                <w:sz w:val="17"/>
              </w:rPr>
              <w:t>M-8</w:t>
            </w:r>
          </w:p>
        </w:tc>
        <w:tc>
          <w:tcPr>
            <w:tcW w:type="dxa" w:w="2880"/>
          </w:tcPr>
          <w:p>
            <w:pPr>
              <w:spacing w:before="20" w:after="20"/>
              <w:jc w:val="left"/>
            </w:pPr>
            <w:r>
              <w:rPr>
                <w:b/>
                <w:sz w:val="17"/>
              </w:rPr>
              <w:t>S-1</w:t>
            </w:r>
          </w:p>
        </w:tc>
        <w:tc>
          <w:tcPr>
            <w:tcW w:type="dxa" w:w="2880"/>
          </w:tcPr>
          <w:p>
            <w:pPr>
              <w:spacing w:before="20" w:after="20"/>
              <w:jc w:val="left"/>
            </w:pPr>
            <w:r>
              <w:rPr>
                <w:sz w:val="17"/>
              </w:rPr>
              <w:t>Enactment clause 2 (vi) preserves half a sentence.</w:t>
            </w:r>
          </w:p>
        </w:tc>
      </w:tr>
      <w:tr>
        <w:tc>
          <w:tcPr>
            <w:tcW w:type="dxa" w:w="2880"/>
          </w:tcPr>
          <w:p>
            <w:pPr>
              <w:spacing w:before="20" w:after="20"/>
              <w:jc w:val="left"/>
            </w:pPr>
            <w:r>
              <w:rPr>
                <w:b/>
                <w:sz w:val="17"/>
              </w:rPr>
              <w:t>M-9</w:t>
            </w:r>
          </w:p>
        </w:tc>
        <w:tc>
          <w:tcPr>
            <w:tcW w:type="dxa" w:w="2880"/>
          </w:tcPr>
          <w:p>
            <w:pPr>
              <w:spacing w:before="20" w:after="20"/>
              <w:jc w:val="left"/>
            </w:pPr>
            <w:r>
              <w:rPr>
                <w:b/>
                <w:sz w:val="17"/>
              </w:rPr>
              <w:t>M-3</w:t>
            </w:r>
          </w:p>
        </w:tc>
        <w:tc>
          <w:tcPr>
            <w:tcW w:type="dxa" w:w="2880"/>
          </w:tcPr>
          <w:p>
            <w:pPr>
              <w:spacing w:before="20" w:after="20"/>
              <w:jc w:val="left"/>
            </w:pPr>
            <w:r>
              <w:rPr>
                <w:sz w:val="17"/>
              </w:rPr>
              <w:t>Factor (ii) is a defective classifier. MOO-289's framing — non-monotonic in the exposure it prices — is stronger than mine.</w:t>
            </w:r>
          </w:p>
        </w:tc>
      </w:tr>
      <w:tr>
        <w:tc>
          <w:tcPr>
            <w:tcW w:type="dxa" w:w="2880"/>
          </w:tcPr>
          <w:p>
            <w:pPr>
              <w:spacing w:before="20" w:after="20"/>
              <w:jc w:val="left"/>
            </w:pPr>
            <w:r>
              <w:rPr>
                <w:b/>
                <w:sz w:val="17"/>
              </w:rPr>
              <w:t>m-7</w:t>
            </w:r>
          </w:p>
        </w:tc>
        <w:tc>
          <w:tcPr>
            <w:tcW w:type="dxa" w:w="2880"/>
          </w:tcPr>
          <w:p>
            <w:pPr>
              <w:spacing w:before="20" w:after="20"/>
              <w:jc w:val="left"/>
            </w:pPr>
            <w:r>
              <w:rPr>
                <w:b/>
                <w:sz w:val="17"/>
              </w:rPr>
              <w:t>M-1</w:t>
            </w:r>
          </w:p>
        </w:tc>
        <w:tc>
          <w:tcPr>
            <w:tcW w:type="dxa" w:w="2880"/>
          </w:tcPr>
          <w:p>
            <w:pPr>
              <w:spacing w:before="20" w:after="20"/>
              <w:jc w:val="left"/>
            </w:pPr>
            <w:r>
              <w:rPr>
                <w:sz w:val="17"/>
              </w:rPr>
              <w:t>§ 30-19.03 local fiscal impact statement.</w:t>
            </w:r>
          </w:p>
        </w:tc>
      </w:tr>
      <w:tr>
        <w:tc>
          <w:tcPr>
            <w:tcW w:type="dxa" w:w="2880"/>
          </w:tcPr>
          <w:p>
            <w:pPr>
              <w:spacing w:before="20" w:after="20"/>
              <w:jc w:val="left"/>
            </w:pPr>
            <w:r>
              <w:rPr>
                <w:b/>
                <w:sz w:val="17"/>
              </w:rPr>
              <w:t>m-1 / m-2</w:t>
            </w:r>
          </w:p>
        </w:tc>
        <w:tc>
          <w:tcPr>
            <w:tcW w:type="dxa" w:w="2880"/>
          </w:tcPr>
          <w:p>
            <w:pPr>
              <w:spacing w:before="20" w:after="20"/>
              <w:jc w:val="left"/>
            </w:pPr>
            <w:r>
              <w:rPr>
                <w:b/>
                <w:sz w:val="17"/>
              </w:rPr>
              <w:t>M-6 / M-7</w:t>
            </w:r>
          </w:p>
        </w:tc>
        <w:tc>
          <w:tcPr>
            <w:tcW w:type="dxa" w:w="2880"/>
          </w:tcPr>
          <w:p>
            <w:pPr>
              <w:spacing w:before="20" w:after="20"/>
              <w:jc w:val="left"/>
            </w:pPr>
            <w:r>
              <w:rPr>
                <w:sz w:val="17"/>
              </w:rPr>
              <w:t xml:space="preserve">One-pager scope and affordability mislabels. MOO-289 M-6 adds a point I missed and accept: § 51.1-124.3 defines "prior service" as service rendered </w:t>
            </w:r>
            <w:r>
              <w:rPr>
                <w:i/>
                <w:sz w:val="17"/>
              </w:rPr>
              <w:t>before</w:t>
            </w:r>
            <w:r>
              <w:rPr>
                <w:sz w:val="17"/>
              </w:rPr>
              <w:t xml:space="preserve"> membership, so B 2 may not reach service performed during membership at all — which makes "every veteran in VRS" an overclaim independent of price.</w:t>
            </w:r>
          </w:p>
        </w:tc>
      </w:tr>
      <w:tr>
        <w:tc>
          <w:tcPr>
            <w:tcW w:type="dxa" w:w="2880"/>
          </w:tcPr>
          <w:p>
            <w:pPr>
              <w:spacing w:before="20" w:after="20"/>
              <w:jc w:val="left"/>
            </w:pPr>
            <w:r>
              <w:rPr>
                <w:b/>
                <w:sz w:val="17"/>
              </w:rPr>
              <w:t>m-1</w:t>
            </w:r>
          </w:p>
        </w:tc>
        <w:tc>
          <w:tcPr>
            <w:tcW w:type="dxa" w:w="2880"/>
          </w:tcPr>
          <w:p>
            <w:pPr>
              <w:spacing w:before="20" w:after="20"/>
              <w:jc w:val="left"/>
            </w:pPr>
            <w:r>
              <w:rPr>
                <w:b/>
                <w:sz w:val="17"/>
              </w:rPr>
              <w:t>Mi-1</w:t>
            </w:r>
          </w:p>
        </w:tc>
        <w:tc>
          <w:tcPr>
            <w:tcW w:type="dxa" w:w="2880"/>
          </w:tcPr>
          <w:p>
            <w:pPr>
              <w:spacing w:before="20" w:after="20"/>
              <w:jc w:val="left"/>
            </w:pPr>
            <w:r>
              <w:rPr>
                <w:sz w:val="17"/>
              </w:rPr>
              <w:t>Enactment clause 4 is surplusage.</w:t>
            </w:r>
          </w:p>
        </w:tc>
      </w:tr>
    </w:tbl>
    <w:p>
      <w:pPr>
        <w:spacing w:before="0" w:after="0" w:line="80" w:lineRule="exact"/>
      </w:pPr>
      <w:r>
        <w:rPr>
          <w:sz w:val="8"/>
        </w:rPr>
      </w:r>
    </w:p>
    <w:p>
      <w:r>
        <w:rPr>
          <w:b/>
        </w:rPr>
        <w:t>Unique to MOO-289 — not duplicated here, and all accepted:</w:t>
      </w:r>
      <w:r>
        <w:t xml:space="preserve"> F-1 (the class-rate ceiling, above); S-5 (the take-up floor is drawn from the superseded band and is biased in the direction the bill is designed to cause); S-6 (the new operative sentence reproduces the § 2.6 pricing mismatch); S-7 (HIC analysed under the state-employee section only, for an all-members bill); M-2 (art. X, § 11, above); M-6; Mi-2 (the bill title does not name the payment-agreement change).</w:t>
      </w:r>
    </w:p>
    <w:p>
      <w:r>
        <w:rPr>
          <w:b/>
        </w:rPr>
        <w:t>Unique to this review:</w:t>
      </w:r>
      <w:r>
        <w:t xml:space="preserve"> S-4's population half, S-7 (veterans who already paid actuarial cost), M-1 (the § 51.1-153 B 1 miscitation), M-2 (the comparative claim), M-3 (the notice finding), M-4 (the Cliff Graph and the superseded v1.0 PDF), M-5 (present value → basis points), M-6 (the BLS "corroboration" inference), M-10 (the unpublishable AEC ceiling), m-4, m-5, m-6, m-8, the § 3 citation verification, the § 4 re-tests, the § 5 closure of LC-1 to LC-4, and the § 7 constitutional and preemption screen.</w:t>
      </w:r>
    </w:p>
    <w:p>
      <w:pPr>
        <w:jc w:val="center"/>
      </w:pPr>
      <w:r>
        <w:rPr>
          <w:color w:val="909090"/>
          <w:sz w:val="18"/>
        </w:rPr>
        <w:t>* * *</w:t>
      </w:r>
    </w:p>
    <w:p>
      <w:pPr>
        <w:pStyle w:val="Heading2"/>
      </w:pPr>
      <w:r>
        <w:t>2. Findings, ranked by severity</w:t>
      </w:r>
    </w:p>
    <w:p>
      <w:r>
        <w:t xml:space="preserve">Severity is about consequence if unfixed, not about how much work the fix is. </w:t>
      </w:r>
      <w:r>
        <w:rPr>
          <w:b/>
        </w:rPr>
        <w:t>Fatal</w:t>
      </w:r>
      <w:r>
        <w:t xml:space="preserve"> = this defeats the document or the provision it sits in. </w:t>
      </w:r>
      <w:r>
        <w:rPr>
          <w:b/>
        </w:rPr>
        <w:t>Serious</w:t>
      </w:r>
      <w:r>
        <w:t xml:space="preserve"> = a hostile reader wins an exchange on it. </w:t>
      </w:r>
      <w:r>
        <w:rPr>
          <w:b/>
        </w:rPr>
        <w:t>Moderate</w:t>
      </w:r>
      <w:r>
        <w:t xml:space="preserve"> = it costs credibility and is cheap to fix. </w:t>
      </w:r>
      <w:r>
        <w:rPr>
          <w:b/>
        </w:rPr>
        <w:t>Minor</w:t>
      </w:r>
      <w:r>
        <w:t xml:space="preserve"> = tidy it before filing.</w:t>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rPr>
          <w:tblHeader w:val="true"/>
        </w:trPr>
        <w:tc>
          <w:tcPr>
            <w:tcW w:type="dxa" w:w="1234"/>
          </w:tcPr>
          <w:p>
            <w:pPr>
              <w:spacing w:before="20" w:after="20"/>
              <w:jc w:val="left"/>
            </w:pPr>
            <w:r>
              <w:rPr>
                <w:b/>
                <w:sz w:val="17"/>
              </w:rPr>
              <w:t>#</w:t>
            </w:r>
          </w:p>
        </w:tc>
        <w:tc>
          <w:tcPr>
            <w:tcW w:type="dxa" w:w="1234"/>
          </w:tcPr>
          <w:p>
            <w:pPr>
              <w:spacing w:before="20" w:after="20"/>
              <w:jc w:val="left"/>
            </w:pPr>
            <w:r>
              <w:rPr>
                <w:b/>
                <w:sz w:val="17"/>
              </w:rPr>
              <w:t>Sev</w:t>
            </w:r>
          </w:p>
        </w:tc>
        <w:tc>
          <w:tcPr>
            <w:tcW w:type="dxa" w:w="1234"/>
          </w:tcPr>
          <w:p>
            <w:pPr>
              <w:spacing w:before="20" w:after="20"/>
              <w:jc w:val="left"/>
            </w:pPr>
            <w:r>
              <w:rPr>
                <w:b/>
                <w:sz w:val="17"/>
              </w:rPr>
              <w:t>Category</w:t>
            </w:r>
          </w:p>
        </w:tc>
        <w:tc>
          <w:tcPr>
            <w:tcW w:type="dxa" w:w="1234"/>
          </w:tcPr>
          <w:p>
            <w:pPr>
              <w:spacing w:before="20" w:after="20"/>
              <w:jc w:val="left"/>
            </w:pPr>
            <w:r>
              <w:rPr>
                <w:b/>
                <w:sz w:val="17"/>
              </w:rPr>
              <w:t>What is wrong</w:t>
            </w:r>
          </w:p>
        </w:tc>
        <w:tc>
          <w:tcPr>
            <w:tcW w:type="dxa" w:w="1234"/>
          </w:tcPr>
          <w:p>
            <w:pPr>
              <w:spacing w:before="20" w:after="20"/>
              <w:jc w:val="left"/>
            </w:pPr>
            <w:r>
              <w:rPr>
                <w:b/>
                <w:sz w:val="17"/>
              </w:rPr>
              <w:t>Concrete failure scenario</w:t>
            </w:r>
          </w:p>
        </w:tc>
        <w:tc>
          <w:tcPr>
            <w:tcW w:type="dxa" w:w="1234"/>
          </w:tcPr>
          <w:p>
            <w:pPr>
              <w:spacing w:before="20" w:after="20"/>
              <w:jc w:val="left"/>
            </w:pPr>
            <w:r>
              <w:rPr>
                <w:b/>
                <w:sz w:val="17"/>
              </w:rPr>
              <w:t>Authority / evidence</w:t>
            </w:r>
          </w:p>
        </w:tc>
        <w:tc>
          <w:tcPr>
            <w:tcW w:type="dxa" w:w="1234"/>
          </w:tcPr>
          <w:p>
            <w:pPr>
              <w:spacing w:before="20" w:after="20"/>
              <w:jc w:val="left"/>
            </w:pPr>
            <w:r>
              <w:rPr>
                <w:b/>
                <w:sz w:val="17"/>
              </w:rPr>
              <w:t>Direction of fix</w:t>
            </w:r>
          </w:p>
        </w:tc>
      </w:tr>
      <w:tr>
        <w:tc>
          <w:tcPr>
            <w:tcW w:type="dxa" w:w="1234"/>
          </w:tcPr>
          <w:p>
            <w:pPr>
              <w:spacing w:before="20" w:after="20"/>
              <w:jc w:val="left"/>
            </w:pPr>
            <w:r>
              <w:rPr>
                <w:b/>
                <w:sz w:val="17"/>
              </w:rPr>
              <w:t>F-1</w:t>
            </w:r>
          </w:p>
        </w:tc>
        <w:tc>
          <w:tcPr>
            <w:tcW w:type="dxa" w:w="1234"/>
          </w:tcPr>
          <w:p>
            <w:pPr>
              <w:spacing w:before="20" w:after="20"/>
              <w:jc w:val="left"/>
            </w:pPr>
            <w:r>
              <w:rPr>
                <w:b/>
                <w:sz w:val="17"/>
              </w:rPr>
              <w:t>Fatal</w:t>
            </w:r>
            <w:r>
              <w:rPr>
                <w:sz w:val="17"/>
              </w:rPr>
              <w:t xml:space="preserve"> </w:t>
            </w:r>
            <w:r>
              <w:rPr>
                <w:i/>
                <w:sz w:val="17"/>
              </w:rPr>
              <w:t>(to the leave-behind as printed)</w:t>
            </w:r>
          </w:p>
        </w:tc>
        <w:tc>
          <w:tcPr>
            <w:tcW w:type="dxa" w:w="1234"/>
          </w:tcPr>
          <w:p>
            <w:pPr>
              <w:spacing w:before="20" w:after="20"/>
              <w:jc w:val="left"/>
            </w:pPr>
            <w:r>
              <w:rPr>
                <w:sz w:val="17"/>
              </w:rPr>
              <w:t>overclaim / disclosure</w:t>
            </w:r>
          </w:p>
        </w:tc>
        <w:tc>
          <w:tcPr>
            <w:tcW w:type="dxa" w:w="1234"/>
          </w:tcPr>
          <w:p>
            <w:pPr>
              <w:spacing w:before="20" w:after="20"/>
              <w:jc w:val="left"/>
            </w:pPr>
            <w:r>
              <w:rPr>
                <w:rFonts w:ascii="Consolas" w:hAnsi="Consolas"/>
                <w:color w:val="303030"/>
                <w:sz w:val="18"/>
              </w:rPr>
              <w:t>00</w:t>
            </w:r>
            <w:r>
              <w:rPr>
                <w:sz w:val="17"/>
              </w:rPr>
              <w:t xml:space="preserve"> states "</w:t>
            </w:r>
            <w:r>
              <w:rPr>
                <w:b/>
                <w:sz w:val="17"/>
              </w:rPr>
              <w:t>General fund cost: $0.</w:t>
            </w:r>
            <w:r>
              <w:rPr>
                <w:sz w:val="17"/>
              </w:rPr>
              <w:t xml:space="preserve"> That is structural, not a rounding" and says local exposure "never touches the general fund," while never disclosing that school divisions and localities bear cost at all. The full brief's own table books the state bucket as "general fund + nongeneral fund" and shows the political-subdivision line as the largest of the three.</w:t>
            </w:r>
          </w:p>
        </w:tc>
        <w:tc>
          <w:tcPr>
            <w:tcW w:type="dxa" w:w="1234"/>
          </w:tcPr>
          <w:p>
            <w:pPr>
              <w:spacing w:before="20" w:after="20"/>
              <w:jc w:val="left"/>
            </w:pPr>
            <w:r>
              <w:rPr>
                <w:sz w:val="17"/>
              </w:rPr>
              <w:t xml:space="preserve">A House Appropriations analyst reads </w:t>
            </w:r>
            <w:r>
              <w:rPr>
                <w:rFonts w:ascii="Consolas" w:hAnsi="Consolas"/>
                <w:color w:val="303030"/>
                <w:sz w:val="18"/>
              </w:rPr>
              <w:t>00</w:t>
            </w:r>
            <w:r>
              <w:rPr>
                <w:sz w:val="17"/>
              </w:rPr>
              <w:t>, pulls § 51.1-145 K, and establishes in one minute that employer contributions are an appropriation item. VRS then files its § 30-19.1:7 statement; on the closest analogue it wrote "GF budget impacts: No immediate impact" and "Budget Amendment Necessary: Yes. Item 498 … approximately $78,000." The handout is now the document that was wrong, and the $13M–$182M figure next to it inherits the doubt.</w:t>
            </w:r>
          </w:p>
        </w:tc>
        <w:tc>
          <w:tcPr>
            <w:tcW w:type="dxa" w:w="1234"/>
          </w:tcPr>
          <w:p>
            <w:pPr>
              <w:spacing w:before="20" w:after="20"/>
              <w:jc w:val="left"/>
            </w:pPr>
            <w:r>
              <w:rPr>
                <w:sz w:val="17"/>
              </w:rPr>
              <w:t xml:space="preserve">Va. Code § 51.1-145 I (Board certifies the rate), K (appropriation bill "shall include the defined benefit employer contributions that will become due and payable"), L (General Assembly sets rates); § 30-19.1:7 (Board must report impact "upon the general fund"); VRS FIS on HB 1867, 1/16/2023, items 6–8. </w:t>
            </w:r>
            <w:r>
              <w:rPr>
                <w:b/>
                <w:sz w:val="17"/>
              </w:rPr>
              <w:t>The package now documents this against itself:</w:t>
            </w:r>
            <w:r>
              <w:rPr>
                <w:sz w:val="17"/>
              </w:rPr>
              <w:t xml:space="preserve"> Annex B </w:t>
            </w:r>
            <w:r>
              <w:rPr>
                <w:b/>
                <w:sz w:val="17"/>
              </w:rPr>
              <w:t>F-61</w:t>
            </w:r>
            <w:r>
              <w:rPr>
                <w:sz w:val="17"/>
              </w:rPr>
              <w:t xml:space="preserve">, added October 25, records HB 1867 as "precedent for the </w:t>
            </w:r>
            <w:r>
              <w:rPr>
                <w:i/>
                <w:sz w:val="17"/>
              </w:rPr>
              <w:t>narrow</w:t>
            </w:r>
            <w:r>
              <w:rPr>
                <w:sz w:val="17"/>
              </w:rPr>
              <w:t xml:space="preserve"> general-fund claim — </w:t>
            </w:r>
            <w:r>
              <w:rPr>
                <w:b/>
                <w:sz w:val="17"/>
              </w:rPr>
              <w:t>and refutation of the broad one</w:t>
            </w:r>
            <w:r>
              <w:rPr>
                <w:sz w:val="17"/>
              </w:rPr>
              <w:t xml:space="preserve">." MOO-289 </w:t>
            </w:r>
            <w:r>
              <w:rPr>
                <w:b/>
                <w:sz w:val="17"/>
              </w:rPr>
              <w:t>F-2</w:t>
            </w:r>
            <w:r>
              <w:rPr>
                <w:sz w:val="17"/>
              </w:rPr>
              <w:t xml:space="preserve"> reaches the same conclusion from the who-bears table. So the fiscal annex says the broad claim is refuted while the printed leave-behind still makes it.</w:t>
            </w:r>
          </w:p>
        </w:tc>
        <w:tc>
          <w:tcPr>
            <w:tcW w:type="dxa" w:w="1234"/>
          </w:tcPr>
          <w:p>
            <w:pPr>
              <w:spacing w:before="20" w:after="20"/>
              <w:jc w:val="left"/>
            </w:pPr>
            <w:r>
              <w:rPr>
                <w:sz w:val="17"/>
              </w:rPr>
              <w:t>Replace with the claim that is true and still wins: "</w:t>
            </w:r>
            <w:r>
              <w:rPr>
                <w:b/>
                <w:sz w:val="17"/>
              </w:rPr>
              <w:t>This bill requests no appropriation.</w:t>
            </w:r>
            <w:r>
              <w:rPr>
                <w:sz w:val="17"/>
              </w:rPr>
              <w:t xml:space="preserve"> The cost is absorbed in the employer contribution rates the VRS Board certifies under § 51.1-145; for state agencies and for the Commonwealth's share of teacher rates those contributions are carried in a future appropriation act, and for localities in their own § 51.1-145 rates. There is no 2027 general fund ask." Add one sentence naming school divisions and localities as cost-bearers. Re-print.</w:t>
            </w:r>
          </w:p>
        </w:tc>
      </w:tr>
      <w:tr>
        <w:tc>
          <w:tcPr>
            <w:tcW w:type="dxa" w:w="1234"/>
          </w:tcPr>
          <w:p>
            <w:pPr>
              <w:spacing w:before="20" w:after="20"/>
              <w:jc w:val="left"/>
            </w:pPr>
            <w:r>
              <w:rPr>
                <w:b/>
                <w:sz w:val="17"/>
              </w:rPr>
              <w:t>S-1</w:t>
            </w:r>
          </w:p>
        </w:tc>
        <w:tc>
          <w:tcPr>
            <w:tcW w:type="dxa" w:w="1234"/>
          </w:tcPr>
          <w:p>
            <w:pPr>
              <w:spacing w:before="20" w:after="20"/>
              <w:jc w:val="left"/>
            </w:pPr>
            <w:r>
              <w:rPr>
                <w:sz w:val="17"/>
              </w:rPr>
              <w:t>Serious</w:t>
            </w:r>
          </w:p>
        </w:tc>
        <w:tc>
          <w:tcPr>
            <w:tcW w:type="dxa" w:w="1234"/>
          </w:tcPr>
          <w:p>
            <w:pPr>
              <w:spacing w:before="20" w:after="20"/>
              <w:jc w:val="left"/>
            </w:pPr>
            <w:r>
              <w:rPr>
                <w:sz w:val="17"/>
              </w:rPr>
              <w:t>evidence / inference</w:t>
            </w:r>
          </w:p>
        </w:tc>
        <w:tc>
          <w:tcPr>
            <w:tcW w:type="dxa" w:w="1234"/>
          </w:tcPr>
          <w:p>
            <w:pPr>
              <w:spacing w:before="20" w:after="20"/>
              <w:jc w:val="left"/>
            </w:pPr>
            <w:r>
              <w:rPr>
                <w:sz w:val="17"/>
              </w:rPr>
              <w:t xml:space="preserve">The HB 1867 cross-check compares a figure </w:t>
            </w:r>
            <w:r>
              <w:rPr>
                <w:b/>
                <w:sz w:val="17"/>
              </w:rPr>
              <w:t>net of the member's price, for 2.5 years</w:t>
            </w:r>
            <w:r>
              <w:rPr>
                <w:sz w:val="17"/>
              </w:rPr>
              <w:t xml:space="preserve">, against VRS's figure for a </w:t>
            </w:r>
            <w:r>
              <w:rPr>
                <w:b/>
                <w:sz w:val="17"/>
              </w:rPr>
              <w:t>free grant of 4 years</w:t>
            </w:r>
            <w:r>
              <w:rPr>
                <w:sz w:val="17"/>
              </w:rPr>
              <w:t xml:space="preserve">, and concludes the model is conservative. </w:t>
            </w:r>
            <w:r>
              <w:rPr>
                <w:b/>
                <w:sz w:val="17"/>
              </w:rPr>
              <w:t xml:space="preserve">It survives the October 25 rewrite of </w:t>
            </w:r>
            <w:r>
              <w:rPr>
                <w:rFonts w:ascii="Consolas" w:hAnsi="Consolas"/>
                <w:b/>
                <w:color w:val="303030"/>
                <w:sz w:val="18"/>
              </w:rPr>
              <w:t>04</w:t>
            </w:r>
            <w:r>
              <w:rPr>
                <w:b/>
                <w:sz w:val="17"/>
              </w:rPr>
              <w:t xml:space="preserve"> § 4.6, which makes it worse</w:t>
            </w:r>
            <w:r>
              <w:rPr>
                <w:sz w:val="17"/>
              </w:rPr>
              <w:t>: the rewrite keeps the "inside the band" table and adds a "structural" check — blended net $24,627 ÷ VRS's $35,000 average = 0.704, said to fall inside the range 1 − 1/m for m = 2.76–3.54. The identity is correct. The inputs are not on the same basis.</w:t>
            </w:r>
          </w:p>
        </w:tc>
        <w:tc>
          <w:tcPr>
            <w:tcW w:type="dxa" w:w="1234"/>
          </w:tcPr>
          <w:p>
            <w:pPr>
              <w:spacing w:before="20" w:after="20"/>
              <w:jc w:val="left"/>
            </w:pPr>
            <w:r>
              <w:rPr>
                <w:b/>
                <w:sz w:val="17"/>
              </w:rPr>
              <w:t>The ratio fails on its own identity once the years are matched.</w:t>
            </w:r>
            <w:r>
              <w:rPr>
                <w:sz w:val="17"/>
              </w:rPr>
              <w:t xml:space="preserve"> $24,627 is 2.5 years bought; VRS's $35,000 is "up to </w:t>
            </w:r>
            <w:r>
              <w:rPr>
                <w:b/>
                <w:sz w:val="17"/>
              </w:rPr>
              <w:t>48 months</w:t>
            </w:r>
            <w:r>
              <w:rPr>
                <w:sz w:val="17"/>
              </w:rPr>
              <w:t xml:space="preserve">." Re-run the team's own model at 4 years: blended net = </w:t>
            </w:r>
            <w:r>
              <w:rPr>
                <w:b/>
                <w:sz w:val="17"/>
              </w:rPr>
              <w:t>$42,455</w:t>
            </w:r>
            <w:r>
              <w:rPr>
                <w:sz w:val="17"/>
              </w:rPr>
              <w:t xml:space="preserve">, so the ratio is </w:t>
            </w:r>
            <w:r>
              <w:rPr>
                <w:b/>
                <w:sz w:val="17"/>
              </w:rPr>
              <w:t>1.213</w:t>
            </w:r>
            <w:r>
              <w:rPr>
                <w:sz w:val="17"/>
              </w:rPr>
              <w:t xml:space="preserve"> — and 1 − 1/m is less than 1 for every m &gt; 1, so no value of m can produce it. Equivalently, for 0.704 to hold at 4 years VRS's </w:t>
            </w:r>
            <w:r>
              <w:rPr>
                <w:i/>
                <w:sz w:val="17"/>
              </w:rPr>
              <w:t>average</w:t>
            </w:r>
            <w:r>
              <w:rPr>
                <w:sz w:val="17"/>
              </w:rPr>
              <w:t xml:space="preserve"> would have to be </w:t>
            </w:r>
            <w:r>
              <w:rPr>
                <w:b/>
                <w:sz w:val="17"/>
              </w:rPr>
              <w:t>$60,305</w:t>
            </w:r>
            <w:r>
              <w:rPr>
                <w:sz w:val="17"/>
              </w:rPr>
              <w:t xml:space="preserve">, the top of its band. Per plan at 4 years the free-grant equivalent is Plan 1 </w:t>
            </w:r>
            <w:r>
              <w:rPr>
                <w:b/>
                <w:sz w:val="17"/>
              </w:rPr>
              <w:t>$123,520</w:t>
            </w:r>
            <w:r>
              <w:rPr>
                <w:sz w:val="17"/>
              </w:rPr>
              <w:t xml:space="preserve"> (</w:t>
            </w:r>
            <w:r>
              <w:rPr>
                <w:b/>
                <w:sz w:val="17"/>
              </w:rPr>
              <w:t>2.06× VRS's ceiling</w:t>
            </w:r>
            <w:r>
              <w:rPr>
                <w:sz w:val="17"/>
              </w:rPr>
              <w:t>), Plan 2 $58,971, Hybrid $30,281, against $10,000–$60,000. The package has now asserted conservatism twice, and the actuary refutes it with the identity the package itself supplied.</w:t>
            </w:r>
          </w:p>
        </w:tc>
        <w:tc>
          <w:tcPr>
            <w:tcW w:type="dxa" w:w="1234"/>
          </w:tcPr>
          <w:p>
            <w:pPr>
              <w:spacing w:before="20" w:after="20"/>
              <w:jc w:val="left"/>
            </w:pPr>
            <w:r>
              <w:rPr>
                <w:sz w:val="17"/>
              </w:rPr>
              <w:t xml:space="preserve">VRS FIS on HB 1867, verbatim: "each person who purchases up to 48 months of active military service would create an unfunded liability that ranges from </w:t>
            </w:r>
            <w:r>
              <w:rPr>
                <w:b/>
                <w:sz w:val="17"/>
              </w:rPr>
              <w:t>$10,000 - $60,000</w:t>
            </w:r>
            <w:r>
              <w:rPr>
                <w:sz w:val="17"/>
              </w:rPr>
              <w:t xml:space="preserve">"; "if 1,500 members (1% of the Teacher population) had this type of service, and the average cost was </w:t>
            </w:r>
            <w:r>
              <w:rPr>
                <w:b/>
                <w:sz w:val="17"/>
              </w:rPr>
              <w:t>$35,000</w:t>
            </w:r>
            <w:r>
              <w:rPr>
                <w:sz w:val="17"/>
              </w:rPr>
              <w:t xml:space="preserve">, the total cost to the fund could be $50 million." </w:t>
            </w:r>
            <w:r>
              <w:rPr>
                <w:rFonts w:ascii="Consolas" w:hAnsi="Consolas"/>
                <w:color w:val="303030"/>
                <w:sz w:val="18"/>
              </w:rPr>
              <w:t>04</w:t>
            </w:r>
            <w:r>
              <w:rPr>
                <w:sz w:val="17"/>
              </w:rPr>
              <w:t xml:space="preserve"> § 4.6 as rewritten at </w:t>
            </w:r>
            <w:r>
              <w:rPr>
                <w:rFonts w:ascii="Consolas" w:hAnsi="Consolas"/>
                <w:color w:val="303030"/>
                <w:sz w:val="18"/>
              </w:rPr>
              <w:t>f62ca52</w:t>
            </w:r>
            <w:r>
              <w:rPr>
                <w:sz w:val="17"/>
              </w:rPr>
              <w:t xml:space="preserve">. Reproduced at </w:t>
            </w:r>
            <w:r>
              <w:rPr>
                <w:rFonts w:ascii="Consolas" w:hAnsi="Consolas"/>
                <w:color w:val="303030"/>
                <w:sz w:val="18"/>
              </w:rPr>
              <w:t>redteam_checks.py</w:t>
            </w:r>
            <w:r>
              <w:rPr>
                <w:sz w:val="17"/>
              </w:rPr>
              <w:t xml:space="preserve"> RT-2 and in § 4.2(c).</w:t>
            </w:r>
          </w:p>
        </w:tc>
        <w:tc>
          <w:tcPr>
            <w:tcW w:type="dxa" w:w="1234"/>
          </w:tcPr>
          <w:p>
            <w:pPr>
              <w:spacing w:before="20" w:after="20"/>
              <w:jc w:val="left"/>
            </w:pPr>
            <w:r>
              <w:rPr>
                <w:sz w:val="17"/>
              </w:rPr>
              <w:t xml:space="preserve">Drop every conservatism claim and state a </w:t>
            </w:r>
            <w:r>
              <w:rPr>
                <w:b/>
                <w:sz w:val="17"/>
              </w:rPr>
              <w:t>bracket</w:t>
            </w:r>
            <w:r>
              <w:rPr>
                <w:sz w:val="17"/>
              </w:rPr>
              <w:t xml:space="preserve">, which is both honest and better advocacy: "our model and VRS's own HB 1867 figures bracket the answer, and ours is the higher. On VRS's average, a paid four-year A-3 purchase nets the Fund roughly </w:t>
            </w:r>
            <w:r>
              <w:rPr>
                <w:b/>
                <w:sz w:val="17"/>
              </w:rPr>
              <w:t>$68 (Plan 1), $4,986 (Plan 2), $16,332 (Hybrid)</w:t>
            </w:r>
            <w:r>
              <w:rPr>
                <w:sz w:val="17"/>
              </w:rPr>
              <w:t xml:space="preserve"> after the member pays. We have carried the conservative end." If the structural ratio is retained, restate it at a single years basis and report 1.213, with the plan-mix caveat </w:t>
            </w:r>
            <w:r>
              <w:rPr>
                <w:rFonts w:ascii="Consolas" w:hAnsi="Consolas"/>
                <w:color w:val="303030"/>
                <w:sz w:val="18"/>
              </w:rPr>
              <w:t>04</w:t>
            </w:r>
            <w:r>
              <w:rPr>
                <w:sz w:val="17"/>
              </w:rPr>
              <w:t xml:space="preserve"> § 4.6 already carries.</w:t>
            </w:r>
          </w:p>
        </w:tc>
      </w:tr>
      <w:tr>
        <w:tc>
          <w:tcPr>
            <w:tcW w:type="dxa" w:w="1234"/>
          </w:tcPr>
          <w:p>
            <w:pPr>
              <w:spacing w:before="20" w:after="20"/>
              <w:jc w:val="left"/>
            </w:pPr>
            <w:r>
              <w:rPr>
                <w:b/>
                <w:sz w:val="17"/>
              </w:rPr>
              <w:t>S-2</w:t>
            </w:r>
          </w:p>
        </w:tc>
        <w:tc>
          <w:tcPr>
            <w:tcW w:type="dxa" w:w="1234"/>
          </w:tcPr>
          <w:p>
            <w:pPr>
              <w:spacing w:before="20" w:after="20"/>
              <w:jc w:val="left"/>
            </w:pPr>
            <w:r>
              <w:rPr>
                <w:sz w:val="17"/>
              </w:rPr>
              <w:t>Serious</w:t>
            </w:r>
          </w:p>
        </w:tc>
        <w:tc>
          <w:tcPr>
            <w:tcW w:type="dxa" w:w="1234"/>
          </w:tcPr>
          <w:p>
            <w:pPr>
              <w:spacing w:before="20" w:after="20"/>
              <w:jc w:val="left"/>
            </w:pPr>
            <w:r>
              <w:rPr>
                <w:sz w:val="17"/>
              </w:rPr>
              <w:t>internal contradiction</w:t>
            </w:r>
          </w:p>
        </w:tc>
        <w:tc>
          <w:tcPr>
            <w:tcW w:type="dxa" w:w="1234"/>
          </w:tcPr>
          <w:p>
            <w:pPr>
              <w:spacing w:before="20" w:after="20"/>
              <w:jc w:val="left"/>
            </w:pPr>
            <w:r>
              <w:rPr>
                <w:sz w:val="17"/>
              </w:rPr>
              <w:t xml:space="preserve">"Below that age the veteran subsidises the Fund. </w:t>
            </w:r>
            <w:r>
              <w:rPr>
                <w:b/>
                <w:sz w:val="17"/>
              </w:rPr>
              <w:t>That is the strongest fiscal argument this proposal has</w:t>
            </w:r>
            <w:r>
              <w:rPr>
                <w:sz w:val="17"/>
              </w:rPr>
              <w:t>" (</w:t>
            </w:r>
            <w:r>
              <w:rPr>
                <w:rFonts w:ascii="Consolas" w:hAnsi="Consolas"/>
                <w:color w:val="303030"/>
                <w:sz w:val="18"/>
              </w:rPr>
              <w:t>01</w:t>
            </w:r>
            <w:r>
              <w:rPr>
                <w:sz w:val="17"/>
              </w:rPr>
              <w:t xml:space="preserve"> §Cost) and the one-pager's "below about age 47–48 a veteran … pays </w:t>
            </w:r>
            <w:r>
              <w:rPr>
                <w:i/>
                <w:sz w:val="17"/>
              </w:rPr>
              <w:t>more</w:t>
            </w:r>
            <w:r>
              <w:rPr>
                <w:sz w:val="17"/>
              </w:rPr>
              <w:t xml:space="preserve"> than the credit is actuarially worth" are computed on the </w:t>
            </w:r>
            <w:r>
              <w:rPr>
                <w:b/>
                <w:sz w:val="17"/>
              </w:rPr>
              <w:t>benefit-amount channel only</w:t>
            </w:r>
            <w:r>
              <w:rPr>
                <w:sz w:val="17"/>
              </w:rPr>
              <w:t xml:space="preserve">. The cost table is computed on the full basis (amount </w:t>
            </w:r>
            <w:r>
              <w:rPr>
                <w:b/>
                <w:sz w:val="17"/>
              </w:rPr>
              <w:t>+</w:t>
            </w:r>
            <w:r>
              <w:rPr>
                <w:sz w:val="17"/>
              </w:rPr>
              <w:t xml:space="preserve"> acceleration). The two cannot both be quoted.</w:t>
            </w:r>
          </w:p>
        </w:tc>
        <w:tc>
          <w:tcPr>
            <w:tcW w:type="dxa" w:w="1234"/>
          </w:tcPr>
          <w:p>
            <w:pPr>
              <w:spacing w:before="20" w:after="20"/>
              <w:jc w:val="left"/>
            </w:pPr>
            <w:r>
              <w:rPr>
                <w:sz w:val="17"/>
              </w:rPr>
              <w:t xml:space="preserve">Run the package's own model on its own full basis: A-3 net cost to the Fund is </w:t>
            </w:r>
            <w:r>
              <w:rPr>
                <w:b/>
                <w:sz w:val="17"/>
              </w:rPr>
              <w:t>positive at every age from 28 to 61 in all three plans</w:t>
            </w:r>
            <w:r>
              <w:rPr>
                <w:sz w:val="17"/>
              </w:rPr>
              <w:t xml:space="preserve"> — Hybrid at age 38 is +$3,959, Plan 1 at age 28 is +$9,711. There is no age at which the veteran subsidises the Fund on the basis the brief uses to price the bill. A legislator who notices that the Hybrid per-member cost is +$6,779 while "nearly every Hybrid member is under 47" has found it without help.</w:t>
            </w:r>
          </w:p>
        </w:tc>
        <w:tc>
          <w:tcPr>
            <w:tcW w:type="dxa" w:w="1234"/>
          </w:tcPr>
          <w:p>
            <w:pPr>
              <w:spacing w:before="20" w:after="20"/>
              <w:jc w:val="left"/>
            </w:pPr>
            <w:r>
              <w:rPr>
                <w:rFonts w:ascii="Consolas" w:hAnsi="Consolas"/>
                <w:color w:val="303030"/>
                <w:sz w:val="18"/>
              </w:rPr>
              <w:t>fm_model.py</w:t>
            </w:r>
            <w:r>
              <w:rPr>
                <w:sz w:val="17"/>
              </w:rPr>
              <w:t xml:space="preserve"> FM-2 (break-even 46.6 / 47.4 / 48.2, benefit-amount channel, explicitly so labelled) vs FM-4 § 4.4; </w:t>
            </w:r>
            <w:r>
              <w:rPr>
                <w:rFonts w:ascii="Consolas" w:hAnsi="Consolas"/>
                <w:color w:val="303030"/>
                <w:sz w:val="18"/>
              </w:rPr>
              <w:t>redteam_checks.py</w:t>
            </w:r>
            <w:r>
              <w:rPr>
                <w:sz w:val="17"/>
              </w:rPr>
              <w:t xml:space="preserve"> RT-3 and the age sweep in § 4.2 below.</w:t>
            </w:r>
          </w:p>
        </w:tc>
        <w:tc>
          <w:tcPr>
            <w:tcW w:type="dxa" w:w="1234"/>
          </w:tcPr>
          <w:p>
            <w:pPr>
              <w:spacing w:before="20" w:after="20"/>
              <w:jc w:val="left"/>
            </w:pPr>
            <w:r>
              <w:rPr>
                <w:sz w:val="17"/>
              </w:rPr>
              <w:t xml:space="preserve">Keep the argument, scope it in one clause: "…pays more than </w:t>
            </w:r>
            <w:r>
              <w:rPr>
                <w:b/>
                <w:sz w:val="17"/>
              </w:rPr>
              <w:t>the increase in their pension check</w:t>
            </w:r>
            <w:r>
              <w:rPr>
                <w:sz w:val="17"/>
              </w:rPr>
              <w:t xml:space="preserve"> is worth — the subsidy only appears once earlier retirement eligibility is counted, and it appears late." Then state the full-basis figure. Do </w:t>
            </w:r>
            <w:r>
              <w:rPr>
                <w:b/>
                <w:sz w:val="17"/>
              </w:rPr>
              <w:t>not</w:t>
            </w:r>
            <w:r>
              <w:rPr>
                <w:sz w:val="17"/>
              </w:rPr>
              <w:t xml:space="preserve"> let the 47–48 line stand unqualified in </w:t>
            </w:r>
            <w:r>
              <w:rPr>
                <w:rFonts w:ascii="Consolas" w:hAnsi="Consolas"/>
                <w:color w:val="303030"/>
                <w:sz w:val="18"/>
              </w:rPr>
              <w:t>00</w:t>
            </w:r>
            <w:r>
              <w:rPr>
                <w:sz w:val="17"/>
              </w:rPr>
              <w:t>, where there is no room to explain it.</w:t>
            </w:r>
          </w:p>
        </w:tc>
      </w:tr>
      <w:tr>
        <w:tc>
          <w:tcPr>
            <w:tcW w:type="dxa" w:w="1234"/>
          </w:tcPr>
          <w:p>
            <w:pPr>
              <w:spacing w:before="20" w:after="20"/>
              <w:jc w:val="left"/>
            </w:pPr>
            <w:r>
              <w:rPr>
                <w:b/>
                <w:sz w:val="17"/>
              </w:rPr>
              <w:t>S-3</w:t>
            </w:r>
          </w:p>
        </w:tc>
        <w:tc>
          <w:tcPr>
            <w:tcW w:type="dxa" w:w="1234"/>
          </w:tcPr>
          <w:p>
            <w:pPr>
              <w:spacing w:before="20" w:after="20"/>
              <w:jc w:val="left"/>
            </w:pPr>
            <w:r>
              <w:rPr>
                <w:sz w:val="17"/>
              </w:rPr>
              <w:t>Serious</w:t>
            </w:r>
          </w:p>
        </w:tc>
        <w:tc>
          <w:tcPr>
            <w:tcW w:type="dxa" w:w="1234"/>
          </w:tcPr>
          <w:p>
            <w:pPr>
              <w:spacing w:before="20" w:after="20"/>
              <w:jc w:val="left"/>
            </w:pPr>
            <w:r>
              <w:rPr>
                <w:sz w:val="17"/>
              </w:rPr>
              <w:t>arithmetic / reconciliation</w:t>
            </w:r>
          </w:p>
        </w:tc>
        <w:tc>
          <w:tcPr>
            <w:tcW w:type="dxa" w:w="1234"/>
          </w:tcPr>
          <w:p>
            <w:pPr>
              <w:spacing w:before="20" w:after="20"/>
              <w:jc w:val="left"/>
            </w:pPr>
            <w:r>
              <w:rPr>
                <w:rFonts w:ascii="Consolas" w:hAnsi="Consolas"/>
                <w:color w:val="303030"/>
                <w:sz w:val="18"/>
              </w:rPr>
              <w:t>01</w:t>
            </w:r>
            <w:r>
              <w:rPr>
                <w:sz w:val="17"/>
              </w:rPr>
              <w:t xml:space="preserve"> carries </w:t>
            </w:r>
            <w:r>
              <w:rPr>
                <w:b/>
                <w:sz w:val="17"/>
              </w:rPr>
              <w:t>two different eligible pools and two different answers for the same take-up scenario</w:t>
            </w:r>
            <w:r>
              <w:rPr>
                <w:sz w:val="17"/>
              </w:rPr>
              <w:t xml:space="preserve">, 25 lines apart. Line 148: total pool </w:t>
            </w:r>
            <w:r>
              <w:rPr>
                <w:b/>
                <w:sz w:val="17"/>
              </w:rPr>
              <w:t>10,561–26,321</w:t>
            </w:r>
            <w:r>
              <w:rPr>
                <w:sz w:val="17"/>
              </w:rPr>
              <w:t xml:space="preserve">, 20% take-up = </w:t>
            </w:r>
            <w:r>
              <w:rPr>
                <w:b/>
                <w:sz w:val="17"/>
              </w:rPr>
              <w:t>$52.0M–$121.5M</w:t>
            </w:r>
            <w:r>
              <w:rPr>
                <w:sz w:val="17"/>
              </w:rPr>
              <w:t xml:space="preserve">. Line 173: total pool </w:t>
            </w:r>
            <w:r>
              <w:rPr>
                <w:b/>
                <w:sz w:val="17"/>
              </w:rPr>
              <w:t>11,565–24,036</w:t>
            </w:r>
            <w:r>
              <w:rPr>
                <w:sz w:val="17"/>
              </w:rPr>
              <w:t xml:space="preserve">, 20% take-up = </w:t>
            </w:r>
            <w:r>
              <w:rPr>
                <w:b/>
                <w:sz w:val="17"/>
              </w:rPr>
              <w:t>$57.0M–$118.4M</w:t>
            </w:r>
            <w:r>
              <w:rPr>
                <w:sz w:val="17"/>
              </w:rPr>
              <w:t xml:space="preserve">. Cause: in </w:t>
            </w:r>
            <w:r>
              <w:rPr>
                <w:rFonts w:ascii="Consolas" w:hAnsi="Consolas"/>
                <w:color w:val="303030"/>
                <w:sz w:val="18"/>
              </w:rPr>
              <w:t>fm_model.py</w:t>
            </w:r>
            <w:r>
              <w:rPr>
                <w:sz w:val="17"/>
              </w:rPr>
              <w:t xml:space="preserve"> the effective-rate band used to split the pool across plans is cross-wired — </w:t>
            </w:r>
            <w:r>
              <w:rPr>
                <w:rFonts w:ascii="Consolas" w:hAnsi="Consolas"/>
                <w:color w:val="303030"/>
                <w:sz w:val="18"/>
              </w:rPr>
              <w:t>eff_lo = pool_lo / pw_hi</w:t>
            </w:r>
            <w:r>
              <w:rPr>
                <w:sz w:val="17"/>
              </w:rPr>
              <w:t xml:space="preserve"> and </w:t>
            </w:r>
            <w:r>
              <w:rPr>
                <w:rFonts w:ascii="Consolas" w:hAnsi="Consolas"/>
                <w:color w:val="303030"/>
                <w:sz w:val="18"/>
              </w:rPr>
              <w:t>eff_hi = pool_hi / pw_lo</w:t>
            </w:r>
            <w:r>
              <w:rPr>
                <w:sz w:val="17"/>
              </w:rPr>
              <w:t xml:space="preserve"> pair each pool end with the </w:t>
            </w:r>
            <w:r>
              <w:rPr>
                <w:i/>
                <w:sz w:val="17"/>
              </w:rPr>
              <w:t>opposite</w:t>
            </w:r>
            <w:r>
              <w:rPr>
                <w:sz w:val="17"/>
              </w:rPr>
              <w:t xml:space="preserve"> past-window population, widening the band from 3.93%–7.46% to 3.59%–8.17%.</w:t>
            </w:r>
          </w:p>
        </w:tc>
        <w:tc>
          <w:tcPr>
            <w:tcW w:type="dxa" w:w="1234"/>
          </w:tcPr>
          <w:p>
            <w:pPr>
              <w:spacing w:before="20" w:after="20"/>
              <w:jc w:val="left"/>
            </w:pPr>
            <w:r>
              <w:rPr>
                <w:sz w:val="17"/>
              </w:rPr>
              <w:t>A Senate Finance staffer adds the three buckets in the "who bears it" table, compares the total to the headline grid, finds a $5M gap at the low end and a $3M gap at the high end, and asks which number is the number. There is no good answer, and the answer that exists ("a pairing error") is the worst one to give in a hearing.</w:t>
            </w:r>
          </w:p>
        </w:tc>
        <w:tc>
          <w:tcPr>
            <w:tcW w:type="dxa" w:w="1234"/>
          </w:tcPr>
          <w:p>
            <w:pPr>
              <w:spacing w:before="20" w:after="20"/>
              <w:jc w:val="left"/>
            </w:pPr>
            <w:r>
              <w:rPr>
                <w:rFonts w:ascii="Consolas" w:hAnsi="Consolas"/>
                <w:color w:val="303030"/>
                <w:sz w:val="18"/>
              </w:rPr>
              <w:t>fm_model.py</w:t>
            </w:r>
            <w:r>
              <w:rPr>
                <w:sz w:val="17"/>
              </w:rPr>
              <w:t xml:space="preserve"> </w:t>
            </w:r>
            <w:r>
              <w:rPr>
                <w:rFonts w:ascii="Consolas" w:hAnsi="Consolas"/>
                <w:color w:val="303030"/>
                <w:sz w:val="18"/>
              </w:rPr>
              <w:t>main()</w:t>
            </w:r>
            <w:r>
              <w:rPr>
                <w:sz w:val="17"/>
              </w:rPr>
              <w:t xml:space="preserve">, "3. Statewide take-up sensitivity": </w:t>
            </w:r>
            <w:r>
              <w:rPr>
                <w:rFonts w:ascii="Consolas" w:hAnsi="Consolas"/>
                <w:color w:val="303030"/>
                <w:sz w:val="18"/>
              </w:rPr>
              <w:t>eff_lo, eff_hi = pool_lo / pw_hi, pool_hi / pw_lo</w:t>
            </w:r>
            <w:r>
              <w:rPr>
                <w:sz w:val="17"/>
              </w:rPr>
              <w:t xml:space="preserve">, against </w:t>
            </w:r>
            <w:r>
              <w:rPr>
                <w:rFonts w:ascii="Consolas" w:hAnsi="Consolas"/>
                <w:color w:val="303030"/>
                <w:sz w:val="18"/>
              </w:rPr>
              <w:t>fm1_eligible_pool()</w:t>
            </w:r>
            <w:r>
              <w:rPr>
                <w:sz w:val="17"/>
              </w:rPr>
              <w:t xml:space="preserve">, which builds </w:t>
            </w:r>
            <w:r>
              <w:rPr>
                <w:rFonts w:ascii="Consolas" w:hAnsi="Consolas"/>
                <w:color w:val="303030"/>
                <w:sz w:val="18"/>
              </w:rPr>
              <w:t>pool_lo</w:t>
            </w:r>
            <w:r>
              <w:rPr>
                <w:sz w:val="17"/>
              </w:rPr>
              <w:t xml:space="preserve"> from </w:t>
            </w:r>
            <w:r>
              <w:rPr>
                <w:rFonts w:ascii="Consolas" w:hAnsi="Consolas"/>
                <w:color w:val="303030"/>
                <w:sz w:val="18"/>
              </w:rPr>
              <w:t>past_window_lo</w:t>
            </w:r>
            <w:r>
              <w:rPr>
                <w:sz w:val="17"/>
              </w:rPr>
              <w:t xml:space="preserve">. Corrected run at </w:t>
            </w:r>
            <w:r>
              <w:rPr>
                <w:rFonts w:ascii="Consolas" w:hAnsi="Consolas"/>
                <w:color w:val="303030"/>
                <w:sz w:val="18"/>
              </w:rPr>
              <w:t>redteam_checks.py</w:t>
            </w:r>
            <w:r>
              <w:rPr>
                <w:sz w:val="17"/>
              </w:rPr>
              <w:t xml:space="preserve"> RT-1.</w:t>
            </w:r>
          </w:p>
        </w:tc>
        <w:tc>
          <w:tcPr>
            <w:tcW w:type="dxa" w:w="1234"/>
          </w:tcPr>
          <w:p>
            <w:pPr>
              <w:spacing w:before="20" w:after="20"/>
              <w:jc w:val="left"/>
            </w:pPr>
            <w:r>
              <w:rPr>
                <w:sz w:val="17"/>
              </w:rPr>
              <w:t xml:space="preserve">Pair like with like. On the corrected pairing the two tables reconcile on a single pool of </w:t>
            </w:r>
            <w:r>
              <w:rPr>
                <w:b/>
                <w:sz w:val="17"/>
              </w:rPr>
              <w:t>11,565–24,036</w:t>
            </w:r>
            <w:r>
              <w:rPr>
                <w:sz w:val="17"/>
              </w:rPr>
              <w:t xml:space="preserve"> and the headline band becomes </w:t>
            </w:r>
            <w:r>
              <w:rPr>
                <w:b/>
                <w:sz w:val="17"/>
              </w:rPr>
              <w:t>$14.2M–$166.4M</w:t>
            </w:r>
            <w:r>
              <w:rPr>
                <w:sz w:val="17"/>
              </w:rPr>
              <w:t xml:space="preserve"> (not $13M–$182M); 20% take-up becomes </w:t>
            </w:r>
            <w:r>
              <w:rPr>
                <w:b/>
                <w:sz w:val="17"/>
              </w:rPr>
              <w:t>$57.0M–$110.9M</w:t>
            </w:r>
            <w:r>
              <w:rPr>
                <w:sz w:val="17"/>
              </w:rPr>
              <w:t>. Owner: Fiscal &amp; Impact Modeler. The policy conclusion does not move; the credibility exposure does.</w:t>
            </w:r>
          </w:p>
        </w:tc>
      </w:tr>
      <w:tr>
        <w:tc>
          <w:tcPr>
            <w:tcW w:type="dxa" w:w="1234"/>
          </w:tcPr>
          <w:p>
            <w:pPr>
              <w:spacing w:before="20" w:after="20"/>
              <w:jc w:val="left"/>
            </w:pPr>
            <w:r>
              <w:rPr>
                <w:b/>
                <w:sz w:val="17"/>
              </w:rPr>
              <w:t>S-4</w:t>
            </w:r>
          </w:p>
        </w:tc>
        <w:tc>
          <w:tcPr>
            <w:tcW w:type="dxa" w:w="1234"/>
          </w:tcPr>
          <w:p>
            <w:pPr>
              <w:spacing w:before="20" w:after="20"/>
              <w:jc w:val="left"/>
            </w:pPr>
            <w:r>
              <w:rPr>
                <w:sz w:val="17"/>
              </w:rPr>
              <w:t>Serious</w:t>
            </w:r>
          </w:p>
        </w:tc>
        <w:tc>
          <w:tcPr>
            <w:tcW w:type="dxa" w:w="1234"/>
          </w:tcPr>
          <w:p>
            <w:pPr>
              <w:spacing w:before="20" w:after="20"/>
              <w:jc w:val="left"/>
            </w:pPr>
            <w:r>
              <w:rPr>
                <w:sz w:val="17"/>
              </w:rPr>
              <w:t>eligibility / population</w:t>
            </w:r>
          </w:p>
        </w:tc>
        <w:tc>
          <w:tcPr>
            <w:tcW w:type="dxa" w:w="1234"/>
          </w:tcPr>
          <w:p>
            <w:pPr>
              <w:spacing w:before="20" w:after="20"/>
              <w:jc w:val="left"/>
            </w:pPr>
            <w:r>
              <w:rPr>
                <w:sz w:val="17"/>
              </w:rPr>
              <w:t xml:space="preserve">§ 51.1-142.2 B 3 bars purchase of service "included in the calculation of any retirement allowance received or to be received … </w:t>
            </w:r>
            <w:r>
              <w:rPr>
                <w:b/>
                <w:sz w:val="17"/>
              </w:rPr>
              <w:t>or if there is a balance in a defined contribution account that serves as a primary retirement account related to such service.</w:t>
            </w:r>
            <w:r>
              <w:rPr>
                <w:sz w:val="17"/>
              </w:rPr>
              <w:t xml:space="preserve">" Neither limb is applied to the population estimate. The 10,600–26,300 pool takes a 90% haircut for the 180-day test and </w:t>
            </w:r>
            <w:r>
              <w:rPr>
                <w:b/>
                <w:sz w:val="17"/>
              </w:rPr>
              <w:t>no haircut at all</w:t>
            </w:r>
            <w:r>
              <w:rPr>
                <w:sz w:val="17"/>
              </w:rPr>
              <w:t xml:space="preserve"> for either limb. Neither limb appears anywhere in </w:t>
            </w:r>
            <w:r>
              <w:rPr>
                <w:rFonts w:ascii="Consolas" w:hAnsi="Consolas"/>
                <w:color w:val="303030"/>
                <w:sz w:val="18"/>
              </w:rPr>
              <w:t>01</w:t>
            </w:r>
            <w:r>
              <w:rPr>
                <w:sz w:val="17"/>
              </w:rPr>
              <w:t xml:space="preserve">, </w:t>
            </w:r>
            <w:r>
              <w:rPr>
                <w:rFonts w:ascii="Consolas" w:hAnsi="Consolas"/>
                <w:color w:val="303030"/>
                <w:sz w:val="18"/>
              </w:rPr>
              <w:t>03</w:t>
            </w:r>
            <w:r>
              <w:rPr>
                <w:sz w:val="17"/>
              </w:rPr>
              <w:t xml:space="preserve"> or </w:t>
            </w:r>
            <w:r>
              <w:rPr>
                <w:rFonts w:ascii="Consolas" w:hAnsi="Consolas"/>
                <w:color w:val="303030"/>
                <w:sz w:val="18"/>
              </w:rPr>
              <w:t>04</w:t>
            </w:r>
            <w:r>
              <w:rPr>
                <w:sz w:val="17"/>
              </w:rPr>
              <w:t>; the eight-item data request does not ask about them.</w:t>
            </w:r>
          </w:p>
        </w:tc>
        <w:tc>
          <w:tcPr>
            <w:tcW w:type="dxa" w:w="1234"/>
          </w:tcPr>
          <w:p>
            <w:pPr>
              <w:spacing w:before="20" w:after="20"/>
              <w:jc w:val="left"/>
            </w:pPr>
            <w:r>
              <w:rPr>
                <w:sz w:val="17"/>
              </w:rPr>
              <w:t xml:space="preserve">(a) A regular 20-year military retiree's active duty is included in the allowance they already receive, so they cannot buy — yet every source behind the pool (DHRM self-identification, BLS Table 8, NCES 209.27) counts military retirees as veterans, and Virginia has the third-largest military-retiree population in the nation. (b) Service under the </w:t>
            </w:r>
            <w:r>
              <w:rPr>
                <w:b/>
                <w:sz w:val="17"/>
              </w:rPr>
              <w:t>Blended Retirement System</w:t>
            </w:r>
            <w:r>
              <w:rPr>
                <w:sz w:val="17"/>
              </w:rPr>
              <w:t xml:space="preserve"> — mandatory for entrants on or after January 1, 2018 — carries automatic and matching government contributions to a TSP account attributable to that service. If VRS administers the second limb against BRS service, the veterans the bill most wants to recruit are the ones who cannot use it. The brief promises "every veteran in VRS."</w:t>
            </w:r>
          </w:p>
        </w:tc>
        <w:tc>
          <w:tcPr>
            <w:tcW w:type="dxa" w:w="1234"/>
          </w:tcPr>
          <w:p>
            <w:pPr>
              <w:spacing w:before="20" w:after="20"/>
              <w:jc w:val="left"/>
            </w:pPr>
            <w:r>
              <w:rPr>
                <w:sz w:val="17"/>
              </w:rPr>
              <w:t xml:space="preserve">§ 51.1-142.2 B 3 (verified verbatim, lis.virginia.gov, Oct. 25, 2026). The 10 U.S.C. ch. 1223 exception preserves </w:t>
            </w:r>
            <w:r>
              <w:rPr>
                <w:b/>
                <w:sz w:val="17"/>
              </w:rPr>
              <w:t>Reserve/Guard</w:t>
            </w:r>
            <w:r>
              <w:rPr>
                <w:sz w:val="17"/>
              </w:rPr>
              <w:t xml:space="preserve"> retirement only — it does not reach regular retirees. VRS FIS on HB 1867 recites both limbs as existing law and adds that a deferred member or retiree is ineligible.</w:t>
            </w:r>
          </w:p>
        </w:tc>
        <w:tc>
          <w:tcPr>
            <w:tcW w:type="dxa" w:w="1234"/>
          </w:tcPr>
          <w:p>
            <w:pPr>
              <w:spacing w:before="20" w:after="20"/>
              <w:jc w:val="left"/>
            </w:pPr>
            <w:r>
              <w:rPr>
                <w:sz w:val="17"/>
              </w:rPr>
              <w:t xml:space="preserve">Two things. (1) Add items 9 and 10 to the § 1.7 VRS data request: how VRS administers each limb, how many § 51.1-142.2 B 2 applications are denied under each, and whether BRS/TSP balances are treated as a "primary retirement account." (2) Until VRS answers, present the pool with an explicit </w:t>
            </w:r>
            <w:r>
              <w:rPr>
                <w:b/>
                <w:sz w:val="17"/>
              </w:rPr>
              <w:t>unquantified downward adjustment</w:t>
            </w:r>
            <w:r>
              <w:rPr>
                <w:sz w:val="17"/>
              </w:rPr>
              <w:t xml:space="preserve"> for both limbs. This lowers the fiscal note — it is bad for the "people helped" headline and good for the score. Say both.</w:t>
            </w:r>
          </w:p>
        </w:tc>
      </w:tr>
      <w:tr>
        <w:tc>
          <w:tcPr>
            <w:tcW w:type="dxa" w:w="1234"/>
          </w:tcPr>
          <w:p>
            <w:pPr>
              <w:spacing w:before="20" w:after="20"/>
              <w:jc w:val="left"/>
            </w:pPr>
            <w:r>
              <w:rPr>
                <w:b/>
                <w:sz w:val="17"/>
              </w:rPr>
              <w:t>S-5</w:t>
            </w:r>
          </w:p>
        </w:tc>
        <w:tc>
          <w:tcPr>
            <w:tcW w:type="dxa" w:w="1234"/>
          </w:tcPr>
          <w:p>
            <w:pPr>
              <w:spacing w:before="20" w:after="20"/>
              <w:jc w:val="left"/>
            </w:pPr>
            <w:r>
              <w:rPr>
                <w:sz w:val="17"/>
              </w:rPr>
              <w:t>Serious</w:t>
            </w:r>
          </w:p>
        </w:tc>
        <w:tc>
          <w:tcPr>
            <w:tcW w:type="dxa" w:w="1234"/>
          </w:tcPr>
          <w:p>
            <w:pPr>
              <w:spacing w:before="20" w:after="20"/>
              <w:jc w:val="left"/>
            </w:pPr>
            <w:r>
              <w:rPr>
                <w:sz w:val="17"/>
              </w:rPr>
              <w:t>drafting — surplus grant</w:t>
            </w:r>
          </w:p>
        </w:tc>
        <w:tc>
          <w:tcPr>
            <w:tcW w:type="dxa" w:w="1234"/>
          </w:tcPr>
          <w:p>
            <w:pPr>
              <w:spacing w:before="20" w:after="20"/>
              <w:jc w:val="left"/>
            </w:pPr>
            <w:r>
              <w:rPr>
                <w:sz w:val="17"/>
              </w:rPr>
              <w:t xml:space="preserve">Annex A § 2.2 does not merely disapply the repricing sentence; it adds a </w:t>
            </w:r>
            <w:r>
              <w:rPr>
                <w:b/>
                <w:sz w:val="17"/>
              </w:rPr>
              <w:t>free-standing grant</w:t>
            </w:r>
            <w:r>
              <w:rPr>
                <w:sz w:val="17"/>
              </w:rPr>
              <w:t>: "Any member in service may purchase service credit for prior active duty military service pursuant to subdivision 2 at the approximate normal cost … without regard to the time elapsed…" That sentence restates the right to purchase, in a different subdivision from the one that creates and limits it.</w:t>
            </w:r>
          </w:p>
        </w:tc>
        <w:tc>
          <w:tcPr>
            <w:tcW w:type="dxa" w:w="1234"/>
          </w:tcPr>
          <w:p>
            <w:pPr>
              <w:spacing w:before="20" w:after="20"/>
              <w:jc w:val="left"/>
            </w:pPr>
            <w:r>
              <w:rPr>
                <w:sz w:val="17"/>
              </w:rPr>
              <w:t xml:space="preserve">A member purchases a fifth and sixth year of military service and argues the authority they used is the new sentence in B 3, which contains no four-year cap, no reference to the 180-consecutive-day definition in the final paragraph of subsection B, and no anti-duplication condition. The answer is enactment clause 2 (ii) and (vi) — but enactment clauses are </w:t>
            </w:r>
            <w:r>
              <w:rPr>
                <w:b/>
                <w:sz w:val="17"/>
              </w:rPr>
              <w:t>not codified</w:t>
            </w:r>
            <w:r>
              <w:rPr>
                <w:sz w:val="17"/>
              </w:rPr>
              <w:t>, do not appear in the Code a member or a hearing officer reads, and are a weaker interpretive aid than the operative text. Annex A § 8.1 states the correct rule and then the draft departs from it.</w:t>
            </w:r>
          </w:p>
        </w:tc>
        <w:tc>
          <w:tcPr>
            <w:tcW w:type="dxa" w:w="1234"/>
          </w:tcPr>
          <w:p>
            <w:pPr>
              <w:spacing w:before="20" w:after="20"/>
              <w:jc w:val="left"/>
            </w:pPr>
            <w:r>
              <w:rPr>
                <w:sz w:val="17"/>
              </w:rPr>
              <w:t xml:space="preserve">§ 51.1-142.2 B 2 (verified: "In addition to the service credit that may be purchased under subdivision 1, </w:t>
            </w:r>
            <w:r>
              <w:rPr>
                <w:b/>
                <w:sz w:val="17"/>
              </w:rPr>
              <w:t>any member in service may purchase up to four years</w:t>
            </w:r>
            <w:r>
              <w:rPr>
                <w:sz w:val="17"/>
              </w:rPr>
              <w:t xml:space="preserve"> of service credit for prior active duty military service…"). Annex A § 8.1, § 8.6.</w:t>
            </w:r>
          </w:p>
        </w:tc>
        <w:tc>
          <w:tcPr>
            <w:tcW w:type="dxa" w:w="1234"/>
          </w:tcPr>
          <w:p>
            <w:pPr>
              <w:spacing w:before="20" w:after="20"/>
              <w:jc w:val="left"/>
            </w:pPr>
            <w:r>
              <w:rPr>
                <w:sz w:val="17"/>
              </w:rPr>
              <w:t xml:space="preserve">Express the carve-out as </w:t>
            </w:r>
            <w:r>
              <w:rPr>
                <w:b/>
                <w:sz w:val="17"/>
              </w:rPr>
              <w:t>pricing only</w:t>
            </w:r>
            <w:r>
              <w:rPr>
                <w:sz w:val="17"/>
              </w:rPr>
              <w:t xml:space="preserve">, never as a grant: "…then, </w:t>
            </w:r>
            <w:r>
              <w:rPr>
                <w:b/>
                <w:sz w:val="17"/>
              </w:rPr>
              <w:t>except as to service credit purchased pursuant to subdivision 2</w:t>
            </w:r>
            <w:r>
              <w:rPr>
                <w:sz w:val="17"/>
              </w:rPr>
              <w:t xml:space="preserve">, the member shall pay the actuarial equivalent cost. </w:t>
            </w:r>
            <w:r>
              <w:rPr>
                <w:b/>
                <w:sz w:val="17"/>
              </w:rPr>
              <w:t>Service credit purchased pursuant to subdivision 2 shall be purchased at the approximate normal cost … without regard to the time elapsed since his first date of hire or the final day of any applicable leave of absence.</w:t>
            </w:r>
            <w:r>
              <w:rPr>
                <w:sz w:val="17"/>
              </w:rPr>
              <w:t>" One fewer sentence, and the caps and conditions stay where they are. Owner: Drafting Specialist.</w:t>
            </w:r>
          </w:p>
        </w:tc>
      </w:tr>
      <w:tr>
        <w:tc>
          <w:tcPr>
            <w:tcW w:type="dxa" w:w="1234"/>
          </w:tcPr>
          <w:p>
            <w:pPr>
              <w:spacing w:before="20" w:after="20"/>
              <w:jc w:val="left"/>
            </w:pPr>
            <w:r>
              <w:rPr>
                <w:b/>
                <w:sz w:val="17"/>
              </w:rPr>
              <w:t>S-6</w:t>
            </w:r>
          </w:p>
        </w:tc>
        <w:tc>
          <w:tcPr>
            <w:tcW w:type="dxa" w:w="1234"/>
          </w:tcPr>
          <w:p>
            <w:pPr>
              <w:spacing w:before="20" w:after="20"/>
              <w:jc w:val="left"/>
            </w:pPr>
            <w:r>
              <w:rPr>
                <w:sz w:val="17"/>
              </w:rPr>
              <w:t>Serious</w:t>
            </w:r>
          </w:p>
        </w:tc>
        <w:tc>
          <w:tcPr>
            <w:tcW w:type="dxa" w:w="1234"/>
          </w:tcPr>
          <w:p>
            <w:pPr>
              <w:spacing w:before="20" w:after="20"/>
              <w:jc w:val="left"/>
            </w:pPr>
            <w:r>
              <w:rPr>
                <w:sz w:val="17"/>
              </w:rPr>
              <w:t>drafting — guardrail does not function</w:t>
            </w:r>
          </w:p>
        </w:tc>
        <w:tc>
          <w:tcPr>
            <w:tcW w:type="dxa" w:w="1234"/>
          </w:tcPr>
          <w:p>
            <w:pPr>
              <w:spacing w:before="20" w:after="20"/>
              <w:jc w:val="left"/>
            </w:pPr>
            <w:r>
              <w:rPr>
                <w:sz w:val="17"/>
              </w:rPr>
              <w:t xml:space="preserve">The 12-month pre-retirement completion authority fails twice. (a) It is keyed to "the member's </w:t>
            </w:r>
            <w:r>
              <w:rPr>
                <w:b/>
                <w:sz w:val="17"/>
              </w:rPr>
              <w:t>effective date of retirement</w:t>
            </w:r>
            <w:r>
              <w:rPr>
                <w:sz w:val="17"/>
              </w:rPr>
              <w:t>," which does not exist when the purchase is made and is chosen later by the member, so the condition cannot be tested at the only moment it operates, and the draft states no consequence for breach. (b) Annex A § 2.3 begins "</w:t>
            </w:r>
            <w:r>
              <w:rPr>
                <w:b/>
                <w:sz w:val="17"/>
              </w:rPr>
              <w:t>Notwithstanding any other provision of this section</w:t>
            </w:r>
            <w:r>
              <w:rPr>
                <w:sz w:val="17"/>
              </w:rPr>
              <w:t xml:space="preserve"> or any policy of the Board limiting the duration of a purchase of service credit contract" — broad enough to override the completion requirement in the same bill.</w:t>
            </w:r>
          </w:p>
        </w:tc>
        <w:tc>
          <w:tcPr>
            <w:tcW w:type="dxa" w:w="1234"/>
          </w:tcPr>
          <w:p>
            <w:pPr>
              <w:spacing w:before="20" w:after="20"/>
              <w:jc w:val="left"/>
            </w:pPr>
            <w:r>
              <w:rPr>
                <w:sz w:val="17"/>
              </w:rPr>
              <w:t xml:space="preserve">A Plan 1 member aged 58 with 28 years signs a 60-month agreement under § 2.3, reaches unreduced eligibility at 61, and retires. Did they comply? § 2.2 says the Board may require completion 12 months before retirement; § 2.3 says notwithstanding any other provision of the section the 60-month term is available. VRS has no stated remedy — no forfeiture, no partial credit rule beyond subsection F, no refund. The single provision Annex A § 5.1 says "forecloses eve-of-retirement purchases outright" forecloses nothing. With Q11 decided as immediate access, the actuary prices an </w:t>
            </w:r>
            <w:r>
              <w:rPr>
                <w:b/>
                <w:sz w:val="17"/>
              </w:rPr>
              <w:t>unbounded cohort</w:t>
            </w:r>
            <w:r>
              <w:rPr>
                <w:sz w:val="17"/>
              </w:rPr>
              <w:t xml:space="preserve"> and this is one of only two guardrails.</w:t>
            </w:r>
          </w:p>
        </w:tc>
        <w:tc>
          <w:tcPr>
            <w:tcW w:type="dxa" w:w="1234"/>
          </w:tcPr>
          <w:p>
            <w:pPr>
              <w:spacing w:before="20" w:after="20"/>
              <w:jc w:val="left"/>
            </w:pPr>
            <w:r>
              <w:rPr>
                <w:sz w:val="17"/>
              </w:rPr>
              <w:t>Annex A § 2.2 final new sentence against § 2.3; Annex A § 5.1 ¶ 2 and § 8.5; § 51.1-142.2 F (verified: partial-completion crediting rule, no duration limit).</w:t>
            </w:r>
          </w:p>
        </w:tc>
        <w:tc>
          <w:tcPr>
            <w:tcW w:type="dxa" w:w="1234"/>
          </w:tcPr>
          <w:p>
            <w:pPr>
              <w:spacing w:before="20" w:after="20"/>
              <w:jc w:val="left"/>
            </w:pPr>
            <w:r>
              <w:rPr>
                <w:sz w:val="17"/>
              </w:rPr>
              <w:t xml:space="preserve">Re-draft as a </w:t>
            </w:r>
            <w:r>
              <w:rPr>
                <w:b/>
                <w:sz w:val="17"/>
              </w:rPr>
              <w:t>consequence</w:t>
            </w:r>
            <w:r>
              <w:rPr>
                <w:sz w:val="17"/>
              </w:rPr>
              <w:t xml:space="preserve"> rule, which is the only form that can be administered: "The Board may provide that service credit purchased pursuant to subdivision 2 shall not be included in determining eligibility for, or in the computation of, a retirement allowance where the member's effective date of retirement occurs fewer than 12 months after the date of purchase, and shall provide for refund of the amount paid in that event." And narrow § 2.3's opener to "Notwithstanding any policy of the Board limiting the duration of a purchase of service credit contract, </w:t>
            </w:r>
            <w:r>
              <w:rPr>
                <w:b/>
                <w:sz w:val="17"/>
              </w:rPr>
              <w:t>and subject to any requirement adopted by the Board pursuant to subdivision B 3</w:t>
            </w:r>
            <w:r>
              <w:rPr>
                <w:sz w:val="17"/>
              </w:rPr>
              <w:t>…".</w:t>
            </w:r>
          </w:p>
        </w:tc>
      </w:tr>
      <w:tr>
        <w:tc>
          <w:tcPr>
            <w:tcW w:type="dxa" w:w="1234"/>
          </w:tcPr>
          <w:p>
            <w:pPr>
              <w:spacing w:before="20" w:after="20"/>
              <w:jc w:val="left"/>
            </w:pPr>
            <w:r>
              <w:rPr>
                <w:b/>
                <w:sz w:val="17"/>
              </w:rPr>
              <w:t>S-7</w:t>
            </w:r>
          </w:p>
        </w:tc>
        <w:tc>
          <w:tcPr>
            <w:tcW w:type="dxa" w:w="1234"/>
          </w:tcPr>
          <w:p>
            <w:pPr>
              <w:spacing w:before="20" w:after="20"/>
              <w:jc w:val="left"/>
            </w:pPr>
            <w:r>
              <w:rPr>
                <w:sz w:val="17"/>
              </w:rPr>
              <w:t>Serious</w:t>
            </w:r>
          </w:p>
        </w:tc>
        <w:tc>
          <w:tcPr>
            <w:tcW w:type="dxa" w:w="1234"/>
          </w:tcPr>
          <w:p>
            <w:pPr>
              <w:spacing w:before="20" w:after="20"/>
              <w:jc w:val="left"/>
            </w:pPr>
            <w:r>
              <w:rPr>
                <w:sz w:val="17"/>
              </w:rPr>
              <w:t>who gets hurt — unmapped</w:t>
            </w:r>
          </w:p>
        </w:tc>
        <w:tc>
          <w:tcPr>
            <w:tcW w:type="dxa" w:w="1234"/>
          </w:tcPr>
          <w:p>
            <w:pPr>
              <w:spacing w:before="20" w:after="20"/>
              <w:jc w:val="left"/>
            </w:pPr>
            <w:r>
              <w:rPr>
                <w:sz w:val="17"/>
              </w:rPr>
              <w:t xml:space="preserve">Nothing in the package addresses the veteran who </w:t>
            </w:r>
            <w:r>
              <w:rPr>
                <w:b/>
                <w:sz w:val="17"/>
              </w:rPr>
              <w:t>already paid the actuarial equivalent cost</w:t>
            </w:r>
            <w:r>
              <w:rPr>
                <w:sz w:val="17"/>
              </w:rPr>
              <w:t>. They get no refund, no re-pricing and no mention.</w:t>
            </w:r>
          </w:p>
        </w:tc>
        <w:tc>
          <w:tcPr>
            <w:tcW w:type="dxa" w:w="1234"/>
          </w:tcPr>
          <w:p>
            <w:pPr>
              <w:spacing w:before="20" w:after="20"/>
              <w:jc w:val="left"/>
            </w:pPr>
            <w:r>
              <w:rPr>
                <w:sz w:val="17"/>
              </w:rPr>
              <w:t>A Plan 1 veteran who paid ~$45,000 at actuarial equivalent cost in 2025 sits in a JLCVSO meeting in 2027 and hears that a colleague will pay $34,933 for the same four years, and that the organisation that asked for their support designed the bill that way. This is the most sympathetic possible complainant, raised by the most sympathetic possible questioner, and the package has no answer drafted.</w:t>
            </w:r>
          </w:p>
        </w:tc>
        <w:tc>
          <w:tcPr>
            <w:tcW w:type="dxa" w:w="1234"/>
          </w:tcPr>
          <w:p>
            <w:pPr>
              <w:spacing w:before="20" w:after="20"/>
              <w:jc w:val="left"/>
            </w:pPr>
            <w:r>
              <w:rPr>
                <w:sz w:val="17"/>
              </w:rPr>
              <w:t xml:space="preserve">Annex A § 5 unintended-effects check (no row); </w:t>
            </w:r>
            <w:r>
              <w:rPr>
                <w:rFonts w:ascii="Consolas" w:hAnsi="Consolas"/>
                <w:color w:val="303030"/>
                <w:sz w:val="18"/>
              </w:rPr>
              <w:t>04</w:t>
            </w:r>
            <w:r>
              <w:rPr>
                <w:sz w:val="17"/>
              </w:rPr>
              <w:t xml:space="preserve"> § 4.9 "not priced here" (not listed); Stakeholder analysis recorded as "Not started."</w:t>
            </w:r>
          </w:p>
        </w:tc>
        <w:tc>
          <w:tcPr>
            <w:tcW w:type="dxa" w:w="1234"/>
          </w:tcPr>
          <w:p>
            <w:pPr>
              <w:spacing w:before="20" w:after="20"/>
              <w:jc w:val="left"/>
            </w:pPr>
            <w:r>
              <w:rPr>
                <w:sz w:val="17"/>
              </w:rPr>
              <w:t xml:space="preserve">A decision, not a fix: (a) accept it openly and give JLCVSO the sentence to say, or (b) add a bounded make-whole — a credit or refund of the difference for purchases completed at actuarial equivalent cost within, say, 36 months before the effective date, which is a knowable and small cohort VRS can count. Either way it belongs in </w:t>
            </w:r>
            <w:r>
              <w:rPr>
                <w:rFonts w:ascii="Consolas" w:hAnsi="Consolas"/>
                <w:color w:val="303030"/>
                <w:sz w:val="18"/>
              </w:rPr>
              <w:t>01</w:t>
            </w:r>
            <w:r>
              <w:rPr>
                <w:sz w:val="17"/>
              </w:rPr>
              <w:t xml:space="preserve"> and in the Stakeholder Analyst's map.</w:t>
            </w:r>
          </w:p>
        </w:tc>
      </w:tr>
      <w:tr>
        <w:tc>
          <w:tcPr>
            <w:tcW w:type="dxa" w:w="1234"/>
          </w:tcPr>
          <w:p>
            <w:pPr>
              <w:spacing w:before="20" w:after="20"/>
              <w:jc w:val="left"/>
            </w:pPr>
            <w:r>
              <w:rPr>
                <w:b/>
                <w:sz w:val="17"/>
              </w:rPr>
              <w:t>M-1</w:t>
            </w:r>
          </w:p>
        </w:tc>
        <w:tc>
          <w:tcPr>
            <w:tcW w:type="dxa" w:w="1234"/>
          </w:tcPr>
          <w:p>
            <w:pPr>
              <w:spacing w:before="20" w:after="20"/>
              <w:jc w:val="left"/>
            </w:pPr>
            <w:r>
              <w:rPr>
                <w:sz w:val="17"/>
              </w:rPr>
              <w:t>Moderate</w:t>
            </w:r>
          </w:p>
        </w:tc>
        <w:tc>
          <w:tcPr>
            <w:tcW w:type="dxa" w:w="1234"/>
          </w:tcPr>
          <w:p>
            <w:pPr>
              <w:spacing w:before="20" w:after="20"/>
              <w:jc w:val="left"/>
            </w:pPr>
            <w:r>
              <w:rPr>
                <w:sz w:val="17"/>
              </w:rPr>
              <w:t>citation integrity</w:t>
            </w:r>
          </w:p>
        </w:tc>
        <w:tc>
          <w:tcPr>
            <w:tcW w:type="dxa" w:w="1234"/>
          </w:tcPr>
          <w:p>
            <w:pPr>
              <w:spacing w:before="20" w:after="20"/>
              <w:jc w:val="left"/>
            </w:pPr>
            <w:r>
              <w:rPr>
                <w:sz w:val="17"/>
              </w:rPr>
              <w:t xml:space="preserve">The age-50-with-30-years threshold is cited as </w:t>
            </w:r>
            <w:r>
              <w:rPr>
                <w:b/>
                <w:sz w:val="17"/>
              </w:rPr>
              <w:t>§ 51.1-153 B 1</w:t>
            </w:r>
            <w:r>
              <w:rPr>
                <w:sz w:val="17"/>
              </w:rPr>
              <w:t xml:space="preserve"> in three files — </w:t>
            </w:r>
            <w:r>
              <w:rPr>
                <w:rFonts w:ascii="Consolas" w:hAnsi="Consolas"/>
                <w:color w:val="303030"/>
                <w:sz w:val="18"/>
              </w:rPr>
              <w:t>01</w:t>
            </w:r>
            <w:r>
              <w:rPr>
                <w:sz w:val="17"/>
              </w:rPr>
              <w:t xml:space="preserve"> line 200, </w:t>
            </w:r>
            <w:r>
              <w:rPr>
                <w:rFonts w:ascii="Consolas" w:hAnsi="Consolas"/>
                <w:color w:val="303030"/>
                <w:sz w:val="18"/>
              </w:rPr>
              <w:t>03</w:t>
            </w:r>
            <w:r>
              <w:rPr>
                <w:sz w:val="17"/>
              </w:rPr>
              <w:t xml:space="preserve"> line 233, </w:t>
            </w:r>
            <w:r>
              <w:rPr>
                <w:rFonts w:ascii="Consolas" w:hAnsi="Consolas"/>
                <w:color w:val="303030"/>
                <w:sz w:val="18"/>
              </w:rPr>
              <w:t>04</w:t>
            </w:r>
            <w:r>
              <w:rPr>
                <w:sz w:val="17"/>
              </w:rPr>
              <w:t xml:space="preserve"> lines 185 and 290. It is </w:t>
            </w:r>
            <w:r>
              <w:rPr>
                <w:b/>
                <w:sz w:val="17"/>
              </w:rPr>
              <w:t>§ 51.1-153 B 2</w:t>
            </w:r>
            <w:r>
              <w:rPr>
                <w:sz w:val="17"/>
              </w:rPr>
              <w:t>. B 1 is the unrelated age-55-with-5-years early retirement provision. Annex A has it right at § 3.1 and § 2.5, so the package contradicts itself.</w:t>
            </w:r>
          </w:p>
        </w:tc>
        <w:tc>
          <w:tcPr>
            <w:tcW w:type="dxa" w:w="1234"/>
          </w:tcPr>
          <w:p>
            <w:pPr>
              <w:spacing w:before="20" w:after="20"/>
              <w:jc w:val="left"/>
            </w:pPr>
            <w:r>
              <w:rPr>
                <w:sz w:val="17"/>
              </w:rPr>
              <w:t>A delegate's legislative aide follows the cite in the brief's most technical and most important passage — the one-year-versus-half-year acceleration asymmetry — lands on a provision about age 55, and concludes the mechanical claim is wrong. It is not wrong; the cite is.</w:t>
            </w:r>
          </w:p>
        </w:tc>
        <w:tc>
          <w:tcPr>
            <w:tcW w:type="dxa" w:w="1234"/>
          </w:tcPr>
          <w:p>
            <w:pPr>
              <w:spacing w:before="20" w:after="20"/>
              <w:jc w:val="left"/>
            </w:pPr>
            <w:r>
              <w:rPr>
                <w:sz w:val="17"/>
              </w:rPr>
              <w:t>§ 51.1-153 B 2 verified verbatim: "any state employee, teacher, or employee of a political subdivision … may retire prior to his normal retirement date after attaining age 50 and 30 years of creditable service." B 1 verified: "has attained his fifty-fifth birthday with five or more years of creditable service."</w:t>
            </w:r>
          </w:p>
        </w:tc>
        <w:tc>
          <w:tcPr>
            <w:tcW w:type="dxa" w:w="1234"/>
          </w:tcPr>
          <w:p>
            <w:pPr>
              <w:spacing w:before="20" w:after="20"/>
              <w:jc w:val="left"/>
            </w:pPr>
            <w:r>
              <w:rPr>
                <w:sz w:val="17"/>
              </w:rPr>
              <w:t>Global replace B 1 → B 2 in the three files. Keep B 3 for the Rule of 90, which is correct everywhere.</w:t>
            </w:r>
          </w:p>
        </w:tc>
      </w:tr>
      <w:tr>
        <w:tc>
          <w:tcPr>
            <w:tcW w:type="dxa" w:w="1234"/>
          </w:tcPr>
          <w:p>
            <w:pPr>
              <w:spacing w:before="20" w:after="20"/>
              <w:jc w:val="left"/>
            </w:pPr>
            <w:r>
              <w:rPr>
                <w:b/>
                <w:sz w:val="17"/>
              </w:rPr>
              <w:t>M-2</w:t>
            </w:r>
          </w:p>
        </w:tc>
        <w:tc>
          <w:tcPr>
            <w:tcW w:type="dxa" w:w="1234"/>
          </w:tcPr>
          <w:p>
            <w:pPr>
              <w:spacing w:before="20" w:after="20"/>
              <w:jc w:val="left"/>
            </w:pPr>
            <w:r>
              <w:rPr>
                <w:sz w:val="17"/>
              </w:rPr>
              <w:t>Moderate</w:t>
            </w:r>
          </w:p>
        </w:tc>
        <w:tc>
          <w:tcPr>
            <w:tcW w:type="dxa" w:w="1234"/>
          </w:tcPr>
          <w:p>
            <w:pPr>
              <w:spacing w:before="20" w:after="20"/>
              <w:jc w:val="left"/>
            </w:pPr>
            <w:r>
              <w:rPr>
                <w:sz w:val="17"/>
              </w:rPr>
              <w:t>evidence — verifiability</w:t>
            </w:r>
          </w:p>
        </w:tc>
        <w:tc>
          <w:tcPr>
            <w:tcW w:type="dxa" w:w="1234"/>
          </w:tcPr>
          <w:p>
            <w:pPr>
              <w:spacing w:before="20" w:after="20"/>
              <w:jc w:val="left"/>
            </w:pPr>
            <w:r>
              <w:rPr>
                <w:sz w:val="17"/>
              </w:rPr>
              <w:t xml:space="preserve">The comparative claim (MOO-288 v1.0 §1) is </w:t>
            </w:r>
            <w:r>
              <w:rPr>
                <w:b/>
                <w:sz w:val="17"/>
              </w:rPr>
              <w:t>correctly hedged but not verifiable by its reader</w:t>
            </w:r>
            <w:r>
              <w:rPr>
                <w:sz w:val="17"/>
              </w:rPr>
              <w:t xml:space="preserve">. 20 states are claimed; </w:t>
            </w:r>
            <w:r>
              <w:rPr>
                <w:b/>
                <w:sz w:val="17"/>
              </w:rPr>
              <w:t>6 are named</w:t>
            </w:r>
            <w:r>
              <w:rPr>
                <w:sz w:val="17"/>
              </w:rPr>
              <w:t xml:space="preserve"> (MD, MS, NY, PA, NC, OH); 14 are not. The sole source is S13, "Project research, MOO-8 findings," which the brief's own evidence note classes as "prior project research products, not independent primary sources."</w:t>
            </w:r>
          </w:p>
        </w:tc>
        <w:tc>
          <w:tcPr>
            <w:tcW w:type="dxa" w:w="1234"/>
          </w:tcPr>
          <w:p>
            <w:pPr>
              <w:spacing w:before="20" w:after="20"/>
              <w:jc w:val="left"/>
            </w:pPr>
            <w:r>
              <w:rPr>
                <w:sz w:val="17"/>
              </w:rPr>
              <w:t>A committee staffer asks for the list of twenty states and the statute for each. The brief cannot produce it. The uniqueness claim — "Virginia is the only one we could verify" — then reads as an assertion about the proponent's filing cabinet rather than about the states, and the hedges that were doing honest work start to look like cover. Separately, the claim is verified for "general state employees" and the bill covers teachers and local employees, whose systems in those states may price differently.</w:t>
            </w:r>
          </w:p>
        </w:tc>
        <w:tc>
          <w:tcPr>
            <w:tcW w:type="dxa" w:w="1234"/>
          </w:tcPr>
          <w:p>
            <w:pPr>
              <w:spacing w:before="20" w:after="20"/>
              <w:jc w:val="left"/>
            </w:pPr>
            <w:r>
              <w:rPr>
                <w:sz w:val="17"/>
              </w:rPr>
              <w:t>MOO-288 v1.0, DISCUSSION § 1 table and Annex 3 S13; evidence note.</w:t>
            </w:r>
          </w:p>
        </w:tc>
        <w:tc>
          <w:tcPr>
            <w:tcW w:type="dxa" w:w="1234"/>
          </w:tcPr>
          <w:p>
            <w:pPr>
              <w:spacing w:before="20" w:after="20"/>
              <w:jc w:val="left"/>
            </w:pPr>
            <w:r>
              <w:rPr>
                <w:sz w:val="17"/>
              </w:rPr>
              <w:t xml:space="preserve">Before this claim goes to a legislator in any document: list all 20 states with one primary citation each, in a table, as an annex. If the 14 cannot be sourced to primary law, drop to the number that can be — a verified claim about 8 states beats an unverifiable one about 20. Owner: Statutory Researcher. Also check specifically whether any of the 7 "below actuarial, no cliff" states has an </w:t>
            </w:r>
            <w:r>
              <w:rPr>
                <w:b/>
                <w:sz w:val="17"/>
              </w:rPr>
              <w:t>application</w:t>
            </w:r>
            <w:r>
              <w:rPr>
                <w:sz w:val="17"/>
              </w:rPr>
              <w:t xml:space="preserve"> deadline measured from membership; one does and the uniqueness claim fails.</w:t>
            </w:r>
          </w:p>
        </w:tc>
      </w:tr>
      <w:tr>
        <w:tc>
          <w:tcPr>
            <w:tcW w:type="dxa" w:w="1234"/>
          </w:tcPr>
          <w:p>
            <w:pPr>
              <w:spacing w:before="20" w:after="20"/>
              <w:jc w:val="left"/>
            </w:pPr>
            <w:r>
              <w:rPr>
                <w:b/>
                <w:sz w:val="17"/>
              </w:rPr>
              <w:t>M-3</w:t>
            </w:r>
          </w:p>
        </w:tc>
        <w:tc>
          <w:tcPr>
            <w:tcW w:type="dxa" w:w="1234"/>
          </w:tcPr>
          <w:p>
            <w:pPr>
              <w:spacing w:before="20" w:after="20"/>
              <w:jc w:val="left"/>
            </w:pPr>
            <w:r>
              <w:rPr>
                <w:sz w:val="17"/>
              </w:rPr>
              <w:t>Moderate</w:t>
            </w:r>
          </w:p>
        </w:tc>
        <w:tc>
          <w:tcPr>
            <w:tcW w:type="dxa" w:w="1234"/>
          </w:tcPr>
          <w:p>
            <w:pPr>
              <w:spacing w:before="20" w:after="20"/>
              <w:jc w:val="left"/>
            </w:pPr>
            <w:r>
              <w:rPr>
                <w:sz w:val="17"/>
              </w:rPr>
              <w:t>finding of absence — search adequacy</w:t>
            </w:r>
          </w:p>
        </w:tc>
        <w:tc>
          <w:tcPr>
            <w:tcW w:type="dxa" w:w="1234"/>
          </w:tcPr>
          <w:p>
            <w:pPr>
              <w:spacing w:before="20" w:after="20"/>
              <w:jc w:val="left"/>
            </w:pPr>
            <w:r>
              <w:rPr>
                <w:sz w:val="17"/>
              </w:rPr>
              <w:t xml:space="preserve">The notice finding (MOO-288 v1.0 § 2) is </w:t>
            </w:r>
            <w:r>
              <w:rPr>
                <w:b/>
                <w:sz w:val="17"/>
              </w:rPr>
              <w:t>adequately framed and does not overclaim</w:t>
            </w:r>
            <w:r>
              <w:rPr>
                <w:sz w:val="17"/>
              </w:rPr>
              <w:t xml:space="preserve"> — it is stated as an absence in named materials, with an express disclaimer that it is not an allegation against VRS or any employer. But the search is incomplete in one respect that matters, and one paragraph contradicts the disclaimer.</w:t>
            </w:r>
          </w:p>
        </w:tc>
        <w:tc>
          <w:tcPr>
            <w:tcW w:type="dxa" w:w="1234"/>
          </w:tcPr>
          <w:p>
            <w:pPr>
              <w:spacing w:before="20" w:after="20"/>
              <w:jc w:val="left"/>
            </w:pPr>
            <w:r>
              <w:rPr>
                <w:b/>
                <w:sz w:val="17"/>
              </w:rPr>
              <w:t>The rebuttal the brief has not closed:</w:t>
            </w:r>
            <w:r>
              <w:rPr>
                <w:sz w:val="17"/>
              </w:rPr>
              <w:t xml:space="preserve"> a VRS witness says "every member sees their purchase-of-prior-service cost window in </w:t>
            </w:r>
            <w:r>
              <w:rPr>
                <w:b/>
                <w:sz w:val="17"/>
              </w:rPr>
              <w:t>myVRS</w:t>
            </w:r>
            <w:r>
              <w:rPr>
                <w:sz w:val="17"/>
              </w:rPr>
              <w:t xml:space="preserve"> and on the </w:t>
            </w:r>
            <w:r>
              <w:rPr>
                <w:b/>
                <w:sz w:val="17"/>
              </w:rPr>
              <w:t>annual member benefit statement</w:t>
            </w:r>
            <w:r>
              <w:rPr>
                <w:sz w:val="17"/>
              </w:rPr>
              <w:t xml:space="preserve">." Neither was checked. If myVRS does show an individualised window, the finding survives (it is about the absence of a </w:t>
            </w:r>
            <w:r>
              <w:rPr>
                <w:i/>
                <w:sz w:val="17"/>
              </w:rPr>
              <w:t>requirement</w:t>
            </w:r>
            <w:r>
              <w:rPr>
                <w:sz w:val="17"/>
              </w:rPr>
              <w:t xml:space="preserve">, not of a practice) but the rhetoric does not, and the proponent discovers that at the witness table. Separately, the paragraph beginning "A veteran who never happened to read the right handbook page … had the benefit priced away </w:t>
            </w:r>
            <w:r>
              <w:rPr>
                <w:b/>
                <w:sz w:val="17"/>
              </w:rPr>
              <w:t>without ever being told, by name</w:t>
            </w:r>
            <w:r>
              <w:rPr>
                <w:sz w:val="17"/>
              </w:rPr>
              <w:t>, that a clock was running" asserts as fact precisely what the disclaimer two paragraphs later renounces.</w:t>
            </w:r>
          </w:p>
        </w:tc>
        <w:tc>
          <w:tcPr>
            <w:tcW w:type="dxa" w:w="1234"/>
          </w:tcPr>
          <w:p>
            <w:pPr>
              <w:spacing w:before="20" w:after="20"/>
              <w:jc w:val="left"/>
            </w:pPr>
            <w:r>
              <w:rPr>
                <w:sz w:val="17"/>
              </w:rPr>
              <w:t xml:space="preserve">Sources reviewed in the v1.0 table. </w:t>
            </w:r>
            <w:r>
              <w:rPr>
                <w:b/>
                <w:sz w:val="17"/>
              </w:rPr>
              <w:t>Sources that should have been checked and were not:</w:t>
            </w:r>
            <w:r>
              <w:rPr>
                <w:sz w:val="17"/>
              </w:rPr>
              <w:t xml:space="preserve"> (1) </w:t>
            </w:r>
            <w:r>
              <w:rPr>
                <w:b/>
                <w:sz w:val="17"/>
              </w:rPr>
              <w:t>myVRS</w:t>
            </w:r>
            <w:r>
              <w:rPr>
                <w:sz w:val="17"/>
              </w:rPr>
              <w:t xml:space="preserve"> member portal purchase-of-prior-service screens; (2) the </w:t>
            </w:r>
            <w:r>
              <w:rPr>
                <w:b/>
                <w:sz w:val="17"/>
              </w:rPr>
              <w:t>annual member benefit statement</w:t>
            </w:r>
            <w:r>
              <w:rPr>
                <w:sz w:val="17"/>
              </w:rPr>
              <w:t xml:space="preserve">; (3) the VRS </w:t>
            </w:r>
            <w:r>
              <w:rPr>
                <w:b/>
                <w:sz w:val="17"/>
              </w:rPr>
              <w:t>Board of Trustees policy manual</w:t>
            </w:r>
            <w:r>
              <w:rPr>
                <w:sz w:val="17"/>
              </w:rPr>
              <w:t xml:space="preserve"> — relevant because VRS's operative rules live in Board resolutions; (4) </w:t>
            </w:r>
            <w:r>
              <w:rPr>
                <w:b/>
                <w:sz w:val="17"/>
              </w:rPr>
              <w:t>DHRM</w:t>
            </w:r>
            <w:r>
              <w:rPr>
                <w:sz w:val="17"/>
              </w:rPr>
              <w:t xml:space="preserve"> new-employee orientation policy, as the employer-side duty. </w:t>
            </w:r>
            <w:r>
              <w:rPr>
                <w:b/>
                <w:sz w:val="17"/>
              </w:rPr>
              <w:t>One source I checked for the team: § 51.1-124.22</w:t>
            </w:r>
            <w:r>
              <w:rPr>
                <w:sz w:val="17"/>
              </w:rPr>
              <w:t xml:space="preserve"> (Board powers and duties) — 14 duties, publication of valuations and financial statements, authority to "promulgate regulations and procedures," and </w:t>
            </w:r>
            <w:r>
              <w:rPr>
                <w:b/>
                <w:sz w:val="17"/>
              </w:rPr>
              <w:t>no member-notice duty</w:t>
            </w:r>
            <w:r>
              <w:rPr>
                <w:sz w:val="17"/>
              </w:rPr>
              <w:t xml:space="preserve">. That </w:t>
            </w:r>
            <w:r>
              <w:rPr>
                <w:i/>
                <w:sz w:val="17"/>
              </w:rPr>
              <w:t>strengthens</w:t>
            </w:r>
            <w:r>
              <w:rPr>
                <w:sz w:val="17"/>
              </w:rPr>
              <w:t xml:space="preserve"> the finding, and so does the absence of an APA exemption: § 2.2-4002 does not exempt VRS, so the absence of promulgated 1VAC65 chapters is a real gap rather than an artefact.</w:t>
            </w:r>
          </w:p>
        </w:tc>
        <w:tc>
          <w:tcPr>
            <w:tcW w:type="dxa" w:w="1234"/>
          </w:tcPr>
          <w:p>
            <w:pPr>
              <w:spacing w:before="20" w:after="20"/>
              <w:jc w:val="left"/>
            </w:pPr>
            <w:r>
              <w:rPr>
                <w:sz w:val="17"/>
              </w:rPr>
              <w:t>Add myVRS and the member benefit statement to the reviewed-sources table with their result, whatever it is. Re-word the one paragraph to track the disclaimer: "a veteran who was not told — and nothing required that they be —". Add § 51.1-124.22 and § 2.2-4002 to the table as checked negatives; they are the two best things in the finding.</w:t>
            </w:r>
          </w:p>
        </w:tc>
      </w:tr>
      <w:tr>
        <w:tc>
          <w:tcPr>
            <w:tcW w:type="dxa" w:w="1234"/>
          </w:tcPr>
          <w:p>
            <w:pPr>
              <w:spacing w:before="20" w:after="20"/>
              <w:jc w:val="left"/>
            </w:pPr>
            <w:r>
              <w:rPr>
                <w:b/>
                <w:sz w:val="17"/>
              </w:rPr>
              <w:t>M-4</w:t>
            </w:r>
          </w:p>
        </w:tc>
        <w:tc>
          <w:tcPr>
            <w:tcW w:type="dxa" w:w="1234"/>
          </w:tcPr>
          <w:p>
            <w:pPr>
              <w:spacing w:before="20" w:after="20"/>
              <w:jc w:val="left"/>
            </w:pPr>
            <w:r>
              <w:rPr>
                <w:sz w:val="17"/>
              </w:rPr>
              <w:t>Moderate</w:t>
            </w:r>
          </w:p>
        </w:tc>
        <w:tc>
          <w:tcPr>
            <w:tcW w:type="dxa" w:w="1234"/>
          </w:tcPr>
          <w:p>
            <w:pPr>
              <w:spacing w:before="20" w:after="20"/>
              <w:jc w:val="left"/>
            </w:pPr>
            <w:r>
              <w:rPr>
                <w:sz w:val="17"/>
              </w:rPr>
              <w:t>version control / artifact</w:t>
            </w:r>
          </w:p>
        </w:tc>
        <w:tc>
          <w:tcPr>
            <w:tcW w:type="dxa" w:w="1234"/>
          </w:tcPr>
          <w:p>
            <w:pPr>
              <w:spacing w:before="20" w:after="20"/>
              <w:jc w:val="left"/>
            </w:pPr>
            <w:r>
              <w:rPr>
                <w:sz w:val="17"/>
              </w:rPr>
              <w:t xml:space="preserve">The Cliff Graph, the 20-state table and the notice section exist only in the </w:t>
            </w:r>
            <w:r>
              <w:rPr>
                <w:b/>
                <w:sz w:val="17"/>
              </w:rPr>
              <w:t>v1.0</w:t>
            </w:r>
            <w:r>
              <w:rPr>
                <w:sz w:val="17"/>
              </w:rPr>
              <w:t xml:space="preserve"> document and PDF on MOO-288. They are absent from </w:t>
            </w:r>
            <w:r>
              <w:rPr>
                <w:rFonts w:ascii="Consolas" w:hAnsi="Consolas"/>
                <w:color w:val="303030"/>
                <w:sz w:val="18"/>
              </w:rPr>
              <w:t>01</w:t>
            </w:r>
            <w:r>
              <w:rPr>
                <w:sz w:val="17"/>
              </w:rPr>
              <w:t xml:space="preserve"> v1.2, yet </w:t>
            </w:r>
            <w:r>
              <w:rPr>
                <w:rFonts w:ascii="Consolas" w:hAnsi="Consolas"/>
                <w:color w:val="303030"/>
                <w:sz w:val="18"/>
              </w:rPr>
              <w:t>01</w:t>
            </w:r>
            <w:r>
              <w:rPr>
                <w:sz w:val="17"/>
              </w:rPr>
              <w:t xml:space="preserve"> line 219 discusses "</w:t>
            </w:r>
            <w:r>
              <w:rPr>
                <w:b/>
                <w:sz w:val="17"/>
              </w:rPr>
              <w:t>A caution about the Cliff Graph</w:t>
            </w:r>
            <w:r>
              <w:rPr>
                <w:sz w:val="17"/>
              </w:rPr>
              <w:t>" and directs that "</w:t>
            </w:r>
            <w:r>
              <w:rPr>
                <w:i/>
                <w:sz w:val="17"/>
              </w:rPr>
              <w:t>the chart should be reissued with a second panel</w:t>
            </w:r>
            <w:r>
              <w:rPr>
                <w:sz w:val="17"/>
              </w:rPr>
              <w:t xml:space="preserve">" — a chart that is in no file in this package. The graph image is not in the repository and therefore cannot be versioned, corrected or withdrawn with the brief. Meanwhile the v1.0 PDF, which recommends a </w:t>
            </w:r>
            <w:r>
              <w:rPr>
                <w:b/>
                <w:sz w:val="17"/>
              </w:rPr>
              <w:t>notice-and-acknowledgment duty that v1.2 no longer asks for</w:t>
            </w:r>
            <w:r>
              <w:rPr>
                <w:sz w:val="17"/>
              </w:rPr>
              <w:t>, is a distributable artifact.</w:t>
            </w:r>
          </w:p>
        </w:tc>
        <w:tc>
          <w:tcPr>
            <w:tcW w:type="dxa" w:w="1234"/>
          </w:tcPr>
          <w:p>
            <w:pPr>
              <w:spacing w:before="20" w:after="20"/>
              <w:jc w:val="left"/>
            </w:pPr>
            <w:r>
              <w:rPr>
                <w:sz w:val="17"/>
              </w:rPr>
              <w:t>A delegate's office received the v1.0 PDF in October. In January they ask the patron about the notice requirement and quote the $2 million cost figure that the package has since retracted. The patron is holding v1.2, which has neither. Two incompatible versions of a veterans' bill are in circulation under the same title.</w:t>
            </w:r>
          </w:p>
        </w:tc>
        <w:tc>
          <w:tcPr>
            <w:tcW w:type="dxa" w:w="1234"/>
          </w:tcPr>
          <w:p>
            <w:pPr>
              <w:spacing w:before="20" w:after="20"/>
              <w:jc w:val="left"/>
            </w:pPr>
            <w:r>
              <w:rPr>
                <w:sz w:val="17"/>
              </w:rPr>
              <w:t xml:space="preserve">MOO-288 document </w:t>
            </w:r>
            <w:r>
              <w:rPr>
                <w:rFonts w:ascii="Consolas" w:hAnsi="Consolas"/>
                <w:color w:val="303030"/>
                <w:sz w:val="18"/>
              </w:rPr>
              <w:t>brief</w:t>
            </w:r>
            <w:r>
              <w:rPr>
                <w:sz w:val="17"/>
              </w:rPr>
              <w:t xml:space="preserve"> (v1.0) and attachment </w:t>
            </w:r>
            <w:r>
              <w:rPr>
                <w:rFonts w:ascii="Consolas" w:hAnsi="Consolas"/>
                <w:color w:val="303030"/>
                <w:sz w:val="18"/>
              </w:rPr>
              <w:t>6a224bb4…</w:t>
            </w:r>
            <w:r>
              <w:rPr>
                <w:sz w:val="17"/>
              </w:rPr>
              <w:t xml:space="preserve">; </w:t>
            </w:r>
            <w:r>
              <w:rPr>
                <w:rFonts w:ascii="Consolas" w:hAnsi="Consolas"/>
                <w:color w:val="303030"/>
                <w:sz w:val="18"/>
              </w:rPr>
              <w:t>01</w:t>
            </w:r>
            <w:r>
              <w:rPr>
                <w:sz w:val="17"/>
              </w:rPr>
              <w:t xml:space="preserve"> v1.2 lines 219, 252–264; </w:t>
            </w:r>
            <w:r>
              <w:rPr>
                <w:rFonts w:ascii="Consolas" w:hAnsi="Consolas"/>
                <w:color w:val="303030"/>
                <w:sz w:val="18"/>
              </w:rPr>
              <w:t>04</w:t>
            </w:r>
            <w:r>
              <w:rPr>
                <w:sz w:val="17"/>
              </w:rPr>
              <w:t xml:space="preserve"> "What this changes in the brief," item 5 ("Keep the Cliff Graph's values; add an age panel") — an instruction with no surviving object.</w:t>
            </w:r>
          </w:p>
        </w:tc>
        <w:tc>
          <w:tcPr>
            <w:tcW w:type="dxa" w:w="1234"/>
          </w:tcPr>
          <w:p>
            <w:pPr>
              <w:spacing w:before="20" w:after="20"/>
              <w:jc w:val="left"/>
            </w:pPr>
            <w:r>
              <w:rPr>
                <w:sz w:val="17"/>
              </w:rPr>
              <w:t xml:space="preserve">Three steps: (1) formally supersede the v1.0 PDF — mark the MOO-288 artifact superseded and record who received it; (2) either bring the chart into this repo (source data + generator) and reissue it with the age panel, or delete every reference to it from </w:t>
            </w:r>
            <w:r>
              <w:rPr>
                <w:rFonts w:ascii="Consolas" w:hAnsi="Consolas"/>
                <w:color w:val="303030"/>
                <w:sz w:val="18"/>
              </w:rPr>
              <w:t>01</w:t>
            </w:r>
            <w:r>
              <w:rPr>
                <w:sz w:val="17"/>
              </w:rPr>
              <w:t xml:space="preserve">; (3) decide explicitly whether the notice recommendation is </w:t>
            </w:r>
            <w:r>
              <w:rPr>
                <w:b/>
                <w:sz w:val="17"/>
              </w:rPr>
              <w:t>dropped</w:t>
            </w:r>
            <w:r>
              <w:rPr>
                <w:sz w:val="17"/>
              </w:rPr>
              <w:t xml:space="preserve"> or </w:t>
            </w:r>
            <w:r>
              <w:rPr>
                <w:b/>
                <w:sz w:val="17"/>
              </w:rPr>
              <w:t>deferred</w:t>
            </w:r>
            <w:r>
              <w:rPr>
                <w:sz w:val="17"/>
              </w:rPr>
              <w:t xml:space="preserve">, and say so in </w:t>
            </w:r>
            <w:r>
              <w:rPr>
                <w:rFonts w:ascii="Consolas" w:hAnsi="Consolas"/>
                <w:color w:val="303030"/>
                <w:sz w:val="18"/>
              </w:rPr>
              <w:t>01</w:t>
            </w:r>
            <w:r>
              <w:rPr>
                <w:sz w:val="17"/>
              </w:rPr>
              <w:t>, because at present it has silently disappeared.</w:t>
            </w:r>
          </w:p>
        </w:tc>
      </w:tr>
      <w:tr>
        <w:tc>
          <w:tcPr>
            <w:tcW w:type="dxa" w:w="1234"/>
          </w:tcPr>
          <w:p>
            <w:pPr>
              <w:spacing w:before="20" w:after="20"/>
              <w:jc w:val="left"/>
            </w:pPr>
            <w:r>
              <w:rPr>
                <w:b/>
                <w:sz w:val="17"/>
              </w:rPr>
              <w:t>M-5</w:t>
            </w:r>
          </w:p>
        </w:tc>
        <w:tc>
          <w:tcPr>
            <w:tcW w:type="dxa" w:w="1234"/>
          </w:tcPr>
          <w:p>
            <w:pPr>
              <w:spacing w:before="20" w:after="20"/>
              <w:jc w:val="left"/>
            </w:pPr>
            <w:r>
              <w:rPr>
                <w:sz w:val="17"/>
              </w:rPr>
              <w:t>Moderate</w:t>
            </w:r>
          </w:p>
        </w:tc>
        <w:tc>
          <w:tcPr>
            <w:tcW w:type="dxa" w:w="1234"/>
          </w:tcPr>
          <w:p>
            <w:pPr>
              <w:spacing w:before="20" w:after="20"/>
              <w:jc w:val="left"/>
            </w:pPr>
            <w:r>
              <w:rPr>
                <w:sz w:val="17"/>
              </w:rPr>
              <w:t>missing number</w:t>
            </w:r>
          </w:p>
        </w:tc>
        <w:tc>
          <w:tcPr>
            <w:tcW w:type="dxa" w:w="1234"/>
          </w:tcPr>
          <w:p>
            <w:pPr>
              <w:spacing w:before="20" w:after="20"/>
              <w:jc w:val="left"/>
            </w:pPr>
            <w:r>
              <w:rPr>
                <w:sz w:val="17"/>
              </w:rPr>
              <w:t xml:space="preserve">The package never converts the one-time present value into the number that actually appears in a fiscal impact statement — the </w:t>
            </w:r>
            <w:r>
              <w:rPr>
                <w:b/>
                <w:sz w:val="17"/>
              </w:rPr>
              <w:t>employer contribution rate</w:t>
            </w:r>
            <w:r>
              <w:rPr>
                <w:sz w:val="17"/>
              </w:rPr>
              <w:t xml:space="preserve"> increase. § 51.1-145 I certifies a rate, not a present value.</w:t>
            </w:r>
          </w:p>
        </w:tc>
        <w:tc>
          <w:tcPr>
            <w:tcW w:type="dxa" w:w="1234"/>
          </w:tcPr>
          <w:p>
            <w:pPr>
              <w:spacing w:before="20" w:after="20"/>
              <w:jc w:val="left"/>
            </w:pPr>
            <w:r>
              <w:rPr>
                <w:sz w:val="17"/>
              </w:rPr>
              <w:t xml:space="preserve">A proponent walks into House Appropriations with "$57 million." The committee hears a number larger than several agency budgets. Amortised as a level percent of payroll over 20 years at the Board's own 6.75% and 3.0% payroll growth, the same liability is </w:t>
            </w:r>
            <w:r>
              <w:rPr>
                <w:b/>
                <w:sz w:val="17"/>
              </w:rPr>
              <w:t>1.5 to 3.0 basis points</w:t>
            </w:r>
            <w:r>
              <w:rPr>
                <w:sz w:val="17"/>
              </w:rPr>
              <w:t xml:space="preserve"> at 20% take-up and </w:t>
            </w:r>
            <w:r>
              <w:rPr>
                <w:b/>
                <w:sz w:val="17"/>
              </w:rPr>
              <w:t>0.4 to 0.7 bp</w:t>
            </w:r>
            <w:r>
              <w:rPr>
                <w:sz w:val="17"/>
              </w:rPr>
              <w:t xml:space="preserve"> at 5% — against statewide employer rates in the 14%–20% range. The brief has handed over its worst framing and withheld its best, and both are true.</w:t>
            </w:r>
          </w:p>
        </w:tc>
        <w:tc>
          <w:tcPr>
            <w:tcW w:type="dxa" w:w="1234"/>
          </w:tcPr>
          <w:p>
            <w:pPr>
              <w:spacing w:before="20" w:after="20"/>
              <w:jc w:val="left"/>
            </w:pPr>
            <w:r>
              <w:rPr>
                <w:sz w:val="17"/>
              </w:rPr>
              <w:t xml:space="preserve">§ 51.1-145 I, K; </w:t>
            </w:r>
            <w:r>
              <w:rPr>
                <w:rFonts w:ascii="Consolas" w:hAnsi="Consolas"/>
                <w:color w:val="303030"/>
                <w:sz w:val="18"/>
              </w:rPr>
              <w:t>redteam_checks.py</w:t>
            </w:r>
            <w:r>
              <w:rPr>
                <w:sz w:val="17"/>
              </w:rPr>
              <w:t xml:space="preserve"> RT-4. Band across the corrected grid: </w:t>
            </w:r>
            <w:r>
              <w:rPr>
                <w:b/>
                <w:sz w:val="17"/>
              </w:rPr>
              <w:t>0.4 bp to 4.4 bp</w:t>
            </w:r>
            <w:r>
              <w:rPr>
                <w:sz w:val="17"/>
              </w:rPr>
              <w:t xml:space="preserve"> (20-year), 0.3–3.8 bp (25-year).</w:t>
            </w:r>
          </w:p>
        </w:tc>
        <w:tc>
          <w:tcPr>
            <w:tcW w:type="dxa" w:w="1234"/>
          </w:tcPr>
          <w:p>
            <w:pPr>
              <w:spacing w:before="20" w:after="20"/>
              <w:jc w:val="left"/>
            </w:pPr>
            <w:r>
              <w:rPr>
                <w:sz w:val="17"/>
              </w:rPr>
              <w:t>Add one row to the COST table: PV, and the amortised rate impact in basis points, side by side. State the amortisation basis. This is the single most useful addition available to the brief and it costs two sentences. Confirm the amortisation period against the VRS Funding Policy before quoting.</w:t>
            </w:r>
          </w:p>
        </w:tc>
      </w:tr>
      <w:tr>
        <w:tc>
          <w:tcPr>
            <w:tcW w:type="dxa" w:w="1234"/>
          </w:tcPr>
          <w:p>
            <w:pPr>
              <w:spacing w:before="20" w:after="20"/>
              <w:jc w:val="left"/>
            </w:pPr>
            <w:r>
              <w:rPr>
                <w:b/>
                <w:sz w:val="17"/>
              </w:rPr>
              <w:t>M-6</w:t>
            </w:r>
          </w:p>
        </w:tc>
        <w:tc>
          <w:tcPr>
            <w:tcW w:type="dxa" w:w="1234"/>
          </w:tcPr>
          <w:p>
            <w:pPr>
              <w:spacing w:before="20" w:after="20"/>
              <w:jc w:val="left"/>
            </w:pPr>
            <w:r>
              <w:rPr>
                <w:sz w:val="17"/>
              </w:rPr>
              <w:t>Moderate</w:t>
            </w:r>
          </w:p>
        </w:tc>
        <w:tc>
          <w:tcPr>
            <w:tcW w:type="dxa" w:w="1234"/>
          </w:tcPr>
          <w:p>
            <w:pPr>
              <w:spacing w:before="20" w:after="20"/>
              <w:jc w:val="left"/>
            </w:pPr>
            <w:r>
              <w:rPr>
                <w:sz w:val="17"/>
              </w:rPr>
              <w:t>inference</w:t>
            </w:r>
          </w:p>
        </w:tc>
        <w:tc>
          <w:tcPr>
            <w:tcW w:type="dxa" w:w="1234"/>
          </w:tcPr>
          <w:p>
            <w:pPr>
              <w:spacing w:before="20" w:after="20"/>
              <w:jc w:val="left"/>
            </w:pPr>
            <w:r>
              <w:rPr>
                <w:sz w:val="17"/>
              </w:rPr>
              <w:t>"</w:t>
            </w:r>
            <w:r>
              <w:rPr>
                <w:b/>
                <w:sz w:val="17"/>
              </w:rPr>
              <w:t>DHRM's 6% is corroborated</w:t>
            </w:r>
            <w:r>
              <w:rPr>
                <w:sz w:val="17"/>
              </w:rPr>
              <w:t>" by the BLS-derived 5.75% (</w:t>
            </w:r>
            <w:r>
              <w:rPr>
                <w:rFonts w:ascii="Consolas" w:hAnsi="Consolas"/>
                <w:color w:val="303030"/>
                <w:sz w:val="18"/>
              </w:rPr>
              <w:t>01</w:t>
            </w:r>
            <w:r>
              <w:rPr>
                <w:sz w:val="17"/>
              </w:rPr>
              <w:t xml:space="preserve">; </w:t>
            </w:r>
            <w:r>
              <w:rPr>
                <w:rFonts w:ascii="Consolas" w:hAnsi="Consolas"/>
                <w:color w:val="303030"/>
                <w:sz w:val="18"/>
              </w:rPr>
              <w:t>04</w:t>
            </w:r>
            <w:r>
              <w:rPr>
                <w:sz w:val="17"/>
              </w:rPr>
              <w:t xml:space="preserve"> § 1.4: "the cheapest credibility the package can buy"). The two figures measure different universes — a Virginia </w:t>
            </w:r>
            <w:r>
              <w:rPr>
                <w:b/>
                <w:sz w:val="17"/>
              </w:rPr>
              <w:t>state agency</w:t>
            </w:r>
            <w:r>
              <w:rPr>
                <w:sz w:val="17"/>
              </w:rPr>
              <w:t xml:space="preserve"> self-identification field versus the veteran share of </w:t>
            </w:r>
            <w:r>
              <w:rPr>
                <w:b/>
                <w:sz w:val="17"/>
              </w:rPr>
              <w:t>all U.S. state and local government</w:t>
            </w:r>
            <w:r>
              <w:rPr>
                <w:sz w:val="17"/>
              </w:rPr>
              <w:t xml:space="preserve"> workers, a universe that includes public school teachers at 2.3%. Agreement within 0.25 pp across different universes is a coincidence, not corroboration.</w:t>
            </w:r>
          </w:p>
        </w:tc>
        <w:tc>
          <w:tcPr>
            <w:tcW w:type="dxa" w:w="1234"/>
          </w:tcPr>
          <w:p>
            <w:pPr>
              <w:spacing w:before="20" w:after="20"/>
              <w:jc w:val="left"/>
            </w:pPr>
            <w:r>
              <w:rPr>
                <w:sz w:val="17"/>
              </w:rPr>
              <w:t xml:space="preserve">The package's own Virginia uplift factor is </w:t>
            </w:r>
            <w:r>
              <w:rPr>
                <w:b/>
                <w:sz w:val="17"/>
              </w:rPr>
              <w:t>1.726×</w:t>
            </w:r>
            <w:r>
              <w:rPr>
                <w:sz w:val="17"/>
              </w:rPr>
              <w:t xml:space="preserve">. If Virginia's labour force is 1.73× as veteran-dense as the nation's, a Virginia public employer should sit </w:t>
            </w:r>
            <w:r>
              <w:rPr>
                <w:i/>
                <w:sz w:val="17"/>
              </w:rPr>
              <w:t>well above</w:t>
            </w:r>
            <w:r>
              <w:rPr>
                <w:sz w:val="17"/>
              </w:rPr>
              <w:t xml:space="preserve"> 5.75%. That a self-reported Virginia figure lands </w:t>
            </w:r>
            <w:r>
              <w:rPr>
                <w:i/>
                <w:sz w:val="17"/>
              </w:rPr>
              <w:t>at</w:t>
            </w:r>
            <w:r>
              <w:rPr>
                <w:sz w:val="17"/>
              </w:rPr>
              <w:t xml:space="preserve"> the national average is evidence that </w:t>
            </w:r>
            <w:r>
              <w:rPr>
                <w:b/>
                <w:sz w:val="17"/>
              </w:rPr>
              <w:t>self-identification under-reports</w:t>
            </w:r>
            <w:r>
              <w:rPr>
                <w:sz w:val="17"/>
              </w:rPr>
              <w:t xml:space="preserve"> — which the annex says in one sentence ("a floor, not a measurement") and then contradicts in the next. An opposing analyst uses the uplift factor to argue the proponents' own floor is wrong, with the proponents' own arithmetic.</w:t>
            </w:r>
          </w:p>
        </w:tc>
        <w:tc>
          <w:tcPr>
            <w:tcW w:type="dxa" w:w="1234"/>
          </w:tcPr>
          <w:p>
            <w:pPr>
              <w:spacing w:before="20" w:after="20"/>
              <w:jc w:val="left"/>
            </w:pPr>
            <w:r>
              <w:rPr>
                <w:rFonts w:ascii="Consolas" w:hAnsi="Consolas"/>
                <w:color w:val="303030"/>
                <w:sz w:val="18"/>
              </w:rPr>
              <w:t>04</w:t>
            </w:r>
            <w:r>
              <w:rPr>
                <w:sz w:val="17"/>
              </w:rPr>
              <w:t xml:space="preserve"> § 1.4; BLS </w:t>
            </w:r>
            <w:r>
              <w:rPr>
                <w:i/>
                <w:sz w:val="17"/>
              </w:rPr>
              <w:t>Employment Situation of Veterans</w:t>
            </w:r>
            <w:r>
              <w:rPr>
                <w:sz w:val="17"/>
              </w:rPr>
              <w:t xml:space="preserve"> Table 8, August 2025, </w:t>
            </w:r>
            <w:r>
              <w:rPr>
                <w:b/>
                <w:sz w:val="17"/>
              </w:rPr>
              <w:t>verified</w:t>
            </w:r>
            <w:r>
              <w:rPr>
                <w:sz w:val="17"/>
              </w:rPr>
              <w:t>: "Employed people 18 years and over by veteran status … and class of worker," veterans total 12.9% of 7,893k, nonveterans 10.9% of 153,213k → 5.746%. Tables 6A/6B uplift 1.726×.</w:t>
            </w:r>
          </w:p>
        </w:tc>
        <w:tc>
          <w:tcPr>
            <w:tcW w:type="dxa" w:w="1234"/>
          </w:tcPr>
          <w:p>
            <w:pPr>
              <w:spacing w:before="20" w:after="20"/>
              <w:jc w:val="left"/>
            </w:pPr>
            <w:r>
              <w:rPr>
                <w:sz w:val="17"/>
              </w:rPr>
              <w:t>Keep both figures; drop the word "corroborated." Say: "two instruments with different universes land in the same range, 5.75% and 6.0%; we use 6.0% as a floor because self-identification under-reports, and the Virginia uplift is why the ceiling is 9.9%." Same facts, no claim that breaks.</w:t>
            </w:r>
          </w:p>
        </w:tc>
      </w:tr>
      <w:tr>
        <w:tc>
          <w:tcPr>
            <w:tcW w:type="dxa" w:w="1234"/>
          </w:tcPr>
          <w:p>
            <w:pPr>
              <w:spacing w:before="20" w:after="20"/>
              <w:jc w:val="left"/>
            </w:pPr>
            <w:r>
              <w:rPr>
                <w:b/>
                <w:sz w:val="17"/>
              </w:rPr>
              <w:t>M-7</w:t>
            </w:r>
          </w:p>
        </w:tc>
        <w:tc>
          <w:tcPr>
            <w:tcW w:type="dxa" w:w="1234"/>
          </w:tcPr>
          <w:p>
            <w:pPr>
              <w:spacing w:before="20" w:after="20"/>
              <w:jc w:val="left"/>
            </w:pPr>
            <w:r>
              <w:rPr>
                <w:sz w:val="17"/>
              </w:rPr>
              <w:t>Moderate</w:t>
            </w:r>
          </w:p>
        </w:tc>
        <w:tc>
          <w:tcPr>
            <w:tcW w:type="dxa" w:w="1234"/>
          </w:tcPr>
          <w:p>
            <w:pPr>
              <w:spacing w:before="20" w:after="20"/>
              <w:jc w:val="left"/>
            </w:pPr>
            <w:r>
              <w:rPr>
                <w:sz w:val="17"/>
              </w:rPr>
              <w:t>drafting — no-spillover clause overshoots</w:t>
            </w:r>
          </w:p>
        </w:tc>
        <w:tc>
          <w:tcPr>
            <w:tcW w:type="dxa" w:w="1234"/>
          </w:tcPr>
          <w:p>
            <w:pPr>
              <w:spacing w:before="20" w:after="20"/>
              <w:jc w:val="left"/>
            </w:pPr>
            <w:r>
              <w:rPr>
                <w:sz w:val="17"/>
              </w:rPr>
              <w:t xml:space="preserve">Enactment clause 2 (v): "nothing in this act shall be construed to alter the </w:t>
            </w:r>
            <w:r>
              <w:rPr>
                <w:b/>
                <w:sz w:val="17"/>
              </w:rPr>
              <w:t>eligibility requirements for</w:t>
            </w:r>
            <w:r>
              <w:rPr>
                <w:sz w:val="17"/>
              </w:rPr>
              <w:t xml:space="preserve"> … a partial lump-sum option payment under § 51.1-165.01." The bill's intended and priced effect is to move the member's unreduced-eligibility date earlier. PLOP eligibility is measured </w:t>
            </w:r>
            <w:r>
              <w:rPr>
                <w:b/>
                <w:sz w:val="17"/>
              </w:rPr>
              <w:t>from</w:t>
            </w:r>
            <w:r>
              <w:rPr>
                <w:sz w:val="17"/>
              </w:rPr>
              <w:t xml:space="preserve"> that date.</w:t>
            </w:r>
          </w:p>
        </w:tc>
        <w:tc>
          <w:tcPr>
            <w:tcW w:type="dxa" w:w="1234"/>
          </w:tcPr>
          <w:p>
            <w:pPr>
              <w:spacing w:before="20" w:after="20"/>
              <w:jc w:val="left"/>
            </w:pPr>
            <w:r>
              <w:rPr>
                <w:sz w:val="17"/>
              </w:rPr>
              <w:t>VRS reads clause 2 (v) as requiring PLOP eligibility to be tested against the date the member would have reached without the purchased credit — defeating, for PLOP, exactly the acceleration the bill intends and the actuary priced. A member denied PLOP litigates on the clause's plain words. The clause intended to protect the active-service gates instead freezes the date.</w:t>
            </w:r>
          </w:p>
        </w:tc>
        <w:tc>
          <w:tcPr>
            <w:tcW w:type="dxa" w:w="1234"/>
          </w:tcPr>
          <w:p>
            <w:pPr>
              <w:spacing w:before="20" w:after="20"/>
              <w:jc w:val="left"/>
            </w:pPr>
            <w:r>
              <w:rPr>
                <w:sz w:val="17"/>
              </w:rPr>
              <w:t>Annex A § 2.4 clause 2 (v); § 51.1-165.01 B (</w:t>
            </w:r>
            <w:r>
              <w:rPr>
                <w:b/>
                <w:sz w:val="17"/>
              </w:rPr>
              <w:t>verified</w:t>
            </w:r>
            <w:r>
              <w:rPr>
                <w:sz w:val="17"/>
              </w:rPr>
              <w:t xml:space="preserve">: each tier requires creditable service </w:t>
            </w:r>
            <w:r>
              <w:rPr>
                <w:i/>
                <w:sz w:val="17"/>
              </w:rPr>
              <w:t>performed</w:t>
            </w:r>
            <w:r>
              <w:rPr>
                <w:sz w:val="17"/>
              </w:rPr>
              <w:t xml:space="preserve"> after first eligibility for an unreduced allowance </w:t>
            </w:r>
            <w:r>
              <w:rPr>
                <w:b/>
                <w:sz w:val="17"/>
              </w:rPr>
              <w:t>and</w:t>
            </w:r>
            <w:r>
              <w:rPr>
                <w:sz w:val="17"/>
              </w:rPr>
              <w:t xml:space="preserve"> being "in service" 1, 2 or 3 full years after January 1, 2001).</w:t>
            </w:r>
          </w:p>
        </w:tc>
        <w:tc>
          <w:tcPr>
            <w:tcW w:type="dxa" w:w="1234"/>
          </w:tcPr>
          <w:p>
            <w:pPr>
              <w:spacing w:before="20" w:after="20"/>
              <w:jc w:val="left"/>
            </w:pPr>
            <w:r>
              <w:rPr>
                <w:sz w:val="17"/>
              </w:rPr>
              <w:t xml:space="preserve">Narrow it to the gates, not the date: "(v) the requirement in § 51.1-165.01 B that creditable service be </w:t>
            </w:r>
            <w:r>
              <w:rPr>
                <w:b/>
                <w:sz w:val="17"/>
              </w:rPr>
              <w:t>performed</w:t>
            </w:r>
            <w:r>
              <w:rPr>
                <w:sz w:val="17"/>
              </w:rPr>
              <w:t xml:space="preserve">, and that the member be </w:t>
            </w:r>
            <w:r>
              <w:rPr>
                <w:b/>
                <w:sz w:val="17"/>
              </w:rPr>
              <w:t>in service</w:t>
            </w:r>
            <w:r>
              <w:rPr>
                <w:sz w:val="17"/>
              </w:rPr>
              <w:t>, after the date the member first becomes eligible for an unreduced service retirement allowance."</w:t>
            </w:r>
          </w:p>
        </w:tc>
      </w:tr>
      <w:tr>
        <w:tc>
          <w:tcPr>
            <w:tcW w:type="dxa" w:w="1234"/>
          </w:tcPr>
          <w:p>
            <w:pPr>
              <w:spacing w:before="20" w:after="20"/>
              <w:jc w:val="left"/>
            </w:pPr>
            <w:r>
              <w:rPr>
                <w:b/>
                <w:sz w:val="17"/>
              </w:rPr>
              <w:t>M-8</w:t>
            </w:r>
          </w:p>
        </w:tc>
        <w:tc>
          <w:tcPr>
            <w:tcW w:type="dxa" w:w="1234"/>
          </w:tcPr>
          <w:p>
            <w:pPr>
              <w:spacing w:before="20" w:after="20"/>
              <w:jc w:val="left"/>
            </w:pPr>
            <w:r>
              <w:rPr>
                <w:sz w:val="17"/>
              </w:rPr>
              <w:t>Moderate</w:t>
            </w:r>
          </w:p>
        </w:tc>
        <w:tc>
          <w:tcPr>
            <w:tcW w:type="dxa" w:w="1234"/>
          </w:tcPr>
          <w:p>
            <w:pPr>
              <w:spacing w:before="20" w:after="20"/>
              <w:jc w:val="left"/>
            </w:pPr>
            <w:r>
              <w:rPr>
                <w:sz w:val="17"/>
              </w:rPr>
              <w:t>drafting — half a sentence preserved</w:t>
            </w:r>
          </w:p>
        </w:tc>
        <w:tc>
          <w:tcPr>
            <w:tcW w:type="dxa" w:w="1234"/>
          </w:tcPr>
          <w:p>
            <w:pPr>
              <w:spacing w:before="20" w:after="20"/>
              <w:jc w:val="left"/>
            </w:pPr>
            <w:r>
              <w:rPr>
                <w:sz w:val="17"/>
              </w:rPr>
              <w:t xml:space="preserve">Enactment clause 2 (vi) reaffirms only the </w:t>
            </w:r>
            <w:r>
              <w:rPr>
                <w:i/>
                <w:sz w:val="17"/>
              </w:rPr>
              <w:t>first</w:t>
            </w:r>
            <w:r>
              <w:rPr>
                <w:sz w:val="17"/>
              </w:rPr>
              <w:t xml:space="preserve"> limb of the anti-duplication sentence ("included in the calculation of any retirement allowance…") and omits the second ("</w:t>
            </w:r>
            <w:r>
              <w:rPr>
                <w:b/>
                <w:sz w:val="17"/>
              </w:rPr>
              <w:t>or if there is a balance in a defined contribution account that serves as a primary retirement account related to such service</w:t>
            </w:r>
            <w:r>
              <w:rPr>
                <w:sz w:val="17"/>
              </w:rPr>
              <w:t>").</w:t>
            </w:r>
          </w:p>
        </w:tc>
        <w:tc>
          <w:tcPr>
            <w:tcW w:type="dxa" w:w="1234"/>
          </w:tcPr>
          <w:p>
            <w:pPr>
              <w:spacing w:before="20" w:after="20"/>
              <w:jc w:val="left"/>
            </w:pPr>
            <w:r>
              <w:rPr>
                <w:sz w:val="17"/>
              </w:rPr>
              <w:t>Expressio unius: a member argues that by reaffirming one limb and not the other, the General Assembly meant the omitted limb not to apply to subdivision B 2 purchases. The clause drafted to prevent spillover becomes the argument for it. See also S-4 — the same omission runs through the whole package.</w:t>
            </w:r>
          </w:p>
        </w:tc>
        <w:tc>
          <w:tcPr>
            <w:tcW w:type="dxa" w:w="1234"/>
          </w:tcPr>
          <w:p>
            <w:pPr>
              <w:spacing w:before="20" w:after="20"/>
              <w:jc w:val="left"/>
            </w:pPr>
            <w:r>
              <w:rPr>
                <w:sz w:val="17"/>
              </w:rPr>
              <w:t>§ 51.1-142.2 B 3, verified verbatim; Annex A § 2.4 clause 2 (vi), § 4 ("anti-duplication sentence"), § 8.7.</w:t>
            </w:r>
          </w:p>
        </w:tc>
        <w:tc>
          <w:tcPr>
            <w:tcW w:type="dxa" w:w="1234"/>
          </w:tcPr>
          <w:p>
            <w:pPr>
              <w:spacing w:before="20" w:after="20"/>
              <w:jc w:val="left"/>
            </w:pPr>
            <w:r>
              <w:rPr>
                <w:sz w:val="17"/>
              </w:rPr>
              <w:t>Quote the whole sentence in clause 2 (vi), or strike clause 2 (vi) and rely on the fact that the amendment does not touch it. Do not reaffirm half of a sentence.</w:t>
            </w:r>
          </w:p>
        </w:tc>
      </w:tr>
      <w:tr>
        <w:tc>
          <w:tcPr>
            <w:tcW w:type="dxa" w:w="1234"/>
          </w:tcPr>
          <w:p>
            <w:pPr>
              <w:spacing w:before="20" w:after="20"/>
              <w:jc w:val="left"/>
            </w:pPr>
            <w:r>
              <w:rPr>
                <w:b/>
                <w:sz w:val="17"/>
              </w:rPr>
              <w:t>M-9</w:t>
            </w:r>
          </w:p>
        </w:tc>
        <w:tc>
          <w:tcPr>
            <w:tcW w:type="dxa" w:w="1234"/>
          </w:tcPr>
          <w:p>
            <w:pPr>
              <w:spacing w:before="20" w:after="20"/>
              <w:jc w:val="left"/>
            </w:pPr>
            <w:r>
              <w:rPr>
                <w:sz w:val="17"/>
              </w:rPr>
              <w:t>Moderate</w:t>
            </w:r>
          </w:p>
        </w:tc>
        <w:tc>
          <w:tcPr>
            <w:tcW w:type="dxa" w:w="1234"/>
          </w:tcPr>
          <w:p>
            <w:pPr>
              <w:spacing w:before="20" w:after="20"/>
              <w:jc w:val="left"/>
            </w:pPr>
            <w:r>
              <w:rPr>
                <w:sz w:val="17"/>
              </w:rPr>
              <w:t>drafting — indeterminate classifier</w:t>
            </w:r>
          </w:p>
        </w:tc>
        <w:tc>
          <w:tcPr>
            <w:tcW w:type="dxa" w:w="1234"/>
          </w:tcPr>
          <w:p>
            <w:pPr>
              <w:spacing w:before="20" w:after="20"/>
              <w:jc w:val="left"/>
            </w:pPr>
            <w:r>
              <w:rPr>
                <w:sz w:val="17"/>
              </w:rPr>
              <w:t xml:space="preserve">Schedule factor (ii) lets the Board grade by "the period remaining until the date on which the member </w:t>
            </w:r>
            <w:r>
              <w:rPr>
                <w:b/>
                <w:sz w:val="17"/>
              </w:rPr>
              <w:t>would first become eligible</w:t>
            </w:r>
            <w:r>
              <w:rPr>
                <w:sz w:val="17"/>
              </w:rPr>
              <w:t xml:space="preserve"> for an unreduced service retirement allowance." Under the Rule of 90 that date depends on continuing to work, so at the moment of purchase it is a projection, not a fact — while the same sentence requires the schedule to "apply </w:t>
            </w:r>
            <w:r>
              <w:rPr>
                <w:b/>
                <w:sz w:val="17"/>
              </w:rPr>
              <w:t>uniformly</w:t>
            </w:r>
            <w:r>
              <w:rPr>
                <w:sz w:val="17"/>
              </w:rPr>
              <w:t xml:space="preserve"> to all members within the same classification."</w:t>
            </w:r>
          </w:p>
        </w:tc>
        <w:tc>
          <w:tcPr>
            <w:tcW w:type="dxa" w:w="1234"/>
          </w:tcPr>
          <w:p>
            <w:pPr>
              <w:spacing w:before="20" w:after="20"/>
              <w:jc w:val="left"/>
            </w:pPr>
            <w:r>
              <w:rPr>
                <w:sz w:val="17"/>
              </w:rPr>
              <w:t>Two members, identical age and creditable service, are classified into different rate bands because one is assumed to continue in service and the other is not. The member in the higher band challenges the schedule as non-uniform, using the statute's own uniformity requirement.</w:t>
            </w:r>
          </w:p>
        </w:tc>
        <w:tc>
          <w:tcPr>
            <w:tcW w:type="dxa" w:w="1234"/>
          </w:tcPr>
          <w:p>
            <w:pPr>
              <w:spacing w:before="20" w:after="20"/>
              <w:jc w:val="left"/>
            </w:pPr>
            <w:r>
              <w:rPr>
                <w:sz w:val="17"/>
              </w:rPr>
              <w:t>Annex A § 2.2 factor (ii) and the uniformity sentence; § 51.1-153 B 3 (Rule of 90 verified: "after the sum of his age and years of creditable service equals 90").</w:t>
            </w:r>
          </w:p>
        </w:tc>
        <w:tc>
          <w:tcPr>
            <w:tcW w:type="dxa" w:w="1234"/>
          </w:tcPr>
          <w:p>
            <w:pPr>
              <w:spacing w:before="20" w:after="20"/>
              <w:jc w:val="left"/>
            </w:pPr>
            <w:r>
              <w:rPr>
                <w:sz w:val="17"/>
              </w:rPr>
              <w:t>Add the assumption to the grant: "…determined on the assumption of continuous creditable service from the date of purchase." One clause, and the uniformity requirement becomes satisfiable.</w:t>
            </w:r>
          </w:p>
        </w:tc>
      </w:tr>
      <w:tr>
        <w:tc>
          <w:tcPr>
            <w:tcW w:type="dxa" w:w="1234"/>
          </w:tcPr>
          <w:p>
            <w:pPr>
              <w:spacing w:before="20" w:after="20"/>
              <w:jc w:val="left"/>
            </w:pPr>
            <w:r>
              <w:rPr>
                <w:b/>
                <w:sz w:val="17"/>
              </w:rPr>
              <w:t>M-10</w:t>
            </w:r>
          </w:p>
        </w:tc>
        <w:tc>
          <w:tcPr>
            <w:tcW w:type="dxa" w:w="1234"/>
          </w:tcPr>
          <w:p>
            <w:pPr>
              <w:spacing w:before="20" w:after="20"/>
              <w:jc w:val="left"/>
            </w:pPr>
            <w:r>
              <w:rPr>
                <w:sz w:val="17"/>
              </w:rPr>
              <w:t>Moderate</w:t>
            </w:r>
          </w:p>
        </w:tc>
        <w:tc>
          <w:tcPr>
            <w:tcW w:type="dxa" w:w="1234"/>
          </w:tcPr>
          <w:p>
            <w:pPr>
              <w:spacing w:before="20" w:after="20"/>
              <w:jc w:val="left"/>
            </w:pPr>
            <w:r>
              <w:rPr>
                <w:sz w:val="17"/>
              </w:rPr>
              <w:t>administrability of the member's protection</w:t>
            </w:r>
          </w:p>
        </w:tc>
        <w:tc>
          <w:tcPr>
            <w:tcW w:type="dxa" w:w="1234"/>
          </w:tcPr>
          <w:p>
            <w:pPr>
              <w:spacing w:before="20" w:after="20"/>
              <w:jc w:val="left"/>
            </w:pPr>
            <w:r>
              <w:rPr>
                <w:sz w:val="17"/>
              </w:rPr>
              <w:t xml:space="preserve">The new ceiling — "shall not require payment of an amount exceeding the </w:t>
            </w:r>
            <w:r>
              <w:rPr>
                <w:b/>
                <w:sz w:val="17"/>
              </w:rPr>
              <w:t>actuarial equivalent cost</w:t>
            </w:r>
            <w:r>
              <w:rPr>
                <w:sz w:val="17"/>
              </w:rPr>
              <w:t xml:space="preserve"> of the service credit purchased" — is the provision Annex A § 2.5 relies on to promise veterans "the rate is knowable in advance and capped." VRS </w:t>
            </w:r>
            <w:r>
              <w:rPr>
                <w:b/>
                <w:sz w:val="17"/>
              </w:rPr>
              <w:t>does not publish</w:t>
            </w:r>
            <w:r>
              <w:rPr>
                <w:sz w:val="17"/>
              </w:rPr>
              <w:t xml:space="preserve"> actuarial equivalent cost.</w:t>
            </w:r>
          </w:p>
        </w:tc>
        <w:tc>
          <w:tcPr>
            <w:tcW w:type="dxa" w:w="1234"/>
          </w:tcPr>
          <w:p>
            <w:pPr>
              <w:spacing w:before="20" w:after="20"/>
              <w:jc w:val="left"/>
            </w:pPr>
            <w:r>
              <w:rPr>
                <w:sz w:val="17"/>
              </w:rPr>
              <w:t>A veteran is quoted a graded rate, wants to confirm it does not exceed the statutory ceiling, and finds that the ceiling is defined by a figure that exists only in the Plan Actuary's files. The protection is real in law and unverifiable in practice; the promise made in advocacy materials is not deliverable.</w:t>
            </w:r>
          </w:p>
        </w:tc>
        <w:tc>
          <w:tcPr>
            <w:tcW w:type="dxa" w:w="1234"/>
          </w:tcPr>
          <w:p>
            <w:pPr>
              <w:spacing w:before="20" w:after="20"/>
              <w:jc w:val="left"/>
            </w:pPr>
            <w:r>
              <w:rPr>
                <w:rFonts w:ascii="Consolas" w:hAnsi="Consolas"/>
                <w:color w:val="303030"/>
                <w:sz w:val="18"/>
              </w:rPr>
              <w:t>04</w:t>
            </w:r>
            <w:r>
              <w:rPr>
                <w:sz w:val="17"/>
              </w:rPr>
              <w:t xml:space="preserve"> FM-2 § 2.1 (published charts say only "Actuarial Cost"; no factor table) and § 2.2 (VRS Board minutes, June 18, 2025: "the actuarial equivalent cost rates are developed by the Plan Actuary based on the assumptions and demographic data from the prior year valuations").</w:t>
            </w:r>
          </w:p>
        </w:tc>
        <w:tc>
          <w:tcPr>
            <w:tcW w:type="dxa" w:w="1234"/>
          </w:tcPr>
          <w:p>
            <w:pPr>
              <w:spacing w:before="20" w:after="20"/>
              <w:jc w:val="left"/>
            </w:pPr>
            <w:r>
              <w:rPr>
                <w:sz w:val="17"/>
              </w:rPr>
              <w:t>Make the ceiling inspectable: add "The Board shall publish, with any schedule adopted pursuant to this paragraph, the basis on which the actuarial equivalent cost ceiling is determined." This also closes FM-2 and item 8 of the data request by statute rather than by request. A genuinely good trade.</w:t>
            </w:r>
          </w:p>
        </w:tc>
      </w:tr>
      <w:tr>
        <w:tc>
          <w:tcPr>
            <w:tcW w:type="dxa" w:w="1234"/>
          </w:tcPr>
          <w:p>
            <w:pPr>
              <w:spacing w:before="20" w:after="20"/>
              <w:jc w:val="left"/>
            </w:pPr>
            <w:r>
              <w:rPr>
                <w:b/>
                <w:sz w:val="17"/>
              </w:rPr>
              <w:t>m-1</w:t>
            </w:r>
          </w:p>
        </w:tc>
        <w:tc>
          <w:tcPr>
            <w:tcW w:type="dxa" w:w="1234"/>
          </w:tcPr>
          <w:p>
            <w:pPr>
              <w:spacing w:before="20" w:after="20"/>
              <w:jc w:val="left"/>
            </w:pPr>
            <w:r>
              <w:rPr>
                <w:sz w:val="17"/>
              </w:rPr>
              <w:t>Minor</w:t>
            </w:r>
          </w:p>
        </w:tc>
        <w:tc>
          <w:tcPr>
            <w:tcW w:type="dxa" w:w="1234"/>
          </w:tcPr>
          <w:p>
            <w:pPr>
              <w:spacing w:before="20" w:after="20"/>
              <w:jc w:val="left"/>
            </w:pPr>
            <w:r>
              <w:rPr>
                <w:sz w:val="17"/>
              </w:rPr>
              <w:t>scope mislabel</w:t>
            </w:r>
          </w:p>
        </w:tc>
        <w:tc>
          <w:tcPr>
            <w:tcW w:type="dxa" w:w="1234"/>
          </w:tcPr>
          <w:p>
            <w:pPr>
              <w:spacing w:before="20" w:after="20"/>
              <w:jc w:val="left"/>
            </w:pPr>
            <w:r>
              <w:rPr>
                <w:rFonts w:ascii="Consolas" w:hAnsi="Consolas"/>
                <w:color w:val="303030"/>
                <w:sz w:val="18"/>
              </w:rPr>
              <w:t>00</w:t>
            </w:r>
            <w:r>
              <w:rPr>
                <w:sz w:val="17"/>
              </w:rPr>
              <w:t xml:space="preserve">'s title and opening line say "veteran </w:t>
            </w:r>
            <w:r>
              <w:rPr>
                <w:b/>
                <w:sz w:val="17"/>
              </w:rPr>
              <w:t>state employees</w:t>
            </w:r>
            <w:r>
              <w:rPr>
                <w:sz w:val="17"/>
              </w:rPr>
              <w:t xml:space="preserve">" and "Veterans </w:t>
            </w:r>
            <w:r>
              <w:rPr>
                <w:b/>
                <w:sz w:val="17"/>
              </w:rPr>
              <w:t>on the state payroll</w:t>
            </w:r>
            <w:r>
              <w:rPr>
                <w:sz w:val="17"/>
              </w:rPr>
              <w:t>." The bill covers all VRS members, and the political-subdivision bucket is the largest cost line. Compounds F-1.</w:t>
            </w:r>
          </w:p>
        </w:tc>
        <w:tc>
          <w:tcPr>
            <w:tcW w:type="dxa" w:w="1234"/>
          </w:tcPr>
          <w:p>
            <w:pPr>
              <w:spacing w:before="20" w:after="20"/>
              <w:jc w:val="left"/>
            </w:pPr>
            <w:r>
              <w:rPr>
                <w:sz w:val="17"/>
              </w:rPr>
              <w:t>A VACo analyst reads the title, concludes the bill does not reach counties, finds the exposure table later, and treats the title as deliberate.</w:t>
            </w:r>
          </w:p>
        </w:tc>
        <w:tc>
          <w:tcPr>
            <w:tcW w:type="dxa" w:w="1234"/>
          </w:tcPr>
          <w:p>
            <w:pPr>
              <w:spacing w:before="20" w:after="20"/>
              <w:jc w:val="left"/>
            </w:pPr>
            <w:r>
              <w:rPr>
                <w:rFonts w:ascii="Consolas" w:hAnsi="Consolas"/>
                <w:color w:val="303030"/>
                <w:sz w:val="18"/>
              </w:rPr>
              <w:t>00</w:t>
            </w:r>
            <w:r>
              <w:rPr>
                <w:sz w:val="17"/>
              </w:rPr>
              <w:t xml:space="preserve"> lines 14, 31; </w:t>
            </w:r>
            <w:r>
              <w:rPr>
                <w:rFonts w:ascii="Consolas" w:hAnsi="Consolas"/>
                <w:color w:val="303030"/>
                <w:sz w:val="18"/>
              </w:rPr>
              <w:t>01</w:t>
            </w:r>
            <w:r>
              <w:rPr>
                <w:sz w:val="17"/>
              </w:rPr>
              <w:t xml:space="preserve"> line 12; </w:t>
            </w:r>
            <w:r>
              <w:rPr>
                <w:rFonts w:ascii="Consolas" w:hAnsi="Consolas"/>
                <w:color w:val="303030"/>
                <w:sz w:val="18"/>
              </w:rPr>
              <w:t>04</w:t>
            </w:r>
            <w:r>
              <w:rPr>
                <w:sz w:val="17"/>
              </w:rPr>
              <w:t xml:space="preserve"> § 4.7.</w:t>
            </w:r>
          </w:p>
        </w:tc>
        <w:tc>
          <w:tcPr>
            <w:tcW w:type="dxa" w:w="1234"/>
          </w:tcPr>
          <w:p>
            <w:pPr>
              <w:spacing w:before="20" w:after="20"/>
              <w:jc w:val="left"/>
            </w:pPr>
            <w:r>
              <w:rPr>
                <w:sz w:val="17"/>
              </w:rPr>
              <w:t>"veteran public employees — state, school division and local."</w:t>
            </w:r>
          </w:p>
        </w:tc>
      </w:tr>
      <w:tr>
        <w:tc>
          <w:tcPr>
            <w:tcW w:type="dxa" w:w="1234"/>
          </w:tcPr>
          <w:p>
            <w:pPr>
              <w:spacing w:before="20" w:after="20"/>
              <w:jc w:val="left"/>
            </w:pPr>
            <w:r>
              <w:rPr>
                <w:b/>
                <w:sz w:val="17"/>
              </w:rPr>
              <w:t>m-2</w:t>
            </w:r>
          </w:p>
        </w:tc>
        <w:tc>
          <w:tcPr>
            <w:tcW w:type="dxa" w:w="1234"/>
          </w:tcPr>
          <w:p>
            <w:pPr>
              <w:spacing w:before="20" w:after="20"/>
              <w:jc w:val="left"/>
            </w:pPr>
            <w:r>
              <w:rPr>
                <w:sz w:val="17"/>
              </w:rPr>
              <w:t>Minor</w:t>
            </w:r>
          </w:p>
        </w:tc>
        <w:tc>
          <w:tcPr>
            <w:tcW w:type="dxa" w:w="1234"/>
          </w:tcPr>
          <w:p>
            <w:pPr>
              <w:spacing w:before="20" w:after="20"/>
              <w:jc w:val="left"/>
            </w:pPr>
            <w:r>
              <w:rPr>
                <w:sz w:val="17"/>
              </w:rPr>
              <w:t>regression of a known correction</w:t>
            </w:r>
          </w:p>
        </w:tc>
        <w:tc>
          <w:tcPr>
            <w:tcW w:type="dxa" w:w="1234"/>
          </w:tcPr>
          <w:p>
            <w:pPr>
              <w:spacing w:before="20" w:after="20"/>
              <w:jc w:val="left"/>
            </w:pPr>
            <w:r>
              <w:rPr>
                <w:rFonts w:ascii="Consolas" w:hAnsi="Consolas"/>
                <w:color w:val="303030"/>
                <w:sz w:val="18"/>
              </w:rPr>
              <w:t>00</w:t>
            </w:r>
            <w:r>
              <w:rPr>
                <w:sz w:val="17"/>
              </w:rPr>
              <w:t>: "</w:t>
            </w:r>
            <w:r>
              <w:rPr>
                <w:b/>
                <w:sz w:val="17"/>
              </w:rPr>
              <w:t>Everyone hired since 2014 is in the Hybrid plan.</w:t>
            </w:r>
            <w:r>
              <w:rPr>
                <w:sz w:val="17"/>
              </w:rPr>
              <w:t xml:space="preserve">" This is the exact error </w:t>
            </w:r>
            <w:r>
              <w:rPr>
                <w:rFonts w:ascii="Consolas" w:hAnsi="Consolas"/>
                <w:color w:val="303030"/>
                <w:sz w:val="18"/>
              </w:rPr>
              <w:t>04</w:t>
            </w:r>
            <w:r>
              <w:rPr>
                <w:sz w:val="17"/>
              </w:rPr>
              <w:t xml:space="preserve"> § 1.3 told MOO-288 to correct, and </w:t>
            </w:r>
            <w:r>
              <w:rPr>
                <w:rFonts w:ascii="Consolas" w:hAnsi="Consolas"/>
                <w:color w:val="303030"/>
                <w:sz w:val="18"/>
              </w:rPr>
              <w:t>01</w:t>
            </w:r>
            <w:r>
              <w:rPr>
                <w:sz w:val="17"/>
              </w:rPr>
              <w:t xml:space="preserve"> line 65 does correct it. Hazardous-duty members hired after 12/31/2013 are in </w:t>
            </w:r>
            <w:r>
              <w:rPr>
                <w:b/>
                <w:sz w:val="17"/>
              </w:rPr>
              <w:t>Plan 2</w:t>
            </w:r>
            <w:r>
              <w:rPr>
                <w:sz w:val="17"/>
              </w:rPr>
              <w:t>, as are judges with an original term on or after July 1, 2026.</w:t>
            </w:r>
          </w:p>
        </w:tc>
        <w:tc>
          <w:tcPr>
            <w:tcW w:type="dxa" w:w="1234"/>
          </w:tcPr>
          <w:p>
            <w:pPr>
              <w:spacing w:before="20" w:after="20"/>
              <w:jc w:val="left"/>
            </w:pPr>
            <w:r>
              <w:rPr>
                <w:sz w:val="17"/>
              </w:rPr>
              <w:t>A VaLORS officer reads the leave-behind, concludes the "1% of pay" Hybrid reasoning applies to them, and is told at the window that their rate is 19.15%.</w:t>
            </w:r>
          </w:p>
        </w:tc>
        <w:tc>
          <w:tcPr>
            <w:tcW w:type="dxa" w:w="1234"/>
          </w:tcPr>
          <w:p>
            <w:pPr>
              <w:spacing w:before="20" w:after="20"/>
              <w:jc w:val="left"/>
            </w:pPr>
            <w:r>
              <w:rPr>
                <w:sz w:val="17"/>
              </w:rPr>
              <w:t xml:space="preserve">VRS ACFR FY2025 Fig. 2.10 (verbatim at </w:t>
            </w:r>
            <w:r>
              <w:rPr>
                <w:rFonts w:ascii="Consolas" w:hAnsi="Consolas"/>
                <w:color w:val="303030"/>
                <w:sz w:val="18"/>
              </w:rPr>
              <w:t>04</w:t>
            </w:r>
            <w:r>
              <w:rPr>
                <w:sz w:val="17"/>
              </w:rPr>
              <w:t xml:space="preserve"> § 1.3); § 51.1-169 A; 2026 Acts, SB 950.</w:t>
            </w:r>
          </w:p>
        </w:tc>
        <w:tc>
          <w:tcPr>
            <w:tcW w:type="dxa" w:w="1234"/>
          </w:tcPr>
          <w:p>
            <w:pPr>
              <w:spacing w:before="20" w:after="20"/>
              <w:jc w:val="left"/>
            </w:pPr>
            <w:r>
              <w:rPr>
                <w:sz w:val="17"/>
              </w:rPr>
              <w:t>"Nearly everyone hired since 2014 is in the Hybrid plan (hazardous-duty members and new judges are in Plan 2)."</w:t>
            </w:r>
          </w:p>
        </w:tc>
      </w:tr>
      <w:tr>
        <w:tc>
          <w:tcPr>
            <w:tcW w:type="dxa" w:w="1234"/>
          </w:tcPr>
          <w:p>
            <w:pPr>
              <w:spacing w:before="20" w:after="20"/>
              <w:jc w:val="left"/>
            </w:pPr>
            <w:r>
              <w:rPr>
                <w:b/>
                <w:sz w:val="17"/>
              </w:rPr>
              <w:t>m-3</w:t>
            </w:r>
          </w:p>
        </w:tc>
        <w:tc>
          <w:tcPr>
            <w:tcW w:type="dxa" w:w="1234"/>
          </w:tcPr>
          <w:p>
            <w:pPr>
              <w:spacing w:before="20" w:after="20"/>
              <w:jc w:val="left"/>
            </w:pPr>
            <w:r>
              <w:rPr>
                <w:sz w:val="17"/>
              </w:rPr>
              <w:t>Minor</w:t>
            </w:r>
          </w:p>
        </w:tc>
        <w:tc>
          <w:tcPr>
            <w:tcW w:type="dxa" w:w="1234"/>
          </w:tcPr>
          <w:p>
            <w:pPr>
              <w:spacing w:before="20" w:after="20"/>
              <w:jc w:val="left"/>
            </w:pPr>
            <w:r>
              <w:rPr>
                <w:sz w:val="17"/>
              </w:rPr>
              <w:t>drafting hygiene</w:t>
            </w:r>
          </w:p>
        </w:tc>
        <w:tc>
          <w:tcPr>
            <w:tcW w:type="dxa" w:w="1234"/>
          </w:tcPr>
          <w:p>
            <w:pPr>
              <w:spacing w:before="20" w:after="20"/>
              <w:jc w:val="left"/>
            </w:pPr>
            <w:r>
              <w:rPr>
                <w:sz w:val="17"/>
              </w:rPr>
              <w:t>§ 2.2 refers to "</w:t>
            </w:r>
            <w:r>
              <w:rPr>
                <w:b/>
                <w:sz w:val="17"/>
              </w:rPr>
              <w:t>subdivision 2</w:t>
            </w:r>
            <w:r>
              <w:rPr>
                <w:sz w:val="17"/>
              </w:rPr>
              <w:t>" five times while § 2.3 and Annex A § 8.1 use "</w:t>
            </w:r>
            <w:r>
              <w:rPr>
                <w:b/>
                <w:sz w:val="17"/>
              </w:rPr>
              <w:t>subdivision B 2</w:t>
            </w:r>
            <w:r>
              <w:rPr>
                <w:sz w:val="17"/>
              </w:rPr>
              <w:t>"; and the carve-out turns on "</w:t>
            </w:r>
            <w:r>
              <w:rPr>
                <w:b/>
                <w:sz w:val="17"/>
              </w:rPr>
              <w:t>the preceding sentence</w:t>
            </w:r>
            <w:r>
              <w:rPr>
                <w:sz w:val="17"/>
              </w:rPr>
              <w:t>," a positional referent that breaks if DLS reorders the paragraph or a later act inserts a sentence.</w:t>
            </w:r>
          </w:p>
        </w:tc>
        <w:tc>
          <w:tcPr>
            <w:tcW w:type="dxa" w:w="1234"/>
          </w:tcPr>
          <w:p>
            <w:pPr>
              <w:spacing w:before="20" w:after="20"/>
              <w:jc w:val="left"/>
            </w:pPr>
            <w:r>
              <w:rPr>
                <w:sz w:val="17"/>
              </w:rPr>
              <w:t>A 2031 amendment inserts a sentence into the paragraph and the carve-out silently attaches to the wrong one.</w:t>
            </w:r>
          </w:p>
        </w:tc>
        <w:tc>
          <w:tcPr>
            <w:tcW w:type="dxa" w:w="1234"/>
          </w:tcPr>
          <w:p>
            <w:pPr>
              <w:spacing w:before="20" w:after="20"/>
              <w:jc w:val="left"/>
            </w:pPr>
            <w:r>
              <w:rPr>
                <w:sz w:val="17"/>
              </w:rPr>
              <w:t>Annex A § 2.2 against § 2.3, § 8.1.</w:t>
            </w:r>
          </w:p>
        </w:tc>
        <w:tc>
          <w:tcPr>
            <w:tcW w:type="dxa" w:w="1234"/>
          </w:tcPr>
          <w:p>
            <w:pPr>
              <w:spacing w:before="20" w:after="20"/>
              <w:jc w:val="left"/>
            </w:pPr>
            <w:r>
              <w:rPr>
                <w:sz w:val="17"/>
              </w:rPr>
              <w:t>"subdivision B 2" throughout; replace "the preceding sentence" with an express reference, or fold the carve-out into the sentence as a proviso (see S-5, which does both).</w:t>
            </w:r>
          </w:p>
        </w:tc>
      </w:tr>
      <w:tr>
        <w:tc>
          <w:tcPr>
            <w:tcW w:type="dxa" w:w="1234"/>
          </w:tcPr>
          <w:p>
            <w:pPr>
              <w:spacing w:before="20" w:after="20"/>
              <w:jc w:val="left"/>
            </w:pPr>
            <w:r>
              <w:rPr>
                <w:b/>
                <w:sz w:val="17"/>
              </w:rPr>
              <w:t>m-4</w:t>
            </w:r>
          </w:p>
        </w:tc>
        <w:tc>
          <w:tcPr>
            <w:tcW w:type="dxa" w:w="1234"/>
          </w:tcPr>
          <w:p>
            <w:pPr>
              <w:spacing w:before="20" w:after="20"/>
              <w:jc w:val="left"/>
            </w:pPr>
            <w:r>
              <w:rPr>
                <w:sz w:val="17"/>
              </w:rPr>
              <w:t>Minor</w:t>
            </w:r>
          </w:p>
        </w:tc>
        <w:tc>
          <w:tcPr>
            <w:tcW w:type="dxa" w:w="1234"/>
          </w:tcPr>
          <w:p>
            <w:pPr>
              <w:spacing w:before="20" w:after="20"/>
              <w:jc w:val="left"/>
            </w:pPr>
            <w:r>
              <w:rPr>
                <w:sz w:val="17"/>
              </w:rPr>
              <w:t>derivation narrative</w:t>
            </w:r>
          </w:p>
        </w:tc>
        <w:tc>
          <w:tcPr>
            <w:tcW w:type="dxa" w:w="1234"/>
          </w:tcPr>
          <w:p>
            <w:pPr>
              <w:spacing w:before="20" w:after="20"/>
              <w:jc w:val="left"/>
            </w:pPr>
            <w:r>
              <w:rPr>
                <w:rFonts w:ascii="Consolas" w:hAnsi="Consolas"/>
                <w:color w:val="303030"/>
                <w:sz w:val="18"/>
              </w:rPr>
              <w:t>04</w:t>
            </w:r>
            <w:r>
              <w:rPr>
                <w:sz w:val="17"/>
              </w:rPr>
              <w:t xml:space="preserve"> § 1.5 labels the inside-the-window assumptions "low end: 40%… high end: 60%," immediately above a table whose columns are "Past window, </w:t>
            </w:r>
            <w:r>
              <w:rPr>
                <w:b/>
                <w:sz w:val="17"/>
              </w:rPr>
              <w:t>low</w:t>
            </w:r>
            <w:r>
              <w:rPr>
                <w:sz w:val="17"/>
              </w:rPr>
              <w:t xml:space="preserve"> / </w:t>
            </w:r>
            <w:r>
              <w:rPr>
                <w:b/>
                <w:sz w:val="17"/>
              </w:rPr>
              <w:t>high</w:t>
            </w:r>
            <w:r>
              <w:rPr>
                <w:sz w:val="17"/>
              </w:rPr>
              <w:t xml:space="preserve">." Read literally the bullets produce the opposite column: 40% inside → </w:t>
            </w:r>
            <w:r>
              <w:rPr>
                <w:i/>
                <w:sz w:val="17"/>
              </w:rPr>
              <w:t>more</w:t>
            </w:r>
            <w:r>
              <w:rPr>
                <w:sz w:val="17"/>
              </w:rPr>
              <w:t xml:space="preserve"> past the window. The model is internally consistent (</w:t>
            </w:r>
            <w:r>
              <w:rPr>
                <w:rFonts w:ascii="Consolas" w:hAnsi="Consolas"/>
                <w:color w:val="303030"/>
                <w:sz w:val="18"/>
              </w:rPr>
              <w:t>INSIDE_WINDOW_SHARE_OF_NONVESTED</w:t>
            </w:r>
            <w:r>
              <w:rPr>
                <w:sz w:val="17"/>
              </w:rPr>
              <w:t xml:space="preserve">, </w:t>
            </w:r>
            <w:r>
              <w:rPr>
                <w:rFonts w:ascii="Consolas" w:hAnsi="Consolas"/>
                <w:color w:val="303030"/>
                <w:sz w:val="18"/>
              </w:rPr>
              <w:t>past_window_hi = total - lo_in</w:t>
            </w:r>
            <w:r>
              <w:rPr>
                <w:sz w:val="17"/>
              </w:rPr>
              <w:t>); only the prose reads backwards, and the range endpoints are unaffected.</w:t>
            </w:r>
          </w:p>
        </w:tc>
        <w:tc>
          <w:tcPr>
            <w:tcW w:type="dxa" w:w="1234"/>
          </w:tcPr>
          <w:p>
            <w:pPr>
              <w:spacing w:before="20" w:after="20"/>
              <w:jc w:val="left"/>
            </w:pPr>
            <w:r>
              <w:rPr>
                <w:sz w:val="17"/>
              </w:rPr>
              <w:t>An actuary reads § 1.5, recomputes, gets 70,737 where the table says 64,531, and stops trusting the annex over a labelling choice.</w:t>
            </w:r>
          </w:p>
        </w:tc>
        <w:tc>
          <w:tcPr>
            <w:tcW w:type="dxa" w:w="1234"/>
          </w:tcPr>
          <w:p>
            <w:pPr>
              <w:spacing w:before="20" w:after="20"/>
              <w:jc w:val="left"/>
            </w:pPr>
            <w:r>
              <w:rPr>
                <w:rFonts w:ascii="Consolas" w:hAnsi="Consolas"/>
                <w:color w:val="303030"/>
                <w:sz w:val="18"/>
              </w:rPr>
              <w:t>04</w:t>
            </w:r>
            <w:r>
              <w:rPr>
                <w:sz w:val="17"/>
              </w:rPr>
              <w:t xml:space="preserve"> § 1.5; </w:t>
            </w:r>
            <w:r>
              <w:rPr>
                <w:rFonts w:ascii="Consolas" w:hAnsi="Consolas"/>
                <w:color w:val="303030"/>
                <w:sz w:val="18"/>
              </w:rPr>
              <w:t>fm_model.py</w:t>
            </w:r>
            <w:r>
              <w:rPr>
                <w:sz w:val="17"/>
              </w:rPr>
              <w:t xml:space="preserve"> </w:t>
            </w:r>
            <w:r>
              <w:rPr>
                <w:rFonts w:ascii="Consolas" w:hAnsi="Consolas"/>
                <w:color w:val="303030"/>
                <w:sz w:val="18"/>
              </w:rPr>
              <w:t>fm1_past_window()</w:t>
            </w:r>
            <w:r>
              <w:rPr>
                <w:sz w:val="17"/>
              </w:rPr>
              <w:t>.</w:t>
            </w:r>
          </w:p>
        </w:tc>
        <w:tc>
          <w:tcPr>
            <w:tcW w:type="dxa" w:w="1234"/>
          </w:tcPr>
          <w:p>
            <w:pPr>
              <w:spacing w:before="20" w:after="20"/>
              <w:jc w:val="left"/>
            </w:pPr>
            <w:r>
              <w:rPr>
                <w:sz w:val="17"/>
              </w:rPr>
              <w:t xml:space="preserve">Re-label: "40% inside the window (uniform spread) → the </w:t>
            </w:r>
            <w:r>
              <w:rPr>
                <w:b/>
                <w:sz w:val="17"/>
              </w:rPr>
              <w:t>high</w:t>
            </w:r>
            <w:r>
              <w:rPr>
                <w:sz w:val="17"/>
              </w:rPr>
              <w:t xml:space="preserve"> past-window count; 60% inside (front-loaded) → the </w:t>
            </w:r>
            <w:r>
              <w:rPr>
                <w:b/>
                <w:sz w:val="17"/>
              </w:rPr>
              <w:t>low</w:t>
            </w:r>
            <w:r>
              <w:rPr>
                <w:sz w:val="17"/>
              </w:rPr>
              <w:t xml:space="preserve"> count." Note also that "front-loaded" produces </w:t>
            </w:r>
            <w:r>
              <w:rPr>
                <w:i/>
                <w:sz w:val="17"/>
              </w:rPr>
              <w:t>more</w:t>
            </w:r>
            <w:r>
              <w:rPr>
                <w:sz w:val="17"/>
              </w:rPr>
              <w:t xml:space="preserve"> members inside the window, i.e. the low count — stated the other way in the annex.</w:t>
            </w:r>
          </w:p>
        </w:tc>
      </w:tr>
      <w:tr>
        <w:tc>
          <w:tcPr>
            <w:tcW w:type="dxa" w:w="1234"/>
          </w:tcPr>
          <w:p>
            <w:pPr>
              <w:spacing w:before="20" w:after="20"/>
              <w:jc w:val="left"/>
            </w:pPr>
            <w:r>
              <w:rPr>
                <w:b/>
                <w:sz w:val="17"/>
              </w:rPr>
              <w:t>m-5</w:t>
            </w:r>
          </w:p>
        </w:tc>
        <w:tc>
          <w:tcPr>
            <w:tcW w:type="dxa" w:w="1234"/>
          </w:tcPr>
          <w:p>
            <w:pPr>
              <w:spacing w:before="20" w:after="20"/>
              <w:jc w:val="left"/>
            </w:pPr>
            <w:r>
              <w:rPr>
                <w:sz w:val="17"/>
              </w:rPr>
              <w:t>Minor</w:t>
            </w:r>
          </w:p>
        </w:tc>
        <w:tc>
          <w:tcPr>
            <w:tcW w:type="dxa" w:w="1234"/>
          </w:tcPr>
          <w:p>
            <w:pPr>
              <w:spacing w:before="20" w:after="20"/>
              <w:jc w:val="left"/>
            </w:pPr>
            <w:r>
              <w:rPr>
                <w:sz w:val="17"/>
              </w:rPr>
              <w:t>omission a reader will find</w:t>
            </w:r>
          </w:p>
        </w:tc>
        <w:tc>
          <w:tcPr>
            <w:tcW w:type="dxa" w:w="1234"/>
          </w:tcPr>
          <w:p>
            <w:pPr>
              <w:spacing w:before="20" w:after="20"/>
              <w:jc w:val="left"/>
            </w:pPr>
            <w:r>
              <w:rPr>
                <w:rFonts w:ascii="Consolas" w:hAnsi="Consolas"/>
                <w:color w:val="303030"/>
                <w:sz w:val="18"/>
              </w:rPr>
              <w:t>01</w:t>
            </w:r>
            <w:r>
              <w:rPr>
                <w:sz w:val="17"/>
              </w:rPr>
              <w:t xml:space="preserve"> and </w:t>
            </w:r>
            <w:r>
              <w:rPr>
                <w:rFonts w:ascii="Consolas" w:hAnsi="Consolas"/>
                <w:color w:val="303030"/>
                <w:sz w:val="18"/>
              </w:rPr>
              <w:t>00</w:t>
            </w:r>
            <w:r>
              <w:rPr>
                <w:sz w:val="17"/>
              </w:rPr>
              <w:t xml:space="preserve"> cite HB 1867's fiscal impact statement four times and never say what happened to HB 1867: recommended </w:t>
            </w:r>
            <w:r>
              <w:rPr>
                <w:b/>
                <w:sz w:val="17"/>
              </w:rPr>
              <w:t>laid on the table</w:t>
            </w:r>
            <w:r>
              <w:rPr>
                <w:sz w:val="17"/>
              </w:rPr>
              <w:t xml:space="preserve"> by the House Appropriations Subcommittee on Compensation and Retirement on January 26, 2023, left in Appropriations February 7, 2023.</w:t>
            </w:r>
          </w:p>
        </w:tc>
        <w:tc>
          <w:tcPr>
            <w:tcW w:type="dxa" w:w="1234"/>
          </w:tcPr>
          <w:p>
            <w:pPr>
              <w:spacing w:before="20" w:after="20"/>
              <w:jc w:val="left"/>
            </w:pPr>
            <w:r>
              <w:rPr>
                <w:sz w:val="17"/>
              </w:rPr>
              <w:t>A staffer looks up the bill in thirty seconds and asks why the proponent cited a dead bill's fiscal note without mentioning it died — in the very subcommittee this bill will go to.</w:t>
            </w:r>
          </w:p>
        </w:tc>
        <w:tc>
          <w:tcPr>
            <w:tcW w:type="dxa" w:w="1234"/>
          </w:tcPr>
          <w:p>
            <w:pPr>
              <w:spacing w:before="20" w:after="20"/>
              <w:jc w:val="left"/>
            </w:pPr>
            <w:r>
              <w:rPr>
                <w:sz w:val="17"/>
              </w:rPr>
              <w:t>LIS, HB 1867 (2023) bill history.</w:t>
            </w:r>
          </w:p>
        </w:tc>
        <w:tc>
          <w:tcPr>
            <w:tcW w:type="dxa" w:w="1234"/>
          </w:tcPr>
          <w:p>
            <w:pPr>
              <w:spacing w:before="20" w:after="20"/>
              <w:jc w:val="left"/>
            </w:pPr>
            <w:r>
              <w:rPr>
                <w:sz w:val="17"/>
              </w:rPr>
              <w:t>One sentence, and it helps: "HB 1867 was laid on the table in the Compensation and Retirement subcommittee. It asked for a free grant and a budget amendment. This bill asks for neither."</w:t>
            </w:r>
          </w:p>
        </w:tc>
      </w:tr>
      <w:tr>
        <w:tc>
          <w:tcPr>
            <w:tcW w:type="dxa" w:w="1234"/>
          </w:tcPr>
          <w:p>
            <w:pPr>
              <w:spacing w:before="20" w:after="20"/>
              <w:jc w:val="left"/>
            </w:pPr>
            <w:r>
              <w:rPr>
                <w:b/>
                <w:sz w:val="17"/>
              </w:rPr>
              <w:t>m-6</w:t>
            </w:r>
          </w:p>
        </w:tc>
        <w:tc>
          <w:tcPr>
            <w:tcW w:type="dxa" w:w="1234"/>
          </w:tcPr>
          <w:p>
            <w:pPr>
              <w:spacing w:before="20" w:after="20"/>
              <w:jc w:val="left"/>
            </w:pPr>
            <w:r>
              <w:rPr>
                <w:sz w:val="17"/>
              </w:rPr>
              <w:t>Minor</w:t>
            </w:r>
          </w:p>
        </w:tc>
        <w:tc>
          <w:tcPr>
            <w:tcW w:type="dxa" w:w="1234"/>
          </w:tcPr>
          <w:p>
            <w:pPr>
              <w:spacing w:before="20" w:after="20"/>
              <w:jc w:val="left"/>
            </w:pPr>
            <w:r>
              <w:rPr>
                <w:sz w:val="17"/>
              </w:rPr>
              <w:t>data vintage</w:t>
            </w:r>
          </w:p>
        </w:tc>
        <w:tc>
          <w:tcPr>
            <w:tcW w:type="dxa" w:w="1234"/>
          </w:tcPr>
          <w:p>
            <w:pPr>
              <w:spacing w:before="20" w:after="20"/>
              <w:jc w:val="left"/>
            </w:pPr>
            <w:r>
              <w:rPr>
                <w:sz w:val="17"/>
              </w:rPr>
              <w:t xml:space="preserve">The teacher veteran share — which governs the largest employer group at 160,800 members — is NCES table 209.27, </w:t>
            </w:r>
            <w:r>
              <w:rPr>
                <w:b/>
                <w:sz w:val="17"/>
              </w:rPr>
              <w:t>2016 American Community Survey</w:t>
            </w:r>
            <w:r>
              <w:rPr>
                <w:sz w:val="17"/>
              </w:rPr>
              <w:t xml:space="preserve"> data. </w:t>
            </w:r>
            <w:r>
              <w:rPr>
                <w:rFonts w:ascii="Consolas" w:hAnsi="Consolas"/>
                <w:color w:val="303030"/>
                <w:sz w:val="18"/>
              </w:rPr>
              <w:t>04</w:t>
            </w:r>
            <w:r>
              <w:rPr>
                <w:sz w:val="17"/>
              </w:rPr>
              <w:t xml:space="preserve"> C11 notes "(2016)"; </w:t>
            </w:r>
            <w:r>
              <w:rPr>
                <w:rFonts w:ascii="Consolas" w:hAnsi="Consolas"/>
                <w:color w:val="303030"/>
                <w:sz w:val="18"/>
              </w:rPr>
              <w:t>01</w:t>
            </w:r>
            <w:r>
              <w:rPr>
                <w:sz w:val="17"/>
              </w:rPr>
              <w:t xml:space="preserve"> and its source list do not.</w:t>
            </w:r>
          </w:p>
        </w:tc>
        <w:tc>
          <w:tcPr>
            <w:tcW w:type="dxa" w:w="1234"/>
          </w:tcPr>
          <w:p>
            <w:pPr>
              <w:spacing w:before="20" w:after="20"/>
              <w:jc w:val="left"/>
            </w:pPr>
            <w:r>
              <w:rPr>
                <w:sz w:val="17"/>
              </w:rPr>
              <w:t>A delegate asks how old the teacher number is. "Ten years" is a fine answer given once, and a bad one given under cross-examination.</w:t>
            </w:r>
          </w:p>
        </w:tc>
        <w:tc>
          <w:tcPr>
            <w:tcW w:type="dxa" w:w="1234"/>
          </w:tcPr>
          <w:p>
            <w:pPr>
              <w:spacing w:before="20" w:after="20"/>
              <w:jc w:val="left"/>
            </w:pPr>
            <w:r>
              <w:rPr>
                <w:sz w:val="17"/>
              </w:rPr>
              <w:t xml:space="preserve">NCES table 209.27, </w:t>
            </w:r>
            <w:r>
              <w:rPr>
                <w:b/>
                <w:sz w:val="17"/>
              </w:rPr>
              <w:t>verified</w:t>
            </w:r>
            <w:r>
              <w:rPr>
                <w:sz w:val="17"/>
              </w:rPr>
              <w:t>: "Number and percentage of teachers who are military veterans… 2016," 2016 ACS 1-Year PUMS; 2.3% national, 3.1% South.</w:t>
            </w:r>
          </w:p>
        </w:tc>
        <w:tc>
          <w:tcPr>
            <w:tcW w:type="dxa" w:w="1234"/>
          </w:tcPr>
          <w:p>
            <w:pPr>
              <w:spacing w:before="20" w:after="20"/>
              <w:jc w:val="left"/>
            </w:pPr>
            <w:r>
              <w:rPr>
                <w:sz w:val="17"/>
              </w:rPr>
              <w:t xml:space="preserve">State the vintage in </w:t>
            </w:r>
            <w:r>
              <w:rPr>
                <w:rFonts w:ascii="Consolas" w:hAnsi="Consolas"/>
                <w:color w:val="303030"/>
                <w:sz w:val="18"/>
              </w:rPr>
              <w:t>01</w:t>
            </w:r>
            <w:r>
              <w:rPr>
                <w:sz w:val="17"/>
              </w:rPr>
              <w:t xml:space="preserve"> where the band appears, and add it to the VRS/DOE data request.</w:t>
            </w:r>
          </w:p>
        </w:tc>
      </w:tr>
      <w:tr>
        <w:tc>
          <w:tcPr>
            <w:tcW w:type="dxa" w:w="1234"/>
          </w:tcPr>
          <w:p>
            <w:pPr>
              <w:spacing w:before="20" w:after="20"/>
              <w:jc w:val="left"/>
            </w:pPr>
            <w:r>
              <w:rPr>
                <w:b/>
                <w:sz w:val="17"/>
              </w:rPr>
              <w:t>m-7</w:t>
            </w:r>
          </w:p>
        </w:tc>
        <w:tc>
          <w:tcPr>
            <w:tcW w:type="dxa" w:w="1234"/>
          </w:tcPr>
          <w:p>
            <w:pPr>
              <w:spacing w:before="20" w:after="20"/>
              <w:jc w:val="left"/>
            </w:pPr>
            <w:r>
              <w:rPr>
                <w:sz w:val="17"/>
              </w:rPr>
              <w:t>Minor</w:t>
            </w:r>
          </w:p>
        </w:tc>
        <w:tc>
          <w:tcPr>
            <w:tcW w:type="dxa" w:w="1234"/>
          </w:tcPr>
          <w:p>
            <w:pPr>
              <w:spacing w:before="20" w:after="20"/>
              <w:jc w:val="left"/>
            </w:pPr>
            <w:r>
              <w:rPr>
                <w:sz w:val="17"/>
              </w:rPr>
              <w:t>procedure not considered</w:t>
            </w:r>
          </w:p>
        </w:tc>
        <w:tc>
          <w:tcPr>
            <w:tcW w:type="dxa" w:w="1234"/>
          </w:tcPr>
          <w:p>
            <w:pPr>
              <w:spacing w:before="20" w:after="20"/>
              <w:jc w:val="left"/>
            </w:pPr>
            <w:r>
              <w:rPr>
                <w:sz w:val="17"/>
              </w:rPr>
              <w:t xml:space="preserve">The package plans for the § 30-19.1:7 statement and for briefing the Commission on Local Government, but does not consider </w:t>
            </w:r>
            <w:r>
              <w:rPr>
                <w:b/>
                <w:sz w:val="17"/>
              </w:rPr>
              <w:t>§ 30-19.03</w:t>
            </w:r>
            <w:r>
              <w:rPr>
                <w:sz w:val="17"/>
              </w:rPr>
              <w:t xml:space="preserve">, under which DLS identifies bills requiring additional local expenditure and the Commission prepares its </w:t>
            </w:r>
            <w:r>
              <w:rPr>
                <w:b/>
                <w:sz w:val="17"/>
              </w:rPr>
              <w:t>own</w:t>
            </w:r>
            <w:r>
              <w:rPr>
                <w:sz w:val="17"/>
              </w:rPr>
              <w:t xml:space="preserve"> local fiscal impact estimate. Whether a VRS employer-rate increase triggers it is genuinely arguable — the triggers are new or expanded local programs, specified spending levels, administrative costs of state programs, and capital facilities.</w:t>
            </w:r>
          </w:p>
        </w:tc>
        <w:tc>
          <w:tcPr>
            <w:tcW w:type="dxa" w:w="1234"/>
          </w:tcPr>
          <w:p>
            <w:pPr>
              <w:spacing w:before="20" w:after="20"/>
              <w:jc w:val="left"/>
            </w:pPr>
            <w:r>
              <w:rPr>
                <w:sz w:val="17"/>
              </w:rPr>
              <w:t>JLCVSO plans for one adverse comment vector and gets two, the second a formal statement circulated to patrons and committee chairs rather than a comment.</w:t>
            </w:r>
          </w:p>
        </w:tc>
        <w:tc>
          <w:tcPr>
            <w:tcW w:type="dxa" w:w="1234"/>
          </w:tcPr>
          <w:p>
            <w:pPr>
              <w:spacing w:before="20" w:after="20"/>
              <w:jc w:val="left"/>
            </w:pPr>
            <w:r>
              <w:rPr>
                <w:sz w:val="17"/>
              </w:rPr>
              <w:t xml:space="preserve">§ 30-19.03 (verified); § 30-19.1:7 (verified — note it identifies local participants by </w:t>
            </w:r>
            <w:r>
              <w:rPr>
                <w:b/>
                <w:sz w:val="17"/>
              </w:rPr>
              <w:t>§ 51.1-800</w:t>
            </w:r>
            <w:r>
              <w:rPr>
                <w:sz w:val="17"/>
              </w:rPr>
              <w:t>, which the package does not cite).</w:t>
            </w:r>
          </w:p>
        </w:tc>
        <w:tc>
          <w:tcPr>
            <w:tcW w:type="dxa" w:w="1234"/>
          </w:tcPr>
          <w:p>
            <w:pPr>
              <w:spacing w:before="20" w:after="20"/>
              <w:jc w:val="left"/>
            </w:pPr>
            <w:r>
              <w:rPr>
                <w:sz w:val="17"/>
              </w:rPr>
              <w:t>Ask DLS whether § 30-19.03 is triggered, before filing. Add § 51.1-800 alongside § 51.1-145 where local participation is described.</w:t>
            </w:r>
          </w:p>
        </w:tc>
      </w:tr>
      <w:tr>
        <w:tc>
          <w:tcPr>
            <w:tcW w:type="dxa" w:w="1234"/>
          </w:tcPr>
          <w:p>
            <w:pPr>
              <w:spacing w:before="20" w:after="20"/>
              <w:jc w:val="left"/>
            </w:pPr>
            <w:r>
              <w:rPr>
                <w:b/>
                <w:sz w:val="17"/>
              </w:rPr>
              <w:t>m-8</w:t>
            </w:r>
          </w:p>
        </w:tc>
        <w:tc>
          <w:tcPr>
            <w:tcW w:type="dxa" w:w="1234"/>
          </w:tcPr>
          <w:p>
            <w:pPr>
              <w:spacing w:before="20" w:after="20"/>
              <w:jc w:val="left"/>
            </w:pPr>
            <w:r>
              <w:rPr>
                <w:sz w:val="17"/>
              </w:rPr>
              <w:t>Minor</w:t>
            </w:r>
          </w:p>
        </w:tc>
        <w:tc>
          <w:tcPr>
            <w:tcW w:type="dxa" w:w="1234"/>
          </w:tcPr>
          <w:p>
            <w:pPr>
              <w:spacing w:before="20" w:after="20"/>
              <w:jc w:val="left"/>
            </w:pPr>
            <w:r>
              <w:rPr>
                <w:sz w:val="17"/>
              </w:rPr>
              <w:t>session constraint</w:t>
            </w:r>
          </w:p>
        </w:tc>
        <w:tc>
          <w:tcPr>
            <w:tcW w:type="dxa" w:w="1234"/>
          </w:tcPr>
          <w:p>
            <w:pPr>
              <w:spacing w:before="20" w:after="20"/>
              <w:jc w:val="left"/>
            </w:pPr>
            <w:r>
              <w:rPr>
                <w:sz w:val="17"/>
              </w:rPr>
              <w:t xml:space="preserve">The package targets the </w:t>
            </w:r>
            <w:r>
              <w:rPr>
                <w:b/>
                <w:sz w:val="17"/>
              </w:rPr>
              <w:t>2027 Regular Session</w:t>
            </w:r>
            <w:r>
              <w:rPr>
                <w:sz w:val="17"/>
              </w:rPr>
              <w:t xml:space="preserve"> and nowhere notes that odd-year sessions are 30 days (extendable by 30 on a two-thirds vote), against 60 in even years.</w:t>
            </w:r>
          </w:p>
        </w:tc>
        <w:tc>
          <w:tcPr>
            <w:tcW w:type="dxa" w:w="1234"/>
          </w:tcPr>
          <w:p>
            <w:pPr>
              <w:spacing w:before="20" w:after="20"/>
              <w:jc w:val="left"/>
            </w:pPr>
            <w:r>
              <w:rPr>
                <w:sz w:val="17"/>
              </w:rPr>
              <w:t>A bill carrying a tens-of-millions present value, a required VRS impact statement and a likely adverse local-government comment is filed into a 30-day session, in the subcommittee that tabled HB 1867 in a longer session.</w:t>
            </w:r>
          </w:p>
        </w:tc>
        <w:tc>
          <w:tcPr>
            <w:tcW w:type="dxa" w:w="1234"/>
          </w:tcPr>
          <w:p>
            <w:pPr>
              <w:spacing w:before="20" w:after="20"/>
              <w:jc w:val="left"/>
            </w:pPr>
            <w:r>
              <w:rPr>
                <w:sz w:val="17"/>
              </w:rPr>
              <w:t>Va. Const. art. IV, § 6.</w:t>
            </w:r>
          </w:p>
        </w:tc>
        <w:tc>
          <w:tcPr>
            <w:tcW w:type="dxa" w:w="1234"/>
          </w:tcPr>
          <w:p>
            <w:pPr>
              <w:spacing w:before="20" w:after="20"/>
              <w:jc w:val="left"/>
            </w:pPr>
            <w:r>
              <w:rPr>
                <w:sz w:val="17"/>
              </w:rPr>
              <w:t xml:space="preserve">State the constraint in </w:t>
            </w:r>
            <w:r>
              <w:rPr>
                <w:rFonts w:ascii="Consolas" w:hAnsi="Consolas"/>
                <w:color w:val="303030"/>
                <w:sz w:val="18"/>
              </w:rPr>
              <w:t>01</w:t>
            </w:r>
            <w:r>
              <w:rPr>
                <w:sz w:val="17"/>
              </w:rPr>
              <w:t xml:space="preserve">'s next-steps, and put the question to JLCVSO explicitly: file the full fix in 2027, or file </w:t>
            </w:r>
            <w:r>
              <w:rPr>
                <w:b/>
                <w:sz w:val="17"/>
              </w:rPr>
              <w:t>Fallback 1</w:t>
            </w:r>
            <w:r>
              <w:rPr>
                <w:sz w:val="17"/>
              </w:rPr>
              <w:t xml:space="preserve"> (payment flexibility, zero actuarial cost) in 2027 and the price fix in the 2028 long session with VRS's own numbers in hand. See § 5, LC-3 — part of Fallback 1 may need no bill at all.</w:t>
            </w:r>
          </w:p>
        </w:tc>
      </w:tr>
    </w:tbl>
    <w:p>
      <w:pPr>
        <w:spacing w:before="0" w:after="0" w:line="80" w:lineRule="exact"/>
      </w:pPr>
      <w:r>
        <w:rPr>
          <w:sz w:val="8"/>
        </w:rPr>
      </w:r>
    </w:p>
    <w:p>
      <w:r>
        <w:rPr>
          <w:b/>
        </w:rPr>
        <w:t>Count: 1 fatal, 7 serious, 10 moderate, 8 minor</w:t>
      </w:r>
      <w:r>
        <w:t xml:space="preserve"> — 26 findings in this review. Twelve of them duplicate a MOO-289 finding (§ 2.0); </w:t>
      </w:r>
      <w:r>
        <w:rPr>
          <w:b/>
        </w:rPr>
        <w:t>fourteen are unique to this review</w:t>
      </w:r>
      <w:r>
        <w:t xml:space="preserve">, and MOO-289 carries seven that are unique to it. The combined non-duplicated total across both reviews is </w:t>
      </w:r>
      <w:r>
        <w:rPr>
          <w:b/>
        </w:rPr>
        <w:t>about 32 findings, of which 2 are fatal</w:t>
      </w:r>
      <w:r>
        <w:t>: F-1 here / F-2 there (the general-fund claim in the printed leave-behind) and MOO-289 F-1 (the rate schedule cannot produce the dial the fiscal case quotes).</w:t>
      </w:r>
    </w:p>
    <w:p>
      <w:pPr>
        <w:jc w:val="center"/>
      </w:pPr>
      <w:r>
        <w:rPr>
          <w:color w:val="909090"/>
          <w:sz w:val="18"/>
        </w:rPr>
        <w:t>* * *</w:t>
      </w:r>
    </w:p>
    <w:p>
      <w:pPr>
        <w:pStyle w:val="Heading2"/>
      </w:pPr>
      <w:r>
        <w:t>3. Citation verification — what I re-opened, and what held</w:t>
      </w:r>
    </w:p>
    <w:p>
      <w:r>
        <w:t>Primary sources re-read against the claims they are cited for, October 25, 2026.</w:t>
      </w:r>
    </w:p>
    <w:tbl>
      <w:tblPr>
        <w:tblStyle w:val="TableGrid"/>
        <w:tblW w:type="auto" w:w="0"/>
        <w:jc w:val="left"/>
        <w:tblLook w:firstColumn="1" w:firstRow="1" w:lastColumn="0" w:lastRow="0" w:noHBand="0" w:noVBand="1" w:val="04A0"/>
      </w:tblPr>
      <w:tblGrid>
        <w:gridCol w:w="2880"/>
        <w:gridCol w:w="2880"/>
        <w:gridCol w:w="2880"/>
      </w:tblGrid>
      <w:tr>
        <w:trPr>
          <w:tblHeader w:val="true"/>
        </w:trPr>
        <w:tc>
          <w:tcPr>
            <w:tcW w:type="dxa" w:w="2880"/>
          </w:tcPr>
          <w:p>
            <w:pPr>
              <w:spacing w:before="20" w:after="20"/>
              <w:jc w:val="left"/>
            </w:pPr>
            <w:r>
              <w:rPr>
                <w:b/>
                <w:sz w:val="17"/>
              </w:rPr>
              <w:t>Claim as stated in the package</w:t>
            </w:r>
          </w:p>
        </w:tc>
        <w:tc>
          <w:tcPr>
            <w:tcW w:type="dxa" w:w="2880"/>
          </w:tcPr>
          <w:p>
            <w:pPr>
              <w:spacing w:before="20" w:after="20"/>
              <w:jc w:val="left"/>
            </w:pPr>
            <w:r>
              <w:rPr>
                <w:b/>
                <w:sz w:val="17"/>
              </w:rPr>
              <w:t>Source re-opened</w:t>
            </w:r>
          </w:p>
        </w:tc>
        <w:tc>
          <w:tcPr>
            <w:tcW w:type="dxa" w:w="2880"/>
          </w:tcPr>
          <w:p>
            <w:pPr>
              <w:spacing w:before="20" w:after="20"/>
              <w:jc w:val="left"/>
            </w:pPr>
            <w:r>
              <w:rPr>
                <w:b/>
                <w:sz w:val="17"/>
              </w:rPr>
              <w:t>Result</w:t>
            </w:r>
          </w:p>
        </w:tc>
      </w:tr>
      <w:tr>
        <w:tc>
          <w:tcPr>
            <w:tcW w:type="dxa" w:w="2880"/>
          </w:tcPr>
          <w:p>
            <w:pPr>
              <w:spacing w:before="20" w:after="20"/>
              <w:jc w:val="left"/>
            </w:pPr>
            <w:r>
              <w:rPr>
                <w:sz w:val="17"/>
              </w:rPr>
              <w:t>§ 51.1-142.2 B 3's pricing paragraph, quoted verbatim in v1.0 and Annex A § 2.2</w:t>
            </w:r>
          </w:p>
        </w:tc>
        <w:tc>
          <w:tcPr>
            <w:tcW w:type="dxa" w:w="2880"/>
          </w:tcPr>
          <w:p>
            <w:pPr>
              <w:spacing w:before="20" w:after="20"/>
              <w:jc w:val="left"/>
            </w:pPr>
            <w:r>
              <w:rPr>
                <w:sz w:val="17"/>
              </w:rPr>
              <w:t>lis.virginia.gov, full section</w:t>
            </w:r>
          </w:p>
        </w:tc>
        <w:tc>
          <w:tcPr>
            <w:tcW w:type="dxa" w:w="2880"/>
          </w:tcPr>
          <w:p>
            <w:pPr>
              <w:spacing w:before="20" w:after="20"/>
              <w:jc w:val="left"/>
            </w:pPr>
            <w:r>
              <w:rPr>
                <w:b/>
                <w:sz w:val="17"/>
              </w:rPr>
              <w:t>Holds — verbatim.</w:t>
            </w:r>
          </w:p>
        </w:tc>
      </w:tr>
      <w:tr>
        <w:tc>
          <w:tcPr>
            <w:tcW w:type="dxa" w:w="2880"/>
          </w:tcPr>
          <w:p>
            <w:pPr>
              <w:spacing w:before="20" w:after="20"/>
              <w:jc w:val="left"/>
            </w:pPr>
            <w:r>
              <w:rPr>
                <w:sz w:val="17"/>
              </w:rPr>
              <w:t>§ 51.1-142.2 B 2 — four years, "in addition to" B 1, non-dishonorable discharge</w:t>
            </w:r>
          </w:p>
        </w:tc>
        <w:tc>
          <w:tcPr>
            <w:tcW w:type="dxa" w:w="2880"/>
          </w:tcPr>
          <w:p>
            <w:pPr>
              <w:spacing w:before="20" w:after="20"/>
              <w:jc w:val="left"/>
            </w:pPr>
            <w:r>
              <w:rPr>
                <w:sz w:val="17"/>
              </w:rPr>
              <w:t>same</w:t>
            </w:r>
          </w:p>
        </w:tc>
        <w:tc>
          <w:tcPr>
            <w:tcW w:type="dxa" w:w="2880"/>
          </w:tcPr>
          <w:p>
            <w:pPr>
              <w:spacing w:before="20" w:after="20"/>
              <w:jc w:val="left"/>
            </w:pPr>
            <w:r>
              <w:rPr>
                <w:b/>
                <w:sz w:val="17"/>
              </w:rPr>
              <w:t>Holds.</w:t>
            </w:r>
            <w:r>
              <w:rPr>
                <w:sz w:val="17"/>
              </w:rPr>
              <w:t xml:space="preserve"> Confirms two separate four-year caps and that "</w:t>
            </w:r>
            <w:r>
              <w:rPr>
                <w:b/>
                <w:sz w:val="17"/>
              </w:rPr>
              <w:t>any member in service may purchase</w:t>
            </w:r>
            <w:r>
              <w:rPr>
                <w:sz w:val="17"/>
              </w:rPr>
              <w:t>" is existing language, so the draft's phrasing introduces no new limitation.</w:t>
            </w:r>
          </w:p>
        </w:tc>
      </w:tr>
      <w:tr>
        <w:tc>
          <w:tcPr>
            <w:tcW w:type="dxa" w:w="2880"/>
          </w:tcPr>
          <w:p>
            <w:pPr>
              <w:spacing w:before="20" w:after="20"/>
              <w:jc w:val="left"/>
            </w:pPr>
            <w:r>
              <w:rPr>
                <w:sz w:val="17"/>
              </w:rPr>
              <w:t xml:space="preserve">The words </w:t>
            </w:r>
            <w:r>
              <w:rPr>
                <w:i/>
                <w:sz w:val="17"/>
              </w:rPr>
              <w:t>notice</w:t>
            </w:r>
            <w:r>
              <w:rPr>
                <w:sz w:val="17"/>
              </w:rPr>
              <w:t xml:space="preserve">, </w:t>
            </w:r>
            <w:r>
              <w:rPr>
                <w:i/>
                <w:sz w:val="17"/>
              </w:rPr>
              <w:t>notify</w:t>
            </w:r>
            <w:r>
              <w:rPr>
                <w:sz w:val="17"/>
              </w:rPr>
              <w:t xml:space="preserve">, </w:t>
            </w:r>
            <w:r>
              <w:rPr>
                <w:i/>
                <w:sz w:val="17"/>
              </w:rPr>
              <w:t>acknowledge</w:t>
            </w:r>
            <w:r>
              <w:rPr>
                <w:sz w:val="17"/>
              </w:rPr>
              <w:t xml:space="preserve"> do not appear in § 51.1-142.2</w:t>
            </w:r>
          </w:p>
        </w:tc>
        <w:tc>
          <w:tcPr>
            <w:tcW w:type="dxa" w:w="2880"/>
          </w:tcPr>
          <w:p>
            <w:pPr>
              <w:spacing w:before="20" w:after="20"/>
              <w:jc w:val="left"/>
            </w:pPr>
            <w:r>
              <w:rPr>
                <w:sz w:val="17"/>
              </w:rPr>
              <w:t>same</w:t>
            </w:r>
          </w:p>
        </w:tc>
        <w:tc>
          <w:tcPr>
            <w:tcW w:type="dxa" w:w="2880"/>
          </w:tcPr>
          <w:p>
            <w:pPr>
              <w:spacing w:before="20" w:after="20"/>
              <w:jc w:val="left"/>
            </w:pPr>
            <w:r>
              <w:rPr>
                <w:b/>
                <w:sz w:val="17"/>
              </w:rPr>
              <w:t>Holds.</w:t>
            </w:r>
          </w:p>
        </w:tc>
      </w:tr>
      <w:tr>
        <w:tc>
          <w:tcPr>
            <w:tcW w:type="dxa" w:w="2880"/>
          </w:tcPr>
          <w:p>
            <w:pPr>
              <w:spacing w:before="20" w:after="20"/>
              <w:jc w:val="left"/>
            </w:pPr>
            <w:r>
              <w:rPr>
                <w:sz w:val="17"/>
              </w:rPr>
              <w:t>"Active duty military service" = "full-time service of at least 180 consecutive days… or reserve components thereof"</w:t>
            </w:r>
          </w:p>
        </w:tc>
        <w:tc>
          <w:tcPr>
            <w:tcW w:type="dxa" w:w="2880"/>
          </w:tcPr>
          <w:p>
            <w:pPr>
              <w:spacing w:before="20" w:after="20"/>
              <w:jc w:val="left"/>
            </w:pPr>
            <w:r>
              <w:rPr>
                <w:sz w:val="17"/>
              </w:rPr>
              <w:t>same, final paragraph of subsection B</w:t>
            </w:r>
          </w:p>
        </w:tc>
        <w:tc>
          <w:tcPr>
            <w:tcW w:type="dxa" w:w="2880"/>
          </w:tcPr>
          <w:p>
            <w:pPr>
              <w:spacing w:before="20" w:after="20"/>
              <w:jc w:val="left"/>
            </w:pPr>
            <w:r>
              <w:rPr>
                <w:b/>
                <w:sz w:val="17"/>
              </w:rPr>
              <w:t>Holds.</w:t>
            </w:r>
          </w:p>
        </w:tc>
      </w:tr>
      <w:tr>
        <w:tc>
          <w:tcPr>
            <w:tcW w:type="dxa" w:w="2880"/>
          </w:tcPr>
          <w:p>
            <w:pPr>
              <w:spacing w:before="20" w:after="20"/>
              <w:jc w:val="left"/>
            </w:pPr>
            <w:r>
              <w:rPr>
                <w:sz w:val="17"/>
              </w:rPr>
              <w:t>§ 51.1-142.2 F governs payment and the Board's 12-month cap is policy, not statute</w:t>
            </w:r>
          </w:p>
        </w:tc>
        <w:tc>
          <w:tcPr>
            <w:tcW w:type="dxa" w:w="2880"/>
          </w:tcPr>
          <w:p>
            <w:pPr>
              <w:spacing w:before="20" w:after="20"/>
              <w:jc w:val="left"/>
            </w:pPr>
            <w:r>
              <w:rPr>
                <w:sz w:val="17"/>
              </w:rPr>
              <w:t>same, subsection F</w:t>
            </w:r>
          </w:p>
        </w:tc>
        <w:tc>
          <w:tcPr>
            <w:tcW w:type="dxa" w:w="2880"/>
          </w:tcPr>
          <w:p>
            <w:pPr>
              <w:spacing w:before="20" w:after="20"/>
              <w:jc w:val="left"/>
            </w:pPr>
            <w:r>
              <w:rPr>
                <w:b/>
                <w:sz w:val="17"/>
              </w:rPr>
              <w:t>Holds, and it is stronger than the package claims.</w:t>
            </w:r>
            <w:r>
              <w:rPr>
                <w:sz w:val="17"/>
              </w:rPr>
              <w:t xml:space="preserve"> Subsection F contains </w:t>
            </w:r>
            <w:r>
              <w:rPr>
                <w:b/>
                <w:sz w:val="17"/>
              </w:rPr>
              <w:t>no duration limit at all</w:t>
            </w:r>
            <w:r>
              <w:rPr>
                <w:sz w:val="17"/>
              </w:rPr>
              <w:t>. See LC-3.</w:t>
            </w:r>
          </w:p>
        </w:tc>
      </w:tr>
      <w:tr>
        <w:tc>
          <w:tcPr>
            <w:tcW w:type="dxa" w:w="2880"/>
          </w:tcPr>
          <w:p>
            <w:pPr>
              <w:spacing w:before="20" w:after="20"/>
              <w:jc w:val="left"/>
            </w:pPr>
            <w:r>
              <w:rPr>
                <w:sz w:val="17"/>
              </w:rPr>
              <w:t>Anti-duplication: service in another retirement allowance, ch. 1223 excepted</w:t>
            </w:r>
          </w:p>
        </w:tc>
        <w:tc>
          <w:tcPr>
            <w:tcW w:type="dxa" w:w="2880"/>
          </w:tcPr>
          <w:p>
            <w:pPr>
              <w:spacing w:before="20" w:after="20"/>
              <w:jc w:val="left"/>
            </w:pPr>
            <w:r>
              <w:rPr>
                <w:sz w:val="17"/>
              </w:rPr>
              <w:t>same</w:t>
            </w:r>
          </w:p>
        </w:tc>
        <w:tc>
          <w:tcPr>
            <w:tcW w:type="dxa" w:w="2880"/>
          </w:tcPr>
          <w:p>
            <w:pPr>
              <w:spacing w:before="20" w:after="20"/>
              <w:jc w:val="left"/>
            </w:pPr>
            <w:r>
              <w:rPr>
                <w:b/>
                <w:sz w:val="17"/>
              </w:rPr>
              <w:t>Holds as to the first limb — and the package omits the second.</w:t>
            </w:r>
            <w:r>
              <w:rPr>
                <w:sz w:val="17"/>
              </w:rPr>
              <w:t xml:space="preserve"> The sentence also bars purchase "if there is a balance in a defined contribution account that serves as a primary retirement account related to such service." See S-4, M-8.</w:t>
            </w:r>
          </w:p>
        </w:tc>
      </w:tr>
      <w:tr>
        <w:tc>
          <w:tcPr>
            <w:tcW w:type="dxa" w:w="2880"/>
          </w:tcPr>
          <w:p>
            <w:pPr>
              <w:spacing w:before="20" w:after="20"/>
              <w:jc w:val="left"/>
            </w:pPr>
            <w:r>
              <w:rPr>
                <w:b/>
                <w:sz w:val="17"/>
              </w:rPr>
              <w:t>"Creditable service" means prior service as set forth in § 51.1-142.2 plus membership service</w:t>
            </w:r>
            <w:r>
              <w:rPr>
                <w:sz w:val="17"/>
              </w:rPr>
              <w:t xml:space="preserve"> — the hinge of the entire analysis</w:t>
            </w:r>
          </w:p>
        </w:tc>
        <w:tc>
          <w:tcPr>
            <w:tcW w:type="dxa" w:w="2880"/>
          </w:tcPr>
          <w:p>
            <w:pPr>
              <w:spacing w:before="20" w:after="20"/>
              <w:jc w:val="left"/>
            </w:pPr>
            <w:r>
              <w:rPr>
                <w:sz w:val="17"/>
              </w:rPr>
              <w:t>§ 51.1-124.3</w:t>
            </w:r>
          </w:p>
        </w:tc>
        <w:tc>
          <w:tcPr>
            <w:tcW w:type="dxa" w:w="2880"/>
          </w:tcPr>
          <w:p>
            <w:pPr>
              <w:spacing w:before="20" w:after="20"/>
              <w:jc w:val="left"/>
            </w:pPr>
            <w:r>
              <w:rPr>
                <w:b/>
                <w:sz w:val="17"/>
              </w:rPr>
              <w:t>Holds — verbatim, and the section is named by number.</w:t>
            </w:r>
            <w:r>
              <w:rPr>
                <w:sz w:val="17"/>
              </w:rPr>
              <w:t xml:space="preserve"> The Annex 1 / Annex A warning against a new Code section is correct and load-bearing.</w:t>
            </w:r>
          </w:p>
        </w:tc>
      </w:tr>
      <w:tr>
        <w:tc>
          <w:tcPr>
            <w:tcW w:type="dxa" w:w="2880"/>
          </w:tcPr>
          <w:p>
            <w:pPr>
              <w:spacing w:before="20" w:after="20"/>
              <w:jc w:val="left"/>
            </w:pPr>
            <w:r>
              <w:rPr>
                <w:sz w:val="17"/>
              </w:rPr>
              <w:t>"Normal retirement date" is Social Security retirement age for post-July 1, 2010 members</w:t>
            </w:r>
          </w:p>
        </w:tc>
        <w:tc>
          <w:tcPr>
            <w:tcW w:type="dxa" w:w="2880"/>
          </w:tcPr>
          <w:p>
            <w:pPr>
              <w:spacing w:before="20" w:after="20"/>
              <w:jc w:val="left"/>
            </w:pPr>
            <w:r>
              <w:rPr>
                <w:sz w:val="17"/>
              </w:rPr>
              <w:t>§ 51.1-124.3</w:t>
            </w:r>
          </w:p>
        </w:tc>
        <w:tc>
          <w:tcPr>
            <w:tcW w:type="dxa" w:w="2880"/>
          </w:tcPr>
          <w:p>
            <w:pPr>
              <w:spacing w:before="20" w:after="20"/>
              <w:jc w:val="left"/>
            </w:pPr>
            <w:r>
              <w:rPr>
                <w:b/>
                <w:sz w:val="17"/>
              </w:rPr>
              <w:t>Holds — verbatim.</w:t>
            </w:r>
          </w:p>
        </w:tc>
      </w:tr>
      <w:tr>
        <w:tc>
          <w:tcPr>
            <w:tcW w:type="dxa" w:w="2880"/>
          </w:tcPr>
          <w:p>
            <w:pPr>
              <w:spacing w:before="20" w:after="20"/>
              <w:jc w:val="left"/>
            </w:pPr>
            <w:r>
              <w:rPr>
                <w:sz w:val="17"/>
              </w:rPr>
              <w:t xml:space="preserve">Age 50 + 30 years at </w:t>
            </w:r>
            <w:r>
              <w:rPr>
                <w:b/>
                <w:sz w:val="17"/>
              </w:rPr>
              <w:t>§ 51.1-153 B 1</w:t>
            </w:r>
            <w:r>
              <w:rPr>
                <w:sz w:val="17"/>
              </w:rPr>
              <w:t>; Rule of 90 at B 3</w:t>
            </w:r>
          </w:p>
        </w:tc>
        <w:tc>
          <w:tcPr>
            <w:tcW w:type="dxa" w:w="2880"/>
          </w:tcPr>
          <w:p>
            <w:pPr>
              <w:spacing w:before="20" w:after="20"/>
              <w:jc w:val="left"/>
            </w:pPr>
            <w:r>
              <w:rPr>
                <w:sz w:val="17"/>
              </w:rPr>
              <w:t>§ 51.1-153</w:t>
            </w:r>
          </w:p>
        </w:tc>
        <w:tc>
          <w:tcPr>
            <w:tcW w:type="dxa" w:w="2880"/>
          </w:tcPr>
          <w:p>
            <w:pPr>
              <w:spacing w:before="20" w:after="20"/>
              <w:jc w:val="left"/>
            </w:pPr>
            <w:r>
              <w:rPr>
                <w:b/>
                <w:sz w:val="17"/>
              </w:rPr>
              <w:t>Fails as to the first.</w:t>
            </w:r>
            <w:r>
              <w:rPr>
                <w:sz w:val="17"/>
              </w:rPr>
              <w:t xml:space="preserve"> Age 50 + 30 is </w:t>
            </w:r>
            <w:r>
              <w:rPr>
                <w:b/>
                <w:sz w:val="17"/>
              </w:rPr>
              <w:t>B 2</w:t>
            </w:r>
            <w:r>
              <w:rPr>
                <w:sz w:val="17"/>
              </w:rPr>
              <w:t>; B 1 is age 55 with 5 years. Rule of 90 at B 3 holds. See M-1.</w:t>
            </w:r>
          </w:p>
        </w:tc>
      </w:tr>
      <w:tr>
        <w:tc>
          <w:tcPr>
            <w:tcW w:type="dxa" w:w="2880"/>
          </w:tcPr>
          <w:p>
            <w:pPr>
              <w:spacing w:before="20" w:after="20"/>
              <w:jc w:val="left"/>
            </w:pPr>
            <w:r>
              <w:rPr>
                <w:sz w:val="17"/>
              </w:rPr>
              <w:t xml:space="preserve">PLOP requires post-eligibility creditable service </w:t>
            </w:r>
            <w:r>
              <w:rPr>
                <w:b/>
                <w:sz w:val="17"/>
              </w:rPr>
              <w:t>and</w:t>
            </w:r>
            <w:r>
              <w:rPr>
                <w:sz w:val="17"/>
              </w:rPr>
              <w:t xml:space="preserve"> being "in service" 1/2/3 years</w:t>
            </w:r>
          </w:p>
        </w:tc>
        <w:tc>
          <w:tcPr>
            <w:tcW w:type="dxa" w:w="2880"/>
          </w:tcPr>
          <w:p>
            <w:pPr>
              <w:spacing w:before="20" w:after="20"/>
              <w:jc w:val="left"/>
            </w:pPr>
            <w:r>
              <w:rPr>
                <w:sz w:val="17"/>
              </w:rPr>
              <w:t>§ 51.1-165.01 B</w:t>
            </w:r>
          </w:p>
        </w:tc>
        <w:tc>
          <w:tcPr>
            <w:tcW w:type="dxa" w:w="2880"/>
          </w:tcPr>
          <w:p>
            <w:pPr>
              <w:spacing w:before="20" w:after="20"/>
              <w:jc w:val="left"/>
            </w:pPr>
            <w:r>
              <w:rPr>
                <w:b/>
                <w:sz w:val="17"/>
              </w:rPr>
              <w:t>Holds.</w:t>
            </w:r>
            <w:r>
              <w:rPr>
                <w:sz w:val="17"/>
              </w:rPr>
              <w:t xml:space="preserve"> Three tiers, both conditions conjunctive. See LC-2.</w:t>
            </w:r>
          </w:p>
        </w:tc>
      </w:tr>
      <w:tr>
        <w:tc>
          <w:tcPr>
            <w:tcW w:type="dxa" w:w="2880"/>
          </w:tcPr>
          <w:p>
            <w:pPr>
              <w:spacing w:before="20" w:after="20"/>
              <w:jc w:val="left"/>
            </w:pPr>
            <w:r>
              <w:rPr>
                <w:sz w:val="17"/>
              </w:rPr>
              <w:t>§ 2.2-3204(A) — Commonwealth buys service at a flat 15% of present annual compensation, "no window"</w:t>
            </w:r>
          </w:p>
        </w:tc>
        <w:tc>
          <w:tcPr>
            <w:tcW w:type="dxa" w:w="2880"/>
          </w:tcPr>
          <w:p>
            <w:pPr>
              <w:spacing w:before="20" w:after="20"/>
              <w:jc w:val="left"/>
            </w:pPr>
            <w:r>
              <w:rPr>
                <w:sz w:val="17"/>
              </w:rPr>
              <w:t>§ 2.2-3204</w:t>
            </w:r>
          </w:p>
        </w:tc>
        <w:tc>
          <w:tcPr>
            <w:tcW w:type="dxa" w:w="2880"/>
          </w:tcPr>
          <w:p>
            <w:pPr>
              <w:spacing w:before="20" w:after="20"/>
              <w:jc w:val="left"/>
            </w:pPr>
            <w:r>
              <w:rPr>
                <w:b/>
                <w:sz w:val="17"/>
              </w:rPr>
              <w:t>Holds on the 15%, overclaims on the framing.</w:t>
            </w:r>
            <w:r>
              <w:rPr>
                <w:sz w:val="17"/>
              </w:rPr>
              <w:t xml:space="preserve"> Available only on </w:t>
            </w:r>
            <w:r>
              <w:rPr>
                <w:b/>
                <w:sz w:val="17"/>
              </w:rPr>
              <w:t>involuntary separation</w:t>
            </w:r>
            <w:r>
              <w:rPr>
                <w:sz w:val="17"/>
              </w:rPr>
              <w:t xml:space="preserve">, only to </w:t>
            </w:r>
            <w:r>
              <w:rPr>
                <w:b/>
                <w:sz w:val="17"/>
              </w:rPr>
              <w:t>vested</w:t>
            </w:r>
            <w:r>
              <w:rPr>
                <w:sz w:val="17"/>
              </w:rPr>
              <w:t xml:space="preserve"> members, only at age 50 (60 for post-2010 / Hybrid). There is no "window" because there is no continuing purchase right, and the 15% is what the </w:t>
            </w:r>
            <w:r>
              <w:rPr>
                <w:b/>
                <w:sz w:val="17"/>
              </w:rPr>
              <w:t>Commonwealth pays</w:t>
            </w:r>
            <w:r>
              <w:rPr>
                <w:sz w:val="17"/>
              </w:rPr>
              <w:t xml:space="preserve"> under § 2.2-3205 — an appropriation-funded workforce-transition tool. As a precedent for a member-paid price it is weak, and it invites "yes, and that one is paid for with appropriated dollars." Use it carefully or not at all.</w:t>
            </w:r>
          </w:p>
        </w:tc>
      </w:tr>
      <w:tr>
        <w:tc>
          <w:tcPr>
            <w:tcW w:type="dxa" w:w="2880"/>
          </w:tcPr>
          <w:p>
            <w:pPr>
              <w:spacing w:before="20" w:after="20"/>
              <w:jc w:val="left"/>
            </w:pPr>
            <w:r>
              <w:rPr>
                <w:sz w:val="17"/>
              </w:rPr>
              <w:t>VRS payment agreements run 6–12 months and "may not extend beyond the two-year approximate normal cost window"</w:t>
            </w:r>
          </w:p>
        </w:tc>
        <w:tc>
          <w:tcPr>
            <w:tcW w:type="dxa" w:w="2880"/>
          </w:tcPr>
          <w:p>
            <w:pPr>
              <w:spacing w:before="20" w:after="20"/>
              <w:jc w:val="left"/>
            </w:pPr>
            <w:r>
              <w:rPr>
                <w:sz w:val="17"/>
              </w:rPr>
              <w:t xml:space="preserve">VRS </w:t>
            </w:r>
            <w:r>
              <w:rPr>
                <w:i/>
                <w:sz w:val="17"/>
              </w:rPr>
              <w:t>Payment Methods</w:t>
            </w:r>
          </w:p>
        </w:tc>
        <w:tc>
          <w:tcPr>
            <w:tcW w:type="dxa" w:w="2880"/>
          </w:tcPr>
          <w:p>
            <w:pPr>
              <w:spacing w:before="20" w:after="20"/>
              <w:jc w:val="left"/>
            </w:pPr>
            <w:r>
              <w:rPr>
                <w:b/>
                <w:sz w:val="17"/>
              </w:rPr>
              <w:t>Holds — verbatim, both limbs.</w:t>
            </w:r>
            <w:r>
              <w:rPr>
                <w:sz w:val="17"/>
              </w:rPr>
              <w:t xml:space="preserve"> LC-3's premise is sound.</w:t>
            </w:r>
          </w:p>
        </w:tc>
      </w:tr>
      <w:tr>
        <w:tc>
          <w:tcPr>
            <w:tcW w:type="dxa" w:w="2880"/>
          </w:tcPr>
          <w:p>
            <w:pPr>
              <w:spacing w:before="20" w:after="20"/>
              <w:jc w:val="left"/>
            </w:pPr>
            <w:r>
              <w:rPr>
                <w:sz w:val="17"/>
              </w:rPr>
              <w:t>HB 1867 (2023): free grant to teachers, $10,000–$60,000 per member, ~$50M at 1%, ~$78,000 implementation</w:t>
            </w:r>
          </w:p>
        </w:tc>
        <w:tc>
          <w:tcPr>
            <w:tcW w:type="dxa" w:w="2880"/>
          </w:tcPr>
          <w:p>
            <w:pPr>
              <w:spacing w:before="20" w:after="20"/>
              <w:jc w:val="left"/>
            </w:pPr>
            <w:r>
              <w:rPr>
                <w:sz w:val="17"/>
              </w:rPr>
              <w:t>VRS § 30-19.1:7 FIS, 1/16/2023 (full text extracted)</w:t>
            </w:r>
          </w:p>
        </w:tc>
        <w:tc>
          <w:tcPr>
            <w:tcW w:type="dxa" w:w="2880"/>
          </w:tcPr>
          <w:p>
            <w:pPr>
              <w:spacing w:before="20" w:after="20"/>
              <w:jc w:val="left"/>
            </w:pPr>
            <w:r>
              <w:rPr>
                <w:b/>
                <w:sz w:val="17"/>
              </w:rPr>
              <w:t>Holds — verbatim, and three facts the package should add:</w:t>
            </w:r>
            <w:r>
              <w:rPr>
                <w:sz w:val="17"/>
              </w:rPr>
              <w:t xml:space="preserve"> the average used is </w:t>
            </w:r>
            <w:r>
              <w:rPr>
                <w:b/>
                <w:sz w:val="17"/>
              </w:rPr>
              <w:t>$35,000</w:t>
            </w:r>
            <w:r>
              <w:rPr>
                <w:sz w:val="17"/>
              </w:rPr>
              <w:t xml:space="preserve">; "GF budget impacts: </w:t>
            </w:r>
            <w:r>
              <w:rPr>
                <w:b/>
                <w:sz w:val="17"/>
              </w:rPr>
              <w:t>No immediate impact</w:t>
            </w:r>
            <w:r>
              <w:rPr>
                <w:sz w:val="17"/>
              </w:rPr>
              <w:t xml:space="preserve">"; "Budget Amendment Necessary: </w:t>
            </w:r>
            <w:r>
              <w:rPr>
                <w:b/>
                <w:sz w:val="17"/>
              </w:rPr>
              <w:t>Yes.</w:t>
            </w:r>
            <w:r>
              <w:rPr>
                <w:sz w:val="17"/>
              </w:rPr>
              <w:t xml:space="preserve"> Item 498." The last two are directly adverse to </w:t>
            </w:r>
            <w:r>
              <w:rPr>
                <w:rFonts w:ascii="Consolas" w:hAnsi="Consolas"/>
                <w:color w:val="303030"/>
                <w:sz w:val="18"/>
              </w:rPr>
              <w:t>00</w:t>
            </w:r>
            <w:r>
              <w:rPr>
                <w:sz w:val="17"/>
              </w:rPr>
              <w:t>'s "$0, structural."</w:t>
            </w:r>
          </w:p>
        </w:tc>
      </w:tr>
      <w:tr>
        <w:tc>
          <w:tcPr>
            <w:tcW w:type="dxa" w:w="2880"/>
          </w:tcPr>
          <w:p>
            <w:pPr>
              <w:spacing w:before="20" w:after="20"/>
              <w:jc w:val="left"/>
            </w:pPr>
            <w:r>
              <w:rPr>
                <w:sz w:val="17"/>
              </w:rPr>
              <w:t>BLS Table 8 → 5.75% veteran share of state-and-local government workers</w:t>
            </w:r>
          </w:p>
        </w:tc>
        <w:tc>
          <w:tcPr>
            <w:tcW w:type="dxa" w:w="2880"/>
          </w:tcPr>
          <w:p>
            <w:pPr>
              <w:spacing w:before="20" w:after="20"/>
              <w:jc w:val="left"/>
            </w:pPr>
            <w:r>
              <w:rPr>
                <w:sz w:val="17"/>
              </w:rPr>
              <w:t>bls.gov/news.release/vet.t08.htm</w:t>
            </w:r>
          </w:p>
        </w:tc>
        <w:tc>
          <w:tcPr>
            <w:tcW w:type="dxa" w:w="2880"/>
          </w:tcPr>
          <w:p>
            <w:pPr>
              <w:spacing w:before="20" w:after="20"/>
              <w:jc w:val="left"/>
            </w:pPr>
            <w:r>
              <w:rPr>
                <w:b/>
                <w:sz w:val="17"/>
              </w:rPr>
              <w:t>Holds.</w:t>
            </w:r>
            <w:r>
              <w:rPr>
                <w:sz w:val="17"/>
              </w:rPr>
              <w:t xml:space="preserve"> Title, population ("all veterans, total" — not Gulf-War-era-only), period (August 2025, NSA), 12.9% / 10.9%, 7,893k / 153,213k all confirmed; 1,018/17,718 = 5.746%. </w:t>
            </w:r>
            <w:r>
              <w:rPr>
                <w:i/>
                <w:sz w:val="17"/>
              </w:rPr>
              <w:t>Caveat:</w:t>
            </w:r>
            <w:r>
              <w:rPr>
                <w:sz w:val="17"/>
              </w:rPr>
              <w:t xml:space="preserve"> one month of the CPS supplement, not seasonally adjusted. </w:t>
            </w:r>
            <w:r>
              <w:rPr>
                <w:i/>
                <w:sz w:val="17"/>
              </w:rPr>
              <w:t>And a point in the package's favour it does not make:</w:t>
            </w:r>
            <w:r>
              <w:rPr>
                <w:sz w:val="17"/>
              </w:rPr>
              <w:t xml:space="preserve"> because the S&amp;L universe includes teachers at 2.3%, the </w:t>
            </w:r>
            <w:r>
              <w:rPr>
                <w:b/>
                <w:sz w:val="17"/>
              </w:rPr>
              <w:t>non-teacher</w:t>
            </w:r>
            <w:r>
              <w:rPr>
                <w:sz w:val="17"/>
              </w:rPr>
              <w:t xml:space="preserve"> local-government share must exceed 5.75%, so 5.7% is a conservative floor for political subdivisions.</w:t>
            </w:r>
          </w:p>
        </w:tc>
      </w:tr>
      <w:tr>
        <w:tc>
          <w:tcPr>
            <w:tcW w:type="dxa" w:w="2880"/>
          </w:tcPr>
          <w:p>
            <w:pPr>
              <w:spacing w:before="20" w:after="20"/>
              <w:jc w:val="left"/>
            </w:pPr>
            <w:r>
              <w:rPr>
                <w:sz w:val="17"/>
              </w:rPr>
              <w:t>NCES 209.27 → 2.3% of public school teachers are veterans, 3.1% South</w:t>
            </w:r>
          </w:p>
        </w:tc>
        <w:tc>
          <w:tcPr>
            <w:tcW w:type="dxa" w:w="2880"/>
          </w:tcPr>
          <w:p>
            <w:pPr>
              <w:spacing w:before="20" w:after="20"/>
              <w:jc w:val="left"/>
            </w:pPr>
            <w:r>
              <w:rPr>
                <w:sz w:val="17"/>
              </w:rPr>
              <w:t>nces.ed.gov table 209.27</w:t>
            </w:r>
          </w:p>
        </w:tc>
        <w:tc>
          <w:tcPr>
            <w:tcW w:type="dxa" w:w="2880"/>
          </w:tcPr>
          <w:p>
            <w:pPr>
              <w:spacing w:before="20" w:after="20"/>
              <w:jc w:val="left"/>
            </w:pPr>
            <w:r>
              <w:rPr>
                <w:b/>
                <w:sz w:val="17"/>
              </w:rPr>
              <w:t xml:space="preserve">Holds on the numbers; vintage not disclosed in </w:t>
            </w:r>
            <w:r>
              <w:rPr>
                <w:rFonts w:ascii="Consolas" w:hAnsi="Consolas"/>
                <w:b/>
                <w:color w:val="303030"/>
                <w:sz w:val="18"/>
              </w:rPr>
              <w:t>01</w:t>
            </w:r>
            <w:r>
              <w:rPr>
                <w:b/>
                <w:sz w:val="17"/>
              </w:rPr>
              <w:t>.</w:t>
            </w:r>
            <w:r>
              <w:rPr>
                <w:sz w:val="17"/>
              </w:rPr>
              <w:t xml:space="preserve"> 2016 ACS 1-Year PUMS. See m-6.</w:t>
            </w:r>
          </w:p>
        </w:tc>
      </w:tr>
      <w:tr>
        <w:tc>
          <w:tcPr>
            <w:tcW w:type="dxa" w:w="2880"/>
          </w:tcPr>
          <w:p>
            <w:pPr>
              <w:spacing w:before="20" w:after="20"/>
              <w:jc w:val="left"/>
            </w:pPr>
            <w:r>
              <w:rPr>
                <w:sz w:val="17"/>
              </w:rPr>
              <w:t>§ 51.1-145 — cost lands in employer contribution rates</w:t>
            </w:r>
          </w:p>
        </w:tc>
        <w:tc>
          <w:tcPr>
            <w:tcW w:type="dxa" w:w="2880"/>
          </w:tcPr>
          <w:p>
            <w:pPr>
              <w:spacing w:before="20" w:after="20"/>
              <w:jc w:val="left"/>
            </w:pPr>
            <w:r>
              <w:rPr>
                <w:sz w:val="17"/>
              </w:rPr>
              <w:t>§ 51.1-145</w:t>
            </w:r>
          </w:p>
        </w:tc>
        <w:tc>
          <w:tcPr>
            <w:tcW w:type="dxa" w:w="2880"/>
          </w:tcPr>
          <w:p>
            <w:pPr>
              <w:spacing w:before="20" w:after="20"/>
              <w:jc w:val="left"/>
            </w:pPr>
            <w:r>
              <w:rPr>
                <w:b/>
                <w:sz w:val="17"/>
              </w:rPr>
              <w:t xml:space="preserve">Holds, and it defeats </w:t>
            </w:r>
            <w:r>
              <w:rPr>
                <w:rFonts w:ascii="Consolas" w:hAnsi="Consolas"/>
                <w:b/>
                <w:color w:val="303030"/>
                <w:sz w:val="18"/>
              </w:rPr>
              <w:t>00</w:t>
            </w:r>
            <w:r>
              <w:rPr>
                <w:b/>
                <w:sz w:val="17"/>
              </w:rPr>
              <w:t>'s framing.</w:t>
            </w:r>
            <w:r>
              <w:rPr>
                <w:sz w:val="17"/>
              </w:rPr>
              <w:t xml:space="preserve"> Board certifies (I); the appropriation bill "shall include the defined benefit employer contributions that will become due and payable" (K); the General Assembly sets rates (L). See F-1.</w:t>
            </w:r>
          </w:p>
        </w:tc>
      </w:tr>
      <w:tr>
        <w:tc>
          <w:tcPr>
            <w:tcW w:type="dxa" w:w="2880"/>
          </w:tcPr>
          <w:p>
            <w:pPr>
              <w:spacing w:before="20" w:after="20"/>
              <w:jc w:val="left"/>
            </w:pPr>
            <w:r>
              <w:rPr>
                <w:sz w:val="17"/>
              </w:rPr>
              <w:t>§ 30-19.1:7 — Board must file an impact statement</w:t>
            </w:r>
          </w:p>
        </w:tc>
        <w:tc>
          <w:tcPr>
            <w:tcW w:type="dxa" w:w="2880"/>
          </w:tcPr>
          <w:p>
            <w:pPr>
              <w:spacing w:before="20" w:after="20"/>
              <w:jc w:val="left"/>
            </w:pPr>
            <w:r>
              <w:rPr>
                <w:sz w:val="17"/>
              </w:rPr>
              <w:t>§ 30-19.1:7</w:t>
            </w:r>
          </w:p>
        </w:tc>
        <w:tc>
          <w:tcPr>
            <w:tcW w:type="dxa" w:w="2880"/>
          </w:tcPr>
          <w:p>
            <w:pPr>
              <w:spacing w:before="20" w:after="20"/>
              <w:jc w:val="left"/>
            </w:pPr>
            <w:r>
              <w:rPr>
                <w:b/>
                <w:sz w:val="17"/>
              </w:rPr>
              <w:t>Holds, and it is more pointed than quoted.</w:t>
            </w:r>
            <w:r>
              <w:rPr>
                <w:sz w:val="17"/>
              </w:rPr>
              <w:t xml:space="preserve"> The Board must report "the financial impact of the proposed bill </w:t>
            </w:r>
            <w:r>
              <w:rPr>
                <w:b/>
                <w:sz w:val="17"/>
              </w:rPr>
              <w:t>upon the general fund</w:t>
            </w:r>
            <w:r>
              <w:rPr>
                <w:sz w:val="17"/>
              </w:rPr>
              <w:t xml:space="preserve">" and on localities participating under </w:t>
            </w:r>
            <w:r>
              <w:rPr>
                <w:b/>
                <w:sz w:val="17"/>
              </w:rPr>
              <w:t>§ 51.1-800</w:t>
            </w:r>
            <w:r>
              <w:rPr>
                <w:sz w:val="17"/>
              </w:rPr>
              <w:t>, plus policy implications and the effect on local independent retirement systems.</w:t>
            </w:r>
          </w:p>
        </w:tc>
      </w:tr>
      <w:tr>
        <w:tc>
          <w:tcPr>
            <w:tcW w:type="dxa" w:w="2880"/>
          </w:tcPr>
          <w:p>
            <w:pPr>
              <w:spacing w:before="20" w:after="20"/>
              <w:jc w:val="left"/>
            </w:pPr>
            <w:r>
              <w:rPr>
                <w:sz w:val="17"/>
              </w:rPr>
              <w:t>VRS has no promulgated 1VAC65 regulations</w:t>
            </w:r>
          </w:p>
        </w:tc>
        <w:tc>
          <w:tcPr>
            <w:tcW w:type="dxa" w:w="2880"/>
          </w:tcPr>
          <w:p>
            <w:pPr>
              <w:spacing w:before="20" w:after="20"/>
              <w:jc w:val="left"/>
            </w:pPr>
            <w:r>
              <w:rPr>
                <w:sz w:val="17"/>
              </w:rPr>
              <w:t>1VAC65 agency page; § 2.2-4002; § 51.1-124.22</w:t>
            </w:r>
          </w:p>
        </w:tc>
        <w:tc>
          <w:tcPr>
            <w:tcW w:type="dxa" w:w="2880"/>
          </w:tcPr>
          <w:p>
            <w:pPr>
              <w:spacing w:before="20" w:after="20"/>
              <w:jc w:val="left"/>
            </w:pPr>
            <w:r>
              <w:rPr>
                <w:b/>
                <w:sz w:val="17"/>
              </w:rPr>
              <w:t>Holds, and is strengthened.</w:t>
            </w:r>
            <w:r>
              <w:rPr>
                <w:sz w:val="17"/>
              </w:rPr>
              <w:t xml:space="preserve"> No chapters beyond a preface; § 2.2-4002 grants VRS no APA exemption; § 51.1-124.22 directs the Board to "promulgate regulations and procedures." So the absence is a real gap, not an artefact.</w:t>
            </w:r>
          </w:p>
        </w:tc>
      </w:tr>
      <w:tr>
        <w:tc>
          <w:tcPr>
            <w:tcW w:type="dxa" w:w="2880"/>
          </w:tcPr>
          <w:p>
            <w:pPr>
              <w:spacing w:before="20" w:after="20"/>
              <w:jc w:val="left"/>
            </w:pPr>
            <w:r>
              <w:rPr>
                <w:sz w:val="17"/>
              </w:rPr>
              <w:t>20 states verified; Virginia the only one withdrawing the price by date of hire</w:t>
            </w:r>
          </w:p>
        </w:tc>
        <w:tc>
          <w:tcPr>
            <w:tcW w:type="dxa" w:w="2880"/>
          </w:tcPr>
          <w:p>
            <w:pPr>
              <w:spacing w:before="20" w:after="20"/>
              <w:jc w:val="left"/>
            </w:pPr>
            <w:r>
              <w:rPr>
                <w:sz w:val="17"/>
              </w:rPr>
              <w:t>MOO-8 project research (S13)</w:t>
            </w:r>
          </w:p>
        </w:tc>
        <w:tc>
          <w:tcPr>
            <w:tcW w:type="dxa" w:w="2880"/>
          </w:tcPr>
          <w:p>
            <w:pPr>
              <w:spacing w:before="20" w:after="20"/>
              <w:jc w:val="left"/>
            </w:pPr>
            <w:r>
              <w:rPr>
                <w:b/>
                <w:sz w:val="17"/>
              </w:rPr>
              <w:t>Not verifiable from the package.</w:t>
            </w:r>
            <w:r>
              <w:rPr>
                <w:sz w:val="17"/>
              </w:rPr>
              <w:t xml:space="preserve"> Not a failed citation — an unreproducible one. See M-2.</w:t>
            </w:r>
          </w:p>
        </w:tc>
      </w:tr>
      <w:tr>
        <w:tc>
          <w:tcPr>
            <w:tcW w:type="dxa" w:w="2880"/>
          </w:tcPr>
          <w:p>
            <w:pPr>
              <w:spacing w:before="20" w:after="20"/>
              <w:jc w:val="left"/>
            </w:pPr>
            <w:r>
              <w:rPr>
                <w:sz w:val="17"/>
              </w:rPr>
              <w:t>3.23× Cliff Graph multiple</w:t>
            </w:r>
          </w:p>
        </w:tc>
        <w:tc>
          <w:tcPr>
            <w:tcW w:type="dxa" w:w="2880"/>
          </w:tcPr>
          <w:p>
            <w:pPr>
              <w:spacing w:before="20" w:after="20"/>
              <w:jc w:val="left"/>
            </w:pPr>
            <w:r>
              <w:rPr>
                <w:sz w:val="17"/>
              </w:rPr>
              <w:t>—</w:t>
            </w:r>
          </w:p>
        </w:tc>
        <w:tc>
          <w:tcPr>
            <w:tcW w:type="dxa" w:w="2880"/>
          </w:tcPr>
          <w:p>
            <w:pPr>
              <w:spacing w:before="20" w:after="20"/>
              <w:jc w:val="left"/>
            </w:pPr>
            <w:r>
              <w:rPr>
                <w:b/>
                <w:sz w:val="17"/>
              </w:rPr>
              <w:t>Not re-checked independently.</w:t>
            </w:r>
            <w:r>
              <w:rPr>
                <w:sz w:val="17"/>
              </w:rPr>
              <w:t xml:space="preserve"> The team's own model reproduces 3.54× at the chart's profile; I accept that and did not rebuild it. The chart image itself is not in the repository and could not be inspected. See M-4.</w:t>
            </w:r>
          </w:p>
        </w:tc>
      </w:tr>
    </w:tbl>
    <w:p>
      <w:pPr>
        <w:spacing w:before="0" w:after="0" w:line="80" w:lineRule="exact"/>
      </w:pPr>
      <w:r>
        <w:rPr>
          <w:sz w:val="8"/>
        </w:rPr>
      </w:r>
    </w:p>
    <w:p>
      <w:pPr>
        <w:jc w:val="center"/>
      </w:pPr>
      <w:r>
        <w:rPr>
          <w:color w:val="909090"/>
          <w:sz w:val="18"/>
        </w:rPr>
        <w:t>* * *</w:t>
      </w:r>
    </w:p>
    <w:p>
      <w:pPr>
        <w:pStyle w:val="Heading2"/>
      </w:pPr>
      <w:r>
        <w:t>4. Fiscal assumption challenge</w:t>
      </w:r>
    </w:p>
    <w:p>
      <w:pPr>
        <w:pStyle w:val="Heading3"/>
      </w:pPr>
      <w:r>
        <w:t>4.1 The load-bearing assumption is not the one the brief names</w:t>
      </w:r>
    </w:p>
    <w:p>
      <w:r>
        <w:t xml:space="preserve">The brief names </w:t>
      </w:r>
      <w:r>
        <w:rPr>
          <w:b/>
        </w:rPr>
        <w:t>take-up</w:t>
      </w:r>
      <w:r>
        <w:t xml:space="preserve">: "the single input that would most narrow this range," "roughly 6 of that 14 is take-up alone." That is true of the </w:t>
      </w:r>
      <w:r>
        <w:rPr>
          <w:i/>
        </w:rPr>
        <w:t>published</w:t>
      </w:r>
      <w:r>
        <w:t xml:space="preserve"> range, and it is a fair thing to say. But take-up is a scenario dial — it is honestly presented as a grid and nobody is misled by it.</w:t>
      </w:r>
    </w:p>
    <w:p>
      <w:r>
        <w:t xml:space="preserve">The assumption the conclusion actually rests on, and which carries </w:t>
      </w:r>
      <w:r>
        <w:rPr>
          <w:b/>
        </w:rPr>
        <w:t>no band at all</w:t>
      </w:r>
      <w:r>
        <w:t xml:space="preserve">, is the </w:t>
      </w:r>
      <w:r>
        <w:rPr>
          <w:b/>
        </w:rPr>
        <w:t>representative purchaser profile</w:t>
      </w:r>
      <w:r>
        <w:t xml:space="preserve">. The per-member net present values — $47,967 / $17,174 / $6,779 — are single-profile point estimates. The Plan 1 representative purchaser is </w:t>
      </w:r>
      <w:r>
        <w:rPr>
          <w:b/>
        </w:rPr>
        <w:t>age 55 with 25 years of service</w:t>
      </w:r>
      <w:r>
        <w:t xml:space="preserve">, which is exactly the profile </w:t>
      </w:r>
      <w:r>
        <w:rPr>
          <w:rFonts w:ascii="Consolas" w:hAnsi="Consolas"/>
          <w:color w:val="303030"/>
          <w:sz w:val="18"/>
        </w:rPr>
        <w:t>04</w:t>
      </w:r>
      <w:r>
        <w:t xml:space="preserve"> FM-2 § 2.4 calls "a long-service member sitting just short of an eligibility threshold, which is the </w:t>
      </w:r>
      <w:r>
        <w:rPr>
          <w:b/>
        </w:rPr>
        <w:t>worst case, not the typical one</w:t>
      </w:r>
      <w:r>
        <w:t>." The brief rejects that profile as unrepresentative when defending the chart, and adopts it when pricing the bill.</w:t>
      </w:r>
    </w:p>
    <w:p>
      <w:r>
        <w:rPr>
          <w:b/>
        </w:rPr>
        <w:t>The test.</w:t>
      </w:r>
      <w:r>
        <w:t xml:space="preserve"> Hold the model, the salary basis and the 2.5 purchased years constant; vary only age and service.</w:t>
      </w:r>
    </w:p>
    <w:tbl>
      <w:tblPr>
        <w:tblStyle w:val="TableGrid"/>
        <w:tblW w:type="auto" w:w="0"/>
        <w:jc w:val="left"/>
        <w:tblLook w:firstColumn="1" w:firstRow="1" w:lastColumn="0" w:lastRow="0" w:noHBand="0" w:noVBand="1" w:val="04A0"/>
      </w:tblPr>
      <w:tblGrid>
        <w:gridCol w:w="2160"/>
        <w:gridCol w:w="2160"/>
        <w:gridCol w:w="2160"/>
        <w:gridCol w:w="2160"/>
      </w:tblGrid>
      <w:tr>
        <w:trPr>
          <w:tblHeader w:val="true"/>
        </w:trPr>
        <w:tc>
          <w:tcPr>
            <w:tcW w:type="dxa" w:w="2160"/>
          </w:tcPr>
          <w:p>
            <w:pPr>
              <w:spacing w:before="20" w:after="20"/>
              <w:jc w:val="left"/>
            </w:pPr>
            <w:r>
              <w:rPr>
                <w:b/>
                <w:sz w:val="17"/>
              </w:rPr>
              <w:t>Plan</w:t>
            </w:r>
          </w:p>
        </w:tc>
        <w:tc>
          <w:tcPr>
            <w:tcW w:type="dxa" w:w="2160"/>
          </w:tcPr>
          <w:p>
            <w:pPr>
              <w:spacing w:before="20" w:after="20"/>
              <w:jc w:val="left"/>
            </w:pPr>
            <w:r>
              <w:rPr>
                <w:b/>
                <w:sz w:val="17"/>
              </w:rPr>
              <w:t>Profile range tested</w:t>
            </w:r>
          </w:p>
        </w:tc>
        <w:tc>
          <w:tcPr>
            <w:tcW w:type="dxa" w:w="2160"/>
          </w:tcPr>
          <w:p>
            <w:pPr>
              <w:spacing w:before="20" w:after="20"/>
              <w:jc w:val="left"/>
            </w:pPr>
            <w:r>
              <w:rPr>
                <w:b/>
                <w:sz w:val="17"/>
              </w:rPr>
              <w:t>Net PV per purchaser</w:t>
            </w:r>
          </w:p>
        </w:tc>
        <w:tc>
          <w:tcPr>
            <w:tcW w:type="dxa" w:w="2160"/>
          </w:tcPr>
          <w:p>
            <w:pPr>
              <w:spacing w:before="20" w:after="20"/>
              <w:jc w:val="left"/>
            </w:pPr>
            <w:r>
              <w:rPr>
                <w:b/>
                <w:sz w:val="17"/>
              </w:rPr>
              <w:t>Spread</w:t>
            </w:r>
          </w:p>
        </w:tc>
      </w:tr>
      <w:tr>
        <w:tc>
          <w:tcPr>
            <w:tcW w:type="dxa" w:w="2160"/>
          </w:tcPr>
          <w:p>
            <w:pPr>
              <w:spacing w:before="20" w:after="20"/>
              <w:jc w:val="left"/>
            </w:pPr>
            <w:r>
              <w:rPr>
                <w:sz w:val="17"/>
              </w:rPr>
              <w:t>Plan 1</w:t>
            </w:r>
          </w:p>
        </w:tc>
        <w:tc>
          <w:tcPr>
            <w:tcW w:type="dxa" w:w="2160"/>
          </w:tcPr>
          <w:p>
            <w:pPr>
              <w:spacing w:before="20" w:after="20"/>
              <w:jc w:val="left"/>
            </w:pPr>
            <w:r>
              <w:rPr>
                <w:sz w:val="17"/>
              </w:rPr>
              <w:t>age 45 / 16 yrs → age 60 / 29 yrs</w:t>
            </w:r>
          </w:p>
        </w:tc>
        <w:tc>
          <w:tcPr>
            <w:tcW w:type="dxa" w:w="2160"/>
          </w:tcPr>
          <w:p>
            <w:pPr>
              <w:spacing w:before="20" w:after="20"/>
              <w:jc w:val="left"/>
            </w:pPr>
            <w:r>
              <w:rPr>
                <w:sz w:val="17"/>
              </w:rPr>
              <w:t>$28,677 → $57,277</w:t>
            </w:r>
          </w:p>
        </w:tc>
        <w:tc>
          <w:tcPr>
            <w:tcW w:type="dxa" w:w="2160"/>
          </w:tcPr>
          <w:p>
            <w:pPr>
              <w:spacing w:before="20" w:after="20"/>
              <w:jc w:val="left"/>
            </w:pPr>
            <w:r>
              <w:rPr>
                <w:b/>
                <w:sz w:val="17"/>
              </w:rPr>
              <w:t>2.0×</w:t>
            </w:r>
          </w:p>
        </w:tc>
      </w:tr>
      <w:tr>
        <w:tc>
          <w:tcPr>
            <w:tcW w:type="dxa" w:w="2160"/>
          </w:tcPr>
          <w:p>
            <w:pPr>
              <w:spacing w:before="20" w:after="20"/>
              <w:jc w:val="left"/>
            </w:pPr>
            <w:r>
              <w:rPr>
                <w:sz w:val="17"/>
              </w:rPr>
              <w:t>Plan 2</w:t>
            </w:r>
          </w:p>
        </w:tc>
        <w:tc>
          <w:tcPr>
            <w:tcW w:type="dxa" w:w="2160"/>
          </w:tcPr>
          <w:p>
            <w:pPr>
              <w:spacing w:before="20" w:after="20"/>
              <w:jc w:val="left"/>
            </w:pPr>
            <w:r>
              <w:rPr>
                <w:sz w:val="17"/>
              </w:rPr>
              <w:t>age 45 / 12 yrs → age 58 / 20 yrs</w:t>
            </w:r>
          </w:p>
        </w:tc>
        <w:tc>
          <w:tcPr>
            <w:tcW w:type="dxa" w:w="2160"/>
          </w:tcPr>
          <w:p>
            <w:pPr>
              <w:spacing w:before="20" w:after="20"/>
              <w:jc w:val="left"/>
            </w:pPr>
            <w:r>
              <w:rPr>
                <w:sz w:val="17"/>
              </w:rPr>
              <w:t>$14,359 → $26,030</w:t>
            </w:r>
          </w:p>
        </w:tc>
        <w:tc>
          <w:tcPr>
            <w:tcW w:type="dxa" w:w="2160"/>
          </w:tcPr>
          <w:p>
            <w:pPr>
              <w:spacing w:before="20" w:after="20"/>
              <w:jc w:val="left"/>
            </w:pPr>
            <w:r>
              <w:rPr>
                <w:sz w:val="17"/>
              </w:rPr>
              <w:t>1.8×</w:t>
            </w:r>
          </w:p>
        </w:tc>
      </w:tr>
      <w:tr>
        <w:tc>
          <w:tcPr>
            <w:tcW w:type="dxa" w:w="2160"/>
          </w:tcPr>
          <w:p>
            <w:pPr>
              <w:spacing w:before="20" w:after="20"/>
              <w:jc w:val="left"/>
            </w:pPr>
            <w:r>
              <w:rPr>
                <w:sz w:val="17"/>
              </w:rPr>
              <w:t>Hybrid</w:t>
            </w:r>
          </w:p>
        </w:tc>
        <w:tc>
          <w:tcPr>
            <w:tcW w:type="dxa" w:w="2160"/>
          </w:tcPr>
          <w:p>
            <w:pPr>
              <w:spacing w:before="20" w:after="20"/>
              <w:jc w:val="left"/>
            </w:pPr>
            <w:r>
              <w:rPr>
                <w:sz w:val="17"/>
              </w:rPr>
              <w:t>age 38 / 5 yrs → age 50 / 9 yrs</w:t>
            </w:r>
          </w:p>
        </w:tc>
        <w:tc>
          <w:tcPr>
            <w:tcW w:type="dxa" w:w="2160"/>
          </w:tcPr>
          <w:p>
            <w:pPr>
              <w:spacing w:before="20" w:after="20"/>
              <w:jc w:val="left"/>
            </w:pPr>
            <w:r>
              <w:rPr>
                <w:sz w:val="17"/>
              </w:rPr>
              <w:t>$3,959 → $6,779</w:t>
            </w:r>
          </w:p>
        </w:tc>
        <w:tc>
          <w:tcPr>
            <w:tcW w:type="dxa" w:w="2160"/>
          </w:tcPr>
          <w:p>
            <w:pPr>
              <w:spacing w:before="20" w:after="20"/>
              <w:jc w:val="left"/>
            </w:pPr>
            <w:r>
              <w:rPr>
                <w:sz w:val="17"/>
              </w:rPr>
              <w:t>1.7×</w:t>
            </w:r>
          </w:p>
        </w:tc>
      </w:tr>
    </w:tbl>
    <w:p>
      <w:pPr>
        <w:spacing w:before="0" w:after="0" w:line="80" w:lineRule="exact"/>
      </w:pPr>
      <w:r>
        <w:rPr>
          <w:sz w:val="8"/>
        </w:rPr>
      </w:r>
    </w:p>
    <w:p>
      <w:r>
        <w:rPr>
          <w:b/>
        </w:rPr>
        <w:t>The result.</w:t>
      </w:r>
      <w:r>
        <w:t xml:space="preserve"> Profile mix is a third source of variance of the same order as the pool band (2.3×), and the brief attributes the entire range to pool and take-up. If the average purchaser is ten years younger than the representative profile — which is what the brief's own recruitment story implies, with the average new state hire at 37.7 — the headline falls by roughly 40%. The honest headline is therefore </w:t>
      </w:r>
      <w:r>
        <w:rPr>
          <w:b/>
        </w:rPr>
        <w:t>wider at the bottom than published</w:t>
      </w:r>
      <w:r>
        <w:t>, and the fix is cheap: run each plan at three profiles and publish the per-member figure as a band.</w:t>
      </w:r>
    </w:p>
    <w:p>
      <w:pPr>
        <w:pStyle w:val="Heading3"/>
      </w:pPr>
      <w:r>
        <w:t>4.2 Three further results, all reproducible</w:t>
      </w:r>
    </w:p>
    <w:p>
      <w:r>
        <w:rPr>
          <w:b/>
        </w:rPr>
        <w:t>(a) The break-even defence does not survive the model's own basis.</w:t>
      </w:r>
      <w:r>
        <w:t xml:space="preserve"> A-3 net cost to the Fund, full basis (benefit amount + acceleration), 2.5 years, $69,865:</w:t>
      </w:r>
    </w:p>
    <w:tbl>
      <w:tblPr>
        <w:tblStyle w:val="TableGrid"/>
        <w:tblW w:type="auto" w:w="0"/>
        <w:jc w:val="left"/>
        <w:tblLook w:firstColumn="1" w:firstRow="1" w:lastColumn="0" w:lastRow="0" w:noHBand="0" w:noVBand="1" w:val="04A0"/>
      </w:tblPr>
      <w:tblGrid>
        <w:gridCol w:w="1080"/>
        <w:gridCol w:w="1080"/>
        <w:gridCol w:w="1080"/>
        <w:gridCol w:w="1080"/>
        <w:gridCol w:w="1080"/>
        <w:gridCol w:w="1080"/>
        <w:gridCol w:w="1080"/>
        <w:gridCol w:w="1080"/>
      </w:tblGrid>
      <w:tr>
        <w:trPr>
          <w:tblHeader w:val="true"/>
        </w:trPr>
        <w:tc>
          <w:tcPr>
            <w:tcW w:type="dxa" w:w="1080"/>
          </w:tcPr>
          <w:p>
            <w:pPr>
              <w:spacing w:before="20" w:after="20"/>
              <w:jc w:val="left"/>
            </w:pPr>
            <w:r>
              <w:rPr>
                <w:b/>
                <w:sz w:val="17"/>
              </w:rPr>
              <w:t>Purchase age</w:t>
            </w:r>
          </w:p>
        </w:tc>
        <w:tc>
          <w:tcPr>
            <w:tcW w:type="dxa" w:w="1080"/>
          </w:tcPr>
          <w:p>
            <w:pPr>
              <w:spacing w:before="20" w:after="20"/>
              <w:jc w:val="right"/>
            </w:pPr>
            <w:r>
              <w:rPr>
                <w:b/>
                <w:sz w:val="17"/>
              </w:rPr>
              <w:t>28</w:t>
            </w:r>
          </w:p>
        </w:tc>
        <w:tc>
          <w:tcPr>
            <w:tcW w:type="dxa" w:w="1080"/>
          </w:tcPr>
          <w:p>
            <w:pPr>
              <w:spacing w:before="20" w:after="20"/>
              <w:jc w:val="right"/>
            </w:pPr>
            <w:r>
              <w:rPr>
                <w:b/>
                <w:sz w:val="17"/>
              </w:rPr>
              <w:t>34</w:t>
            </w:r>
          </w:p>
        </w:tc>
        <w:tc>
          <w:tcPr>
            <w:tcW w:type="dxa" w:w="1080"/>
          </w:tcPr>
          <w:p>
            <w:pPr>
              <w:spacing w:before="20" w:after="20"/>
              <w:jc w:val="right"/>
            </w:pPr>
            <w:r>
              <w:rPr>
                <w:b/>
                <w:sz w:val="17"/>
              </w:rPr>
              <w:t>40</w:t>
            </w:r>
          </w:p>
        </w:tc>
        <w:tc>
          <w:tcPr>
            <w:tcW w:type="dxa" w:w="1080"/>
          </w:tcPr>
          <w:p>
            <w:pPr>
              <w:spacing w:before="20" w:after="20"/>
              <w:jc w:val="right"/>
            </w:pPr>
            <w:r>
              <w:rPr>
                <w:b/>
                <w:sz w:val="17"/>
              </w:rPr>
              <w:t>46</w:t>
            </w:r>
          </w:p>
        </w:tc>
        <w:tc>
          <w:tcPr>
            <w:tcW w:type="dxa" w:w="1080"/>
          </w:tcPr>
          <w:p>
            <w:pPr>
              <w:spacing w:before="20" w:after="20"/>
              <w:jc w:val="right"/>
            </w:pPr>
            <w:r>
              <w:rPr>
                <w:b/>
                <w:sz w:val="17"/>
              </w:rPr>
              <w:t>52</w:t>
            </w:r>
          </w:p>
        </w:tc>
        <w:tc>
          <w:tcPr>
            <w:tcW w:type="dxa" w:w="1080"/>
          </w:tcPr>
          <w:p>
            <w:pPr>
              <w:spacing w:before="20" w:after="20"/>
              <w:jc w:val="right"/>
            </w:pPr>
            <w:r>
              <w:rPr>
                <w:b/>
                <w:sz w:val="17"/>
              </w:rPr>
              <w:t>58</w:t>
            </w:r>
          </w:p>
        </w:tc>
        <w:tc>
          <w:tcPr>
            <w:tcW w:type="dxa" w:w="1080"/>
          </w:tcPr>
          <w:p>
            <w:pPr>
              <w:spacing w:before="20" w:after="20"/>
              <w:jc w:val="right"/>
            </w:pPr>
            <w:r>
              <w:rPr>
                <w:b/>
                <w:sz w:val="17"/>
              </w:rPr>
              <w:t>61</w:t>
            </w:r>
          </w:p>
        </w:tc>
      </w:tr>
      <w:tr>
        <w:tc>
          <w:tcPr>
            <w:tcW w:type="dxa" w:w="1080"/>
          </w:tcPr>
          <w:p>
            <w:pPr>
              <w:spacing w:before="20" w:after="20"/>
              <w:jc w:val="left"/>
            </w:pPr>
            <w:r>
              <w:rPr>
                <w:sz w:val="17"/>
              </w:rPr>
              <w:t>Plan 1</w:t>
            </w:r>
          </w:p>
        </w:tc>
        <w:tc>
          <w:tcPr>
            <w:tcW w:type="dxa" w:w="1080"/>
          </w:tcPr>
          <w:p>
            <w:pPr>
              <w:spacing w:before="20" w:after="20"/>
              <w:jc w:val="right"/>
            </w:pPr>
            <w:r>
              <w:rPr>
                <w:sz w:val="17"/>
              </w:rPr>
              <w:t>$9,711</w:t>
            </w:r>
          </w:p>
        </w:tc>
        <w:tc>
          <w:tcPr>
            <w:tcW w:type="dxa" w:w="1080"/>
          </w:tcPr>
          <w:p>
            <w:pPr>
              <w:spacing w:before="20" w:after="20"/>
              <w:jc w:val="right"/>
            </w:pPr>
            <w:r>
              <w:rPr>
                <w:sz w:val="17"/>
              </w:rPr>
              <w:t>$10,003</w:t>
            </w:r>
          </w:p>
        </w:tc>
        <w:tc>
          <w:tcPr>
            <w:tcW w:type="dxa" w:w="1080"/>
          </w:tcPr>
          <w:p>
            <w:pPr>
              <w:spacing w:before="20" w:after="20"/>
              <w:jc w:val="right"/>
            </w:pPr>
            <w:r>
              <w:rPr>
                <w:sz w:val="17"/>
              </w:rPr>
              <w:t>$16,303</w:t>
            </w:r>
          </w:p>
        </w:tc>
        <w:tc>
          <w:tcPr>
            <w:tcW w:type="dxa" w:w="1080"/>
          </w:tcPr>
          <w:p>
            <w:pPr>
              <w:spacing w:before="20" w:after="20"/>
              <w:jc w:val="right"/>
            </w:pPr>
            <w:r>
              <w:rPr>
                <w:sz w:val="17"/>
              </w:rPr>
              <w:t>$25,429</w:t>
            </w:r>
          </w:p>
        </w:tc>
        <w:tc>
          <w:tcPr>
            <w:tcW w:type="dxa" w:w="1080"/>
          </w:tcPr>
          <w:p>
            <w:pPr>
              <w:spacing w:before="20" w:after="20"/>
              <w:jc w:val="right"/>
            </w:pPr>
            <w:r>
              <w:rPr>
                <w:sz w:val="17"/>
              </w:rPr>
              <w:t>$36,740</w:t>
            </w:r>
          </w:p>
        </w:tc>
        <w:tc>
          <w:tcPr>
            <w:tcW w:type="dxa" w:w="1080"/>
          </w:tcPr>
          <w:p>
            <w:pPr>
              <w:spacing w:before="20" w:after="20"/>
              <w:jc w:val="right"/>
            </w:pPr>
            <w:r>
              <w:rPr>
                <w:sz w:val="17"/>
              </w:rPr>
              <w:t>$50,758</w:t>
            </w:r>
          </w:p>
        </w:tc>
        <w:tc>
          <w:tcPr>
            <w:tcW w:type="dxa" w:w="1080"/>
          </w:tcPr>
          <w:p>
            <w:pPr>
              <w:spacing w:before="20" w:after="20"/>
              <w:jc w:val="right"/>
            </w:pPr>
            <w:r>
              <w:rPr>
                <w:sz w:val="17"/>
              </w:rPr>
              <w:t>$56,355</w:t>
            </w:r>
          </w:p>
        </w:tc>
      </w:tr>
      <w:tr>
        <w:tc>
          <w:tcPr>
            <w:tcW w:type="dxa" w:w="1080"/>
          </w:tcPr>
          <w:p>
            <w:pPr>
              <w:spacing w:before="20" w:after="20"/>
              <w:jc w:val="left"/>
            </w:pPr>
            <w:r>
              <w:rPr>
                <w:sz w:val="17"/>
              </w:rPr>
              <w:t>Plan 2</w:t>
            </w:r>
          </w:p>
        </w:tc>
        <w:tc>
          <w:tcPr>
            <w:tcW w:type="dxa" w:w="1080"/>
          </w:tcPr>
          <w:p>
            <w:pPr>
              <w:spacing w:before="20" w:after="20"/>
              <w:jc w:val="right"/>
            </w:pPr>
            <w:r>
              <w:rPr>
                <w:sz w:val="17"/>
              </w:rPr>
              <w:t>$4,276</w:t>
            </w:r>
          </w:p>
        </w:tc>
        <w:tc>
          <w:tcPr>
            <w:tcW w:type="dxa" w:w="1080"/>
          </w:tcPr>
          <w:p>
            <w:pPr>
              <w:spacing w:before="20" w:after="20"/>
              <w:jc w:val="right"/>
            </w:pPr>
            <w:r>
              <w:rPr>
                <w:sz w:val="17"/>
              </w:rPr>
              <w:t>$5,035</w:t>
            </w:r>
          </w:p>
        </w:tc>
        <w:tc>
          <w:tcPr>
            <w:tcW w:type="dxa" w:w="1080"/>
          </w:tcPr>
          <w:p>
            <w:pPr>
              <w:spacing w:before="20" w:after="20"/>
              <w:jc w:val="right"/>
            </w:pPr>
            <w:r>
              <w:rPr>
                <w:sz w:val="17"/>
              </w:rPr>
              <w:t>$9,796</w:t>
            </w:r>
          </w:p>
        </w:tc>
        <w:tc>
          <w:tcPr>
            <w:tcW w:type="dxa" w:w="1080"/>
          </w:tcPr>
          <w:p>
            <w:pPr>
              <w:spacing w:before="20" w:after="20"/>
              <w:jc w:val="right"/>
            </w:pPr>
            <w:r>
              <w:rPr>
                <w:sz w:val="17"/>
              </w:rPr>
              <w:t>$16,630</w:t>
            </w:r>
          </w:p>
        </w:tc>
        <w:tc>
          <w:tcPr>
            <w:tcW w:type="dxa" w:w="1080"/>
          </w:tcPr>
          <w:p>
            <w:pPr>
              <w:spacing w:before="20" w:after="20"/>
              <w:jc w:val="right"/>
            </w:pPr>
            <w:r>
              <w:rPr>
                <w:sz w:val="17"/>
              </w:rPr>
              <w:t>$25,099</w:t>
            </w:r>
          </w:p>
        </w:tc>
        <w:tc>
          <w:tcPr>
            <w:tcW w:type="dxa" w:w="1080"/>
          </w:tcPr>
          <w:p>
            <w:pPr>
              <w:spacing w:before="20" w:after="20"/>
              <w:jc w:val="right"/>
            </w:pPr>
            <w:r>
              <w:rPr>
                <w:sz w:val="17"/>
              </w:rPr>
              <w:t>$35,595</w:t>
            </w:r>
          </w:p>
        </w:tc>
        <w:tc>
          <w:tcPr>
            <w:tcW w:type="dxa" w:w="1080"/>
          </w:tcPr>
          <w:p>
            <w:pPr>
              <w:spacing w:before="20" w:after="20"/>
              <w:jc w:val="right"/>
            </w:pPr>
            <w:r>
              <w:rPr>
                <w:sz w:val="17"/>
              </w:rPr>
              <w:t>$27,296</w:t>
            </w:r>
          </w:p>
        </w:tc>
      </w:tr>
      <w:tr>
        <w:tc>
          <w:tcPr>
            <w:tcW w:type="dxa" w:w="1080"/>
          </w:tcPr>
          <w:p>
            <w:pPr>
              <w:spacing w:before="20" w:after="20"/>
              <w:jc w:val="left"/>
            </w:pPr>
            <w:r>
              <w:rPr>
                <w:sz w:val="17"/>
              </w:rPr>
              <w:t>Hybrid</w:t>
            </w:r>
          </w:p>
        </w:tc>
        <w:tc>
          <w:tcPr>
            <w:tcW w:type="dxa" w:w="1080"/>
          </w:tcPr>
          <w:p>
            <w:pPr>
              <w:spacing w:before="20" w:after="20"/>
              <w:jc w:val="right"/>
            </w:pPr>
            <w:r>
              <w:rPr>
                <w:sz w:val="17"/>
              </w:rPr>
              <w:t>$2,293</w:t>
            </w:r>
          </w:p>
        </w:tc>
        <w:tc>
          <w:tcPr>
            <w:tcW w:type="dxa" w:w="1080"/>
          </w:tcPr>
          <w:p>
            <w:pPr>
              <w:spacing w:before="20" w:after="20"/>
              <w:jc w:val="right"/>
            </w:pPr>
            <w:r>
              <w:rPr>
                <w:sz w:val="17"/>
              </w:rPr>
              <w:t>$2,753</w:t>
            </w:r>
          </w:p>
        </w:tc>
        <w:tc>
          <w:tcPr>
            <w:tcW w:type="dxa" w:w="1080"/>
          </w:tcPr>
          <w:p>
            <w:pPr>
              <w:spacing w:before="20" w:after="20"/>
              <w:jc w:val="right"/>
            </w:pPr>
            <w:r>
              <w:rPr>
                <w:sz w:val="17"/>
              </w:rPr>
              <w:t>$5,639</w:t>
            </w:r>
          </w:p>
        </w:tc>
        <w:tc>
          <w:tcPr>
            <w:tcW w:type="dxa" w:w="1080"/>
          </w:tcPr>
          <w:p>
            <w:pPr>
              <w:spacing w:before="20" w:after="20"/>
              <w:jc w:val="right"/>
            </w:pPr>
            <w:r>
              <w:rPr>
                <w:sz w:val="17"/>
              </w:rPr>
              <w:t>$9,780</w:t>
            </w:r>
          </w:p>
        </w:tc>
        <w:tc>
          <w:tcPr>
            <w:tcW w:type="dxa" w:w="1080"/>
          </w:tcPr>
          <w:p>
            <w:pPr>
              <w:spacing w:before="20" w:after="20"/>
              <w:jc w:val="right"/>
            </w:pPr>
            <w:r>
              <w:rPr>
                <w:sz w:val="17"/>
              </w:rPr>
              <w:t>$14,913</w:t>
            </w:r>
          </w:p>
        </w:tc>
        <w:tc>
          <w:tcPr>
            <w:tcW w:type="dxa" w:w="1080"/>
          </w:tcPr>
          <w:p>
            <w:pPr>
              <w:spacing w:before="20" w:after="20"/>
              <w:jc w:val="right"/>
            </w:pPr>
            <w:r>
              <w:rPr>
                <w:sz w:val="17"/>
              </w:rPr>
              <w:t>$21,274</w:t>
            </w:r>
          </w:p>
        </w:tc>
        <w:tc>
          <w:tcPr>
            <w:tcW w:type="dxa" w:w="1080"/>
          </w:tcPr>
          <w:p>
            <w:pPr>
              <w:spacing w:before="20" w:after="20"/>
              <w:jc w:val="right"/>
            </w:pPr>
            <w:r>
              <w:rPr>
                <w:sz w:val="17"/>
              </w:rPr>
              <w:t>$16,245</w:t>
            </w:r>
          </w:p>
        </w:tc>
      </w:tr>
    </w:tbl>
    <w:p>
      <w:pPr>
        <w:spacing w:before="0" w:after="0" w:line="80" w:lineRule="exact"/>
      </w:pPr>
      <w:r>
        <w:rPr>
          <w:sz w:val="8"/>
        </w:rPr>
      </w:r>
    </w:p>
    <w:p>
      <w:r>
        <w:t xml:space="preserve">Positive everywhere. There is no age at which the veteran subsidises the Fund once acceleration is counted — which is the basis the cost table uses. See S-2. The benefit-amount-only break-even of 46.6 / 47.4 / 48.2 is real, correctly derived, and correctly labelled </w:t>
      </w:r>
      <w:r>
        <w:rPr>
          <w:b/>
        </w:rPr>
        <w:t>inside the model</w:t>
      </w:r>
      <w:r>
        <w:t>; it is the brief and the one-pager that drop the label.</w:t>
      </w:r>
    </w:p>
    <w:p>
      <w:r>
        <w:rPr>
          <w:b/>
        </w:rPr>
        <w:t>(b) The pool pairing.</w:t>
      </w:r>
      <w:r>
        <w:t xml:space="preserve"> Correcting </w:t>
      </w:r>
      <w:r>
        <w:rPr>
          <w:rFonts w:ascii="Consolas" w:hAnsi="Consolas"/>
          <w:color w:val="303030"/>
          <w:sz w:val="18"/>
        </w:rPr>
        <w:t>eff_lo = pool_lo / pw_lo</w:t>
      </w:r>
      <w:r>
        <w:t xml:space="preserve">, </w:t>
      </w:r>
      <w:r>
        <w:rPr>
          <w:rFonts w:ascii="Consolas" w:hAnsi="Consolas"/>
          <w:color w:val="303030"/>
          <w:sz w:val="18"/>
        </w:rPr>
        <w:t>eff_hi = pool_hi / pw_hi</w:t>
      </w:r>
      <w:r>
        <w:t>:</w:t>
      </w:r>
    </w:p>
    <w:tbl>
      <w:tblPr>
        <w:tblStyle w:val="TableGrid"/>
        <w:tblW w:type="auto" w:w="0"/>
        <w:jc w:val="left"/>
        <w:tblLook w:firstColumn="1" w:firstRow="1" w:lastColumn="0" w:lastRow="0" w:noHBand="0" w:noVBand="1" w:val="04A0"/>
      </w:tblPr>
      <w:tblGrid>
        <w:gridCol w:w="2880"/>
        <w:gridCol w:w="2880"/>
        <w:gridCol w:w="2880"/>
      </w:tblGrid>
      <w:tr>
        <w:trPr>
          <w:tblHeader w:val="true"/>
        </w:trPr>
        <w:tc>
          <w:tcPr>
            <w:tcW w:type="dxa" w:w="2880"/>
          </w:tcPr>
          <w:p>
            <w:pPr>
              <w:spacing w:before="20" w:after="20"/>
              <w:jc w:val="left"/>
            </w:pPr>
            <w:r>
              <w:rPr>
                <w:b/>
                <w:sz w:val="17"/>
              </w:rPr>
              <w:t>Take-up</w:t>
            </w:r>
          </w:p>
        </w:tc>
        <w:tc>
          <w:tcPr>
            <w:tcW w:type="dxa" w:w="2880"/>
          </w:tcPr>
          <w:p>
            <w:pPr>
              <w:spacing w:before="20" w:after="20"/>
              <w:jc w:val="left"/>
            </w:pPr>
            <w:r>
              <w:rPr>
                <w:b/>
                <w:sz w:val="17"/>
              </w:rPr>
              <w:t>As published</w:t>
            </w:r>
          </w:p>
        </w:tc>
        <w:tc>
          <w:tcPr>
            <w:tcW w:type="dxa" w:w="2880"/>
          </w:tcPr>
          <w:p>
            <w:pPr>
              <w:spacing w:before="20" w:after="20"/>
              <w:jc w:val="left"/>
            </w:pPr>
            <w:r>
              <w:rPr>
                <w:b/>
                <w:sz w:val="17"/>
              </w:rPr>
              <w:t>Corrected</w:t>
            </w:r>
          </w:p>
        </w:tc>
      </w:tr>
      <w:tr>
        <w:tc>
          <w:tcPr>
            <w:tcW w:type="dxa" w:w="2880"/>
          </w:tcPr>
          <w:p>
            <w:pPr>
              <w:spacing w:before="20" w:after="20"/>
              <w:jc w:val="left"/>
            </w:pPr>
            <w:r>
              <w:rPr>
                <w:sz w:val="17"/>
              </w:rPr>
              <w:t>5%</w:t>
            </w:r>
          </w:p>
        </w:tc>
        <w:tc>
          <w:tcPr>
            <w:tcW w:type="dxa" w:w="2880"/>
          </w:tcPr>
          <w:p>
            <w:pPr>
              <w:spacing w:before="20" w:after="20"/>
              <w:jc w:val="left"/>
            </w:pPr>
            <w:r>
              <w:rPr>
                <w:sz w:val="17"/>
              </w:rPr>
              <w:t>$13.0M – $30.4M</w:t>
            </w:r>
          </w:p>
        </w:tc>
        <w:tc>
          <w:tcPr>
            <w:tcW w:type="dxa" w:w="2880"/>
          </w:tcPr>
          <w:p>
            <w:pPr>
              <w:spacing w:before="20" w:after="20"/>
              <w:jc w:val="left"/>
            </w:pPr>
            <w:r>
              <w:rPr>
                <w:b/>
                <w:sz w:val="17"/>
              </w:rPr>
              <w:t>$14.2M – $27.7M</w:t>
            </w:r>
          </w:p>
        </w:tc>
      </w:tr>
      <w:tr>
        <w:tc>
          <w:tcPr>
            <w:tcW w:type="dxa" w:w="2880"/>
          </w:tcPr>
          <w:p>
            <w:pPr>
              <w:spacing w:before="20" w:after="20"/>
              <w:jc w:val="left"/>
            </w:pPr>
            <w:r>
              <w:rPr>
                <w:sz w:val="17"/>
              </w:rPr>
              <w:t>20%</w:t>
            </w:r>
          </w:p>
        </w:tc>
        <w:tc>
          <w:tcPr>
            <w:tcW w:type="dxa" w:w="2880"/>
          </w:tcPr>
          <w:p>
            <w:pPr>
              <w:spacing w:before="20" w:after="20"/>
              <w:jc w:val="left"/>
            </w:pPr>
            <w:r>
              <w:rPr>
                <w:sz w:val="17"/>
              </w:rPr>
              <w:t>$52.0M – $121.5M</w:t>
            </w:r>
          </w:p>
        </w:tc>
        <w:tc>
          <w:tcPr>
            <w:tcW w:type="dxa" w:w="2880"/>
          </w:tcPr>
          <w:p>
            <w:pPr>
              <w:spacing w:before="20" w:after="20"/>
              <w:jc w:val="left"/>
            </w:pPr>
            <w:r>
              <w:rPr>
                <w:b/>
                <w:sz w:val="17"/>
              </w:rPr>
              <w:t>$57.0M – $110.9M</w:t>
            </w:r>
          </w:p>
        </w:tc>
      </w:tr>
      <w:tr>
        <w:tc>
          <w:tcPr>
            <w:tcW w:type="dxa" w:w="2880"/>
          </w:tcPr>
          <w:p>
            <w:pPr>
              <w:spacing w:before="20" w:after="20"/>
              <w:jc w:val="left"/>
            </w:pPr>
            <w:r>
              <w:rPr>
                <w:sz w:val="17"/>
              </w:rPr>
              <w:t>30%</w:t>
            </w:r>
          </w:p>
        </w:tc>
        <w:tc>
          <w:tcPr>
            <w:tcW w:type="dxa" w:w="2880"/>
          </w:tcPr>
          <w:p>
            <w:pPr>
              <w:spacing w:before="20" w:after="20"/>
              <w:jc w:val="left"/>
            </w:pPr>
            <w:r>
              <w:rPr>
                <w:sz w:val="17"/>
              </w:rPr>
              <w:t>$78.0M – $182.2M</w:t>
            </w:r>
          </w:p>
        </w:tc>
        <w:tc>
          <w:tcPr>
            <w:tcW w:type="dxa" w:w="2880"/>
          </w:tcPr>
          <w:p>
            <w:pPr>
              <w:spacing w:before="20" w:after="20"/>
              <w:jc w:val="left"/>
            </w:pPr>
            <w:r>
              <w:rPr>
                <w:b/>
                <w:sz w:val="17"/>
              </w:rPr>
              <w:t>$85.4M – $166.4M</w:t>
            </w:r>
          </w:p>
        </w:tc>
      </w:tr>
      <w:tr>
        <w:tc>
          <w:tcPr>
            <w:tcW w:type="dxa" w:w="2880"/>
          </w:tcPr>
          <w:p>
            <w:pPr>
              <w:spacing w:before="20" w:after="20"/>
              <w:jc w:val="left"/>
            </w:pPr>
            <w:r>
              <w:rPr>
                <w:sz w:val="17"/>
              </w:rPr>
              <w:t>Headline</w:t>
            </w:r>
          </w:p>
        </w:tc>
        <w:tc>
          <w:tcPr>
            <w:tcW w:type="dxa" w:w="2880"/>
          </w:tcPr>
          <w:p>
            <w:pPr>
              <w:spacing w:before="20" w:after="20"/>
              <w:jc w:val="left"/>
            </w:pPr>
            <w:r>
              <w:rPr>
                <w:b/>
                <w:sz w:val="17"/>
              </w:rPr>
              <w:t>$13M – $182M</w:t>
            </w:r>
          </w:p>
        </w:tc>
        <w:tc>
          <w:tcPr>
            <w:tcW w:type="dxa" w:w="2880"/>
          </w:tcPr>
          <w:p>
            <w:pPr>
              <w:spacing w:before="20" w:after="20"/>
              <w:jc w:val="left"/>
            </w:pPr>
            <w:r>
              <w:rPr>
                <w:b/>
                <w:sz w:val="17"/>
              </w:rPr>
              <w:t>$14M – $166M</w:t>
            </w:r>
          </w:p>
        </w:tc>
      </w:tr>
    </w:tbl>
    <w:p>
      <w:pPr>
        <w:spacing w:before="0" w:after="0" w:line="80" w:lineRule="exact"/>
      </w:pPr>
      <w:r>
        <w:rPr>
          <w:sz w:val="8"/>
        </w:rPr>
      </w:r>
    </w:p>
    <w:p>
      <w:r>
        <w:t>The corrected grid reconciles with the three-bucket exposure table on a single pool of 11,565–24,036. See S-3.</w:t>
      </w:r>
    </w:p>
    <w:p>
      <w:r>
        <w:rPr>
          <w:b/>
        </w:rPr>
        <w:t>(c) The HB 1867 cross-check, restated at a single years basis.</w:t>
      </w:r>
      <w:r>
        <w:t xml:space="preserve"> Everything below is the team's own model, run at </w:t>
      </w:r>
      <w:r>
        <w:rPr>
          <w:b/>
        </w:rPr>
        <w:t>4 years</w:t>
      </w:r>
      <w:r>
        <w:t xml:space="preserve"> so that it matches VRS's "up to 48 months," salary $69,865.</w:t>
      </w:r>
    </w:p>
    <w:tbl>
      <w:tblPr>
        <w:tblStyle w:val="TableGrid"/>
        <w:tblW w:type="auto" w:w="0"/>
        <w:jc w:val="left"/>
        <w:tblLook w:firstColumn="1" w:firstRow="1" w:lastColumn="0" w:lastRow="0" w:noHBand="0" w:noVBand="1" w:val="04A0"/>
      </w:tblPr>
      <w:tblGrid>
        <w:gridCol w:w="1728"/>
        <w:gridCol w:w="1728"/>
        <w:gridCol w:w="1728"/>
        <w:gridCol w:w="1728"/>
        <w:gridCol w:w="1728"/>
      </w:tblGrid>
      <w:tr>
        <w:trPr>
          <w:tblHeader w:val="true"/>
        </w:trPr>
        <w:tc>
          <w:tcPr>
            <w:tcW w:type="dxa" w:w="1728"/>
          </w:tcPr>
          <w:p>
            <w:pPr>
              <w:spacing w:before="20" w:after="20"/>
              <w:jc w:val="left"/>
            </w:pPr>
          </w:p>
        </w:tc>
        <w:tc>
          <w:tcPr>
            <w:tcW w:type="dxa" w:w="1728"/>
          </w:tcPr>
          <w:p>
            <w:pPr>
              <w:spacing w:before="20" w:after="20"/>
              <w:jc w:val="right"/>
            </w:pPr>
            <w:r>
              <w:rPr>
                <w:b/>
                <w:sz w:val="17"/>
              </w:rPr>
              <w:t>Plan 1</w:t>
            </w:r>
          </w:p>
        </w:tc>
        <w:tc>
          <w:tcPr>
            <w:tcW w:type="dxa" w:w="1728"/>
          </w:tcPr>
          <w:p>
            <w:pPr>
              <w:spacing w:before="20" w:after="20"/>
              <w:jc w:val="right"/>
            </w:pPr>
            <w:r>
              <w:rPr>
                <w:b/>
                <w:sz w:val="17"/>
              </w:rPr>
              <w:t>Plan 2</w:t>
            </w:r>
          </w:p>
        </w:tc>
        <w:tc>
          <w:tcPr>
            <w:tcW w:type="dxa" w:w="1728"/>
          </w:tcPr>
          <w:p>
            <w:pPr>
              <w:spacing w:before="20" w:after="20"/>
              <w:jc w:val="right"/>
            </w:pPr>
            <w:r>
              <w:rPr>
                <w:b/>
                <w:sz w:val="17"/>
              </w:rPr>
              <w:t>Hybrid</w:t>
            </w:r>
          </w:p>
        </w:tc>
        <w:tc>
          <w:tcPr>
            <w:tcW w:type="dxa" w:w="1728"/>
          </w:tcPr>
          <w:p>
            <w:pPr>
              <w:spacing w:before="20" w:after="20"/>
              <w:jc w:val="right"/>
            </w:pPr>
            <w:r>
              <w:rPr>
                <w:b/>
                <w:sz w:val="17"/>
              </w:rPr>
              <w:t>Pool-weighted blend</w:t>
            </w:r>
          </w:p>
        </w:tc>
      </w:tr>
      <w:tr>
        <w:tc>
          <w:tcPr>
            <w:tcW w:type="dxa" w:w="1728"/>
          </w:tcPr>
          <w:p>
            <w:pPr>
              <w:spacing w:before="20" w:after="20"/>
              <w:jc w:val="left"/>
            </w:pPr>
            <w:r>
              <w:rPr>
                <w:sz w:val="17"/>
              </w:rPr>
              <w:t xml:space="preserve">Total PV to the Fund = </w:t>
            </w:r>
            <w:r>
              <w:rPr>
                <w:b/>
                <w:sz w:val="17"/>
              </w:rPr>
              <w:t>free-grant equivalent</w:t>
            </w:r>
          </w:p>
        </w:tc>
        <w:tc>
          <w:tcPr>
            <w:tcW w:type="dxa" w:w="1728"/>
          </w:tcPr>
          <w:p>
            <w:pPr>
              <w:spacing w:before="20" w:after="20"/>
              <w:jc w:val="right"/>
            </w:pPr>
            <w:r>
              <w:rPr>
                <w:b/>
                <w:sz w:val="17"/>
              </w:rPr>
              <w:t>$123,520</w:t>
            </w:r>
          </w:p>
        </w:tc>
        <w:tc>
          <w:tcPr>
            <w:tcW w:type="dxa" w:w="1728"/>
          </w:tcPr>
          <w:p>
            <w:pPr>
              <w:spacing w:before="20" w:after="20"/>
              <w:jc w:val="right"/>
            </w:pPr>
            <w:r>
              <w:rPr>
                <w:sz w:val="17"/>
              </w:rPr>
              <w:t>$58,971</w:t>
            </w:r>
          </w:p>
        </w:tc>
        <w:tc>
          <w:tcPr>
            <w:tcW w:type="dxa" w:w="1728"/>
          </w:tcPr>
          <w:p>
            <w:pPr>
              <w:spacing w:before="20" w:after="20"/>
              <w:jc w:val="right"/>
            </w:pPr>
            <w:r>
              <w:rPr>
                <w:sz w:val="17"/>
              </w:rPr>
              <w:t>$30,281</w:t>
            </w:r>
          </w:p>
        </w:tc>
        <w:tc>
          <w:tcPr>
            <w:tcW w:type="dxa" w:w="1728"/>
          </w:tcPr>
          <w:p>
            <w:pPr>
              <w:spacing w:before="20" w:after="20"/>
              <w:jc w:val="right"/>
            </w:pPr>
            <w:r>
              <w:rPr>
                <w:sz w:val="17"/>
              </w:rPr>
              <w:t>$55,573</w:t>
            </w:r>
          </w:p>
        </w:tc>
      </w:tr>
      <w:tr>
        <w:tc>
          <w:tcPr>
            <w:tcW w:type="dxa" w:w="1728"/>
          </w:tcPr>
          <w:p>
            <w:pPr>
              <w:spacing w:before="20" w:after="20"/>
              <w:jc w:val="left"/>
            </w:pPr>
            <w:r>
              <w:rPr>
                <w:sz w:val="17"/>
              </w:rPr>
              <w:t>Member price at A-3</w:t>
            </w:r>
          </w:p>
        </w:tc>
        <w:tc>
          <w:tcPr>
            <w:tcW w:type="dxa" w:w="1728"/>
          </w:tcPr>
          <w:p>
            <w:pPr>
              <w:spacing w:before="20" w:after="20"/>
              <w:jc w:val="right"/>
            </w:pPr>
            <w:r>
              <w:rPr>
                <w:sz w:val="17"/>
              </w:rPr>
              <w:t>$34,932</w:t>
            </w:r>
          </w:p>
        </w:tc>
        <w:tc>
          <w:tcPr>
            <w:tcW w:type="dxa" w:w="1728"/>
          </w:tcPr>
          <w:p>
            <w:pPr>
              <w:spacing w:before="20" w:after="20"/>
              <w:jc w:val="right"/>
            </w:pPr>
            <w:r>
              <w:rPr>
                <w:sz w:val="17"/>
              </w:rPr>
              <w:t>$30,014</w:t>
            </w:r>
          </w:p>
        </w:tc>
        <w:tc>
          <w:tcPr>
            <w:tcW w:type="dxa" w:w="1728"/>
          </w:tcPr>
          <w:p>
            <w:pPr>
              <w:spacing w:before="20" w:after="20"/>
              <w:jc w:val="right"/>
            </w:pPr>
            <w:r>
              <w:rPr>
                <w:sz w:val="17"/>
              </w:rPr>
              <w:t>$18,668</w:t>
            </w:r>
          </w:p>
        </w:tc>
        <w:tc>
          <w:tcPr>
            <w:tcW w:type="dxa" w:w="1728"/>
          </w:tcPr>
          <w:p>
            <w:pPr>
              <w:spacing w:before="20" w:after="20"/>
              <w:jc w:val="right"/>
            </w:pPr>
            <w:r>
              <w:rPr>
                <w:sz w:val="17"/>
              </w:rPr>
              <w:t>—</w:t>
            </w:r>
          </w:p>
        </w:tc>
      </w:tr>
      <w:tr>
        <w:tc>
          <w:tcPr>
            <w:tcW w:type="dxa" w:w="1728"/>
          </w:tcPr>
          <w:p>
            <w:pPr>
              <w:spacing w:before="20" w:after="20"/>
              <w:jc w:val="left"/>
            </w:pPr>
            <w:r>
              <w:rPr>
                <w:sz w:val="17"/>
              </w:rPr>
              <w:t>Net PV to the Fund</w:t>
            </w:r>
          </w:p>
        </w:tc>
        <w:tc>
          <w:tcPr>
            <w:tcW w:type="dxa" w:w="1728"/>
          </w:tcPr>
          <w:p>
            <w:pPr>
              <w:spacing w:before="20" w:after="20"/>
              <w:jc w:val="right"/>
            </w:pPr>
            <w:r>
              <w:rPr>
                <w:sz w:val="17"/>
              </w:rPr>
              <w:t>$88,587</w:t>
            </w:r>
          </w:p>
        </w:tc>
        <w:tc>
          <w:tcPr>
            <w:tcW w:type="dxa" w:w="1728"/>
          </w:tcPr>
          <w:p>
            <w:pPr>
              <w:spacing w:before="20" w:after="20"/>
              <w:jc w:val="right"/>
            </w:pPr>
            <w:r>
              <w:rPr>
                <w:sz w:val="17"/>
              </w:rPr>
              <w:t>$28,957</w:t>
            </w:r>
          </w:p>
        </w:tc>
        <w:tc>
          <w:tcPr>
            <w:tcW w:type="dxa" w:w="1728"/>
          </w:tcPr>
          <w:p>
            <w:pPr>
              <w:spacing w:before="20" w:after="20"/>
              <w:jc w:val="right"/>
            </w:pPr>
            <w:r>
              <w:rPr>
                <w:sz w:val="17"/>
              </w:rPr>
              <w:t>$11,614</w:t>
            </w:r>
          </w:p>
        </w:tc>
        <w:tc>
          <w:tcPr>
            <w:tcW w:type="dxa" w:w="1728"/>
          </w:tcPr>
          <w:p>
            <w:pPr>
              <w:spacing w:before="20" w:after="20"/>
              <w:jc w:val="right"/>
            </w:pPr>
            <w:r>
              <w:rPr>
                <w:b/>
                <w:sz w:val="17"/>
              </w:rPr>
              <w:t>$42,455</w:t>
            </w:r>
          </w:p>
        </w:tc>
      </w:tr>
      <w:tr>
        <w:tc>
          <w:tcPr>
            <w:tcW w:type="dxa" w:w="1728"/>
          </w:tcPr>
          <w:p>
            <w:pPr>
              <w:spacing w:before="20" w:after="20"/>
              <w:jc w:val="left"/>
            </w:pPr>
            <w:r>
              <w:rPr>
                <w:sz w:val="17"/>
              </w:rPr>
              <w:t xml:space="preserve">Against VRS's $10,000–$60,000 (avg </w:t>
            </w:r>
            <w:r>
              <w:rPr>
                <w:b/>
                <w:sz w:val="17"/>
              </w:rPr>
              <w:t>$35,000</w:t>
            </w:r>
            <w:r>
              <w:rPr>
                <w:sz w:val="17"/>
              </w:rPr>
              <w:t>)</w:t>
            </w:r>
          </w:p>
        </w:tc>
        <w:tc>
          <w:tcPr>
            <w:tcW w:type="dxa" w:w="1728"/>
          </w:tcPr>
          <w:p>
            <w:pPr>
              <w:spacing w:before="20" w:after="20"/>
              <w:jc w:val="right"/>
            </w:pPr>
            <w:r>
              <w:rPr>
                <w:b/>
                <w:sz w:val="17"/>
              </w:rPr>
              <w:t>2.06× the ceiling</w:t>
            </w:r>
          </w:p>
        </w:tc>
        <w:tc>
          <w:tcPr>
            <w:tcW w:type="dxa" w:w="1728"/>
          </w:tcPr>
          <w:p>
            <w:pPr>
              <w:spacing w:before="20" w:after="20"/>
              <w:jc w:val="right"/>
            </w:pPr>
            <w:r>
              <w:rPr>
                <w:sz w:val="17"/>
              </w:rPr>
              <w:t>inside</w:t>
            </w:r>
          </w:p>
        </w:tc>
        <w:tc>
          <w:tcPr>
            <w:tcW w:type="dxa" w:w="1728"/>
          </w:tcPr>
          <w:p>
            <w:pPr>
              <w:spacing w:before="20" w:after="20"/>
              <w:jc w:val="right"/>
            </w:pPr>
            <w:r>
              <w:rPr>
                <w:sz w:val="17"/>
              </w:rPr>
              <w:t>inside</w:t>
            </w:r>
          </w:p>
        </w:tc>
        <w:tc>
          <w:tcPr>
            <w:tcW w:type="dxa" w:w="1728"/>
          </w:tcPr>
          <w:p>
            <w:pPr>
              <w:spacing w:before="20" w:after="20"/>
              <w:jc w:val="right"/>
            </w:pPr>
            <w:r>
              <w:rPr>
                <w:sz w:val="17"/>
              </w:rPr>
              <w:t>—</w:t>
            </w:r>
          </w:p>
        </w:tc>
      </w:tr>
    </w:tbl>
    <w:p>
      <w:pPr>
        <w:spacing w:before="0" w:after="0" w:line="80" w:lineRule="exact"/>
      </w:pPr>
      <w:r>
        <w:rPr>
          <w:sz w:val="8"/>
        </w:rPr>
      </w:r>
    </w:p>
    <w:p>
      <w:r>
        <w:t xml:space="preserve">Three consequences. (1) The free-grant equivalent for a Plan 1 member is </w:t>
      </w:r>
      <w:r>
        <w:rPr>
          <w:b/>
        </w:rPr>
        <w:t>twice the top of VRS's entire band</w:t>
      </w:r>
      <w:r>
        <w:t xml:space="preserve">, so the package is not conservative relative to VRS; it is hotter. (2) The rewritten § 4.6 "structural" ratio of </w:t>
      </w:r>
      <w:r>
        <w:rPr>
          <w:b/>
        </w:rPr>
        <w:t>0.704</w:t>
      </w:r>
      <w:r>
        <w:t xml:space="preserve"> was computed from a 2.5-year net against a 4-year VRS average; at a matched 4-year basis it is </w:t>
      </w:r>
      <w:r>
        <w:rPr>
          <w:b/>
        </w:rPr>
        <w:t>$42,455 / $35,000 = 1.213</w:t>
      </w:r>
      <w:r>
        <w:t xml:space="preserve">, which </w:t>
      </w:r>
      <w:r>
        <w:rPr>
          <w:b/>
        </w:rPr>
        <w:t>no value of 1 − 1/m can equal</w:t>
      </w:r>
      <w:r>
        <w:t xml:space="preserve"> — the identity the annex derives is violated by the comparison the annex draws from it. (3) Run the other way, taking VRS's average as given and subtracting the A-3 member price for four years, the net to the Fund is </w:t>
      </w:r>
      <w:r>
        <w:rPr>
          <w:b/>
        </w:rPr>
        <w:t>$68 / $4,986 / $16,332</w:t>
      </w:r>
      <w:r>
        <w:t xml:space="preserve"> — an order of magnitude lower, and ordering the plans oppositely, because VRS's band is flat across plans while the A-3 price rises steeply with the plan's normal-cost rate. See S-1.</w:t>
      </w:r>
    </w:p>
    <w:p>
      <w:pPr>
        <w:pStyle w:val="Heading3"/>
      </w:pPr>
      <w:r>
        <w:t>4.3 What I did not test</w:t>
      </w:r>
    </w:p>
    <w:p>
      <w:r>
        <w:t xml:space="preserve">HIC trust impact (§ 51.1-1400, including the 15-year step), the early-retirement reduction subsidy, administrative cost, refund option value, and IRC § 415(n) interaction. All are correctly listed as unpriced in </w:t>
      </w:r>
      <w:r>
        <w:rPr>
          <w:rFonts w:ascii="Consolas" w:hAnsi="Consolas"/>
          <w:color w:val="303030"/>
          <w:sz w:val="18"/>
        </w:rPr>
        <w:t>01</w:t>
      </w:r>
      <w:r>
        <w:t xml:space="preserve"> and </w:t>
      </w:r>
      <w:r>
        <w:rPr>
          <w:rFonts w:ascii="Consolas" w:hAnsi="Consolas"/>
          <w:color w:val="303030"/>
          <w:sz w:val="18"/>
        </w:rPr>
        <w:t>04</w:t>
      </w:r>
      <w:r>
        <w:t xml:space="preserve"> § 4.9, and all run </w:t>
      </w:r>
      <w:r>
        <w:rPr>
          <w:b/>
        </w:rPr>
        <w:t>upward</w:t>
      </w:r>
      <w:r>
        <w:t>. The brief's statement that these are not netted against the pension figures is correct and should be kept.</w:t>
      </w:r>
    </w:p>
    <w:p>
      <w:pPr>
        <w:jc w:val="center"/>
      </w:pPr>
      <w:r>
        <w:rPr>
          <w:color w:val="909090"/>
          <w:sz w:val="18"/>
        </w:rPr>
        <w:t>* * *</w:t>
      </w:r>
    </w:p>
    <w:p>
      <w:pPr>
        <w:pStyle w:val="Heading2"/>
      </w:pPr>
      <w:r>
        <w:t>5. Counsel questions LC-1 to LC-4 — closed</w:t>
      </w:r>
    </w:p>
    <w:p>
      <w:pPr>
        <w:pStyle w:val="Heading3"/>
      </w:pPr>
      <w:r>
        <w:t>LC-1. Does failure to give notice toll the 24-month window, or is the duty directive only?</w:t>
      </w:r>
    </w:p>
    <w:p>
      <w:r>
        <w:rPr>
          <w:b/>
        </w:rPr>
        <w:t>Recommendation: directive only — and recognise first that the question is now largely moot.</w:t>
      </w:r>
    </w:p>
    <w:p>
      <w:r>
        <w:t>Three steps.</w:t>
      </w:r>
    </w:p>
    <w:p>
      <w:pPr>
        <w:spacing w:after="60"/>
        <w:ind w:left="432" w:hanging="432"/>
      </w:pPr>
      <w:r>
        <w:rPr>
          <w:b/>
        </w:rPr>
        <w:t>1.</w:t>
        <w:tab/>
      </w:r>
      <w:r>
        <w:rPr>
          <w:b/>
        </w:rPr>
        <w:t>Moot as to military service.</w:t>
      </w:r>
      <w:r>
        <w:t xml:space="preserve"> The bill </w:t>
      </w:r>
      <w:r>
        <w:rPr>
          <w:i/>
        </w:rPr>
        <w:t>removes</w:t>
      </w:r>
      <w:r>
        <w:t xml:space="preserve"> the deadline for subdivision B 2 purchases. There is no window left to toll. Removing a deadline is a strictly better remedy for the veteran than requiring notice of it, and it cannot be scored as a retrospective liability. The notice recommendation that was Recommendation B in v1.0 has silently disappeared from </w:t>
      </w:r>
      <w:r>
        <w:rPr>
          <w:rFonts w:ascii="Consolas" w:hAnsi="Consolas"/>
          <w:color w:val="303030"/>
          <w:sz w:val="18"/>
        </w:rPr>
        <w:t>01</w:t>
      </w:r>
      <w:r>
        <w:t xml:space="preserve"> v1.2; whichever way JLCVSO decides, </w:t>
      </w:r>
      <w:r>
        <w:rPr>
          <w:b/>
        </w:rPr>
        <w:t>say so on the face of the brief</w:t>
      </w:r>
      <w:r>
        <w:t xml:space="preserve"> (M-4).</w:t>
      </w:r>
    </w:p>
    <w:p>
      <w:pPr>
        <w:spacing w:after="60"/>
        <w:ind w:left="432" w:hanging="432"/>
      </w:pPr>
      <w:r>
        <w:rPr>
          <w:b/>
        </w:rPr>
        <w:t>2.</w:t>
        <w:tab/>
      </w:r>
      <w:r>
        <w:rPr>
          <w:b/>
        </w:rPr>
        <w:t>If a general notice duty is nonetheless added</w:t>
      </w:r>
      <w:r>
        <w:t xml:space="preserve"> for the B 1 windows the bill leaves alone, draft it as </w:t>
      </w:r>
      <w:r>
        <w:rPr>
          <w:b/>
        </w:rPr>
        <w:t>directive</w:t>
      </w:r>
      <w:r>
        <w:t xml:space="preserve">. Two reasons, and the first is doctrinal rather than tactical. Under </w:t>
      </w:r>
      <w:r>
        <w:rPr>
          <w:i/>
        </w:rPr>
        <w:t>Jamborsky v. Baskins</w:t>
      </w:r>
      <w:r>
        <w:t xml:space="preserve">, 247 Va. 506, 442 S.E.2d 636 (1994), "the use of the word </w:t>
      </w:r>
      <w:r>
        <w:rPr>
          <w:i/>
        </w:rPr>
        <w:t>shall</w:t>
      </w:r>
      <w:r>
        <w:t xml:space="preserve"> in a statute requiring action by a public official is directory and not mandatory unless the statute manifests a contrary intent." A bare "the Retirement System or the employer shall give notice" will therefore be construed as directive </w:t>
      </w:r>
      <w:r>
        <w:rPr>
          <w:b/>
        </w:rPr>
        <w:t>anyway</w:t>
      </w:r>
      <w:r>
        <w:t>; a tolling remedy must be written expressly and conspicuously or it does not exist. The choice is not between a strong duty and a weak one — it is between a duty whose consequence is stated and one whose consequence is zero.</w:t>
      </w:r>
    </w:p>
    <w:p>
      <w:pPr>
        <w:spacing w:after="60"/>
        <w:ind w:left="432" w:hanging="432"/>
      </w:pPr>
      <w:r>
        <w:rPr>
          <w:b/>
        </w:rPr>
        <w:t>3.</w:t>
        <w:tab/>
      </w:r>
      <w:r>
        <w:rPr>
          <w:b/>
        </w:rPr>
        <w:t>Why not to write the tolling remedy.</w:t>
      </w:r>
      <w:r>
        <w:t xml:space="preserve"> It is an open-ended retrospective liability of a kind VRS cannot price and will oppose on that ground alone. It re-opens the normal-cost price for an indeterminate number of members for whom no employer can now prove notice, across 864 participating employers, with no record-keeping requirement that ever applied. That is the second bill with the second score, and it is the one that does not pass. It also puts the proponent in the position of asking the General Assembly to create a cause of action against school divisions and localities in the same session it is asking them to absorb a rate increase.</w:t>
      </w:r>
    </w:p>
    <w:p>
      <w:r>
        <w:rPr>
          <w:b/>
        </w:rPr>
        <w:t>If JLCVSO wants the duty to bite without the tail</w:t>
      </w:r>
      <w:r>
        <w:t xml:space="preserve">, there is a bounded middle: notice at hire and again at month 18, employer certification retained in the member record, and a remedy limited to a </w:t>
      </w:r>
      <w:r>
        <w:rPr>
          <w:b/>
        </w:rPr>
        <w:t>fixed 12-month extension</w:t>
      </w:r>
      <w:r>
        <w:t xml:space="preserve"> available only to members </w:t>
      </w:r>
      <w:r>
        <w:rPr>
          <w:b/>
        </w:rPr>
        <w:t>first hired after the effective date</w:t>
      </w:r>
      <w:r>
        <w:t>. Prospective, bounded, countable, priceable. That is the version an actuary can score and a locality can live with.</w:t>
      </w:r>
    </w:p>
    <w:p>
      <w:pPr>
        <w:pStyle w:val="Heading3"/>
      </w:pPr>
      <w:r>
        <w:t>LC-2. Does an earlier unreduced-eligibility date reached partly through purchased credit disturb the PLOP active-service requirement?</w:t>
      </w:r>
    </w:p>
    <w:p>
      <w:r>
        <w:rPr>
          <w:b/>
        </w:rPr>
        <w:t>Confirmed: no.</w:t>
      </w:r>
      <w:r>
        <w:t xml:space="preserve"> § 51.1-165.01 B establishes three tiers, each requiring </w:t>
      </w:r>
      <w:r>
        <w:rPr>
          <w:b/>
        </w:rPr>
        <w:t>both</w:t>
      </w:r>
      <w:r>
        <w:t xml:space="preserve"> creditable service </w:t>
      </w:r>
      <w:r>
        <w:rPr>
          <w:i/>
        </w:rPr>
        <w:t>performed</w:t>
      </w:r>
      <w:r>
        <w:t xml:space="preserve"> after the date the member first becomes eligible for an unreduced service retirement allowance </w:t>
      </w:r>
      <w:r>
        <w:rPr>
          <w:b/>
        </w:rPr>
        <w:t>and</w:t>
      </w:r>
      <w:r>
        <w:t xml:space="preserve"> being "in service" for 1, 2 or 3 full years after January 1, 2001. Purchased military service is </w:t>
      </w:r>
      <w:r>
        <w:rPr>
          <w:b/>
        </w:rPr>
        <w:t>prior service</w:t>
      </w:r>
      <w:r>
        <w:t xml:space="preserve"> — "service rendered prior to becoming a member of the Retirement System" (§ 51.1-124.3) — so it is not </w:t>
      </w:r>
      <w:r>
        <w:rPr>
          <w:i/>
        </w:rPr>
        <w:t>performed</w:t>
      </w:r>
      <w:r>
        <w:t xml:space="preserve"> after the eligibility date and cannot satisfy either gate. The requirement for actual worked service is undisturbed. Annex A § 5's reading is correct.</w:t>
      </w:r>
    </w:p>
    <w:p>
      <w:r>
        <w:t>Two things to carry forward.</w:t>
      </w:r>
    </w:p>
    <w:p>
      <w:pPr>
        <w:pStyle w:val="ListBullet"/>
      </w:pPr>
      <w:r>
        <w:rPr>
          <w:b/>
        </w:rPr>
        <w:t>A volume effect that is not priced.</w:t>
      </w:r>
      <w:r>
        <w:t xml:space="preserve"> Moving the first-eligibility date earlier starts the post-eligibility clock sooner, so a member who keeps working can accumulate the 3 years needed for the largest PLOP tier where previously they could reach only 1 or 2. More members reach higher tiers. PLOP is designed to be actuarially neutral, so this should be close to cost-free — but it is a utilisation change VRS will want to see named, and it is absent from </w:t>
      </w:r>
      <w:r>
        <w:rPr>
          <w:rFonts w:ascii="Consolas" w:hAnsi="Consolas"/>
          <w:color w:val="303030"/>
          <w:sz w:val="18"/>
        </w:rPr>
        <w:t>04</w:t>
      </w:r>
      <w:r>
        <w:t xml:space="preserve"> § 4.9.</w:t>
      </w:r>
    </w:p>
    <w:p>
      <w:pPr>
        <w:pStyle w:val="ListBullet"/>
      </w:pPr>
      <w:r>
        <w:rPr>
          <w:b/>
        </w:rPr>
        <w:t>Enactment clause 2 (v) is drafted too wide and may defeat the very acceleration the bill intends.</w:t>
      </w:r>
      <w:r>
        <w:t xml:space="preserve"> See M-7, with the narrowing language.</w:t>
      </w:r>
    </w:p>
    <w:p>
      <w:pPr>
        <w:pStyle w:val="Heading3"/>
      </w:pPr>
      <w:r>
        <w:t>LC-3. Is the two-year payment-agreement rule administrative rather than statutorily compelled?</w:t>
      </w:r>
    </w:p>
    <w:p>
      <w:r>
        <w:rPr>
          <w:b/>
        </w:rPr>
        <w:t>View: administrative. The statute does not compel it, and relaxing it delivers a real part of the objective with no bill — but a smaller part than the brief implies.</w:t>
      </w:r>
    </w:p>
    <w:p>
      <w:r>
        <w:t>The textual case is strong and rests on two verified provisions.</w:t>
      </w:r>
    </w:p>
    <w:p>
      <w:pPr>
        <w:pStyle w:val="ListBullet"/>
      </w:pPr>
      <w:r>
        <w:rPr>
          <w:b/>
        </w:rPr>
        <w:t>§ 51.1-142.2 B 3</w:t>
      </w:r>
      <w:r>
        <w:t xml:space="preserve"> conditions the price on the member "purchas[ing], </w:t>
      </w:r>
      <w:r>
        <w:rPr>
          <w:b/>
        </w:rPr>
        <w:t>or enter[ing] into a purchase of service credit contract for</w:t>
      </w:r>
      <w:r>
        <w:t xml:space="preserve">," the service within 24 months. The statutory event is </w:t>
      </w:r>
      <w:r>
        <w:rPr>
          <w:i/>
        </w:rPr>
        <w:t>entry into the contract</w:t>
      </w:r>
      <w:r>
        <w:t>, not its completion. On the statute's own words a contract entered into in month 23 and performed over the following four years is priced at approximate normal cost.</w:t>
      </w:r>
    </w:p>
    <w:p>
      <w:pPr>
        <w:pStyle w:val="ListBullet"/>
      </w:pPr>
      <w:r>
        <w:rPr>
          <w:b/>
        </w:rPr>
        <w:t>§ 51.1-142.2 F</w:t>
      </w:r>
      <w:r>
        <w:t xml:space="preserve"> is the payment provision and contains </w:t>
      </w:r>
      <w:r>
        <w:rPr>
          <w:b/>
        </w:rPr>
        <w:t>no duration limit whatsoever</w:t>
      </w:r>
      <w:r>
        <w:t xml:space="preserve">: "Payment may be made in a lump sum at the time of purchase or by payroll deduction. </w:t>
      </w:r>
      <w:r>
        <w:rPr>
          <w:b/>
        </w:rPr>
        <w:t>Any number of additional deductions may be permitted at any time.</w:t>
      </w:r>
      <w:r>
        <w:t xml:space="preserve">" It expressly contemplates partial performance: "Should any deduction be terminated before the member purchases the entire period contracted for, the member shall be credited with the number of full or partial months of service for which full payment has been made." A statute that provides a rule for </w:t>
      </w:r>
      <w:r>
        <w:rPr>
          <w:i/>
        </w:rPr>
        <w:t>incomplete</w:t>
      </w:r>
      <w:r>
        <w:t xml:space="preserve"> payment is not a statute that requires completion inside 24 months.</w:t>
      </w:r>
    </w:p>
    <w:p>
      <w:r>
        <w:t>Both restrictions — the 6-to-12-month duration and "</w:t>
      </w:r>
      <w:r>
        <w:rPr>
          <w:b/>
        </w:rPr>
        <w:t>[t]he duration of an agreement may not extend beyond the two-year approximate normal cost window</w:t>
      </w:r>
      <w:r>
        <w:t xml:space="preserve">" — appear on VRS's </w:t>
      </w:r>
      <w:r>
        <w:rPr>
          <w:i/>
        </w:rPr>
        <w:t>Payment Methods</w:t>
      </w:r>
      <w:r>
        <w:t xml:space="preserve"> page, verified verbatim. Neither appears in the Code.</w:t>
      </w:r>
    </w:p>
    <w:p>
      <w:r>
        <w:rPr>
          <w:b/>
        </w:rPr>
        <w:t>The limit of the relief, stated plainly so nobody oversells it.</w:t>
      </w:r>
      <w:r>
        <w:t xml:space="preserve"> Relaxing the rule helps </w:t>
      </w:r>
      <w:r>
        <w:rPr>
          <w:b/>
        </w:rPr>
        <w:t>only members still inside the 24-month window</w:t>
      </w:r>
      <w:r>
        <w:t xml:space="preserve">: it lets a new veteran hire spread $18,666 over five years instead of twelve months. It does nothing for the 110,474 Plan 1 members already past the window, because after month 24 the price is actuarial equivalent cost and no payment term restores the normal-cost price. So LC-3 is a genuine bill-free win for the </w:t>
      </w:r>
      <w:r>
        <w:rPr>
          <w:b/>
        </w:rPr>
        <w:t>in-window</w:t>
      </w:r>
      <w:r>
        <w:t xml:space="preserve"> population — and it means </w:t>
      </w:r>
      <w:r>
        <w:rPr>
          <w:b/>
        </w:rPr>
        <w:t>Fallback 1 is only half administrable.</w:t>
      </w:r>
      <w:r>
        <w:t xml:space="preserve"> Payment flexibility for in-window members needs no bill; payment flexibility at any career stage still does, because the thing that needs changing is the price, not the schedule. Correct </w:t>
      </w:r>
      <w:r>
        <w:rPr>
          <w:rFonts w:ascii="Consolas" w:hAnsi="Consolas"/>
          <w:color w:val="303030"/>
          <w:sz w:val="18"/>
        </w:rPr>
        <w:t>01</w:t>
      </w:r>
      <w:r>
        <w:t>'s Fallback 1 accordingly.</w:t>
      </w:r>
    </w:p>
    <w:p>
      <w:r>
        <w:rPr>
          <w:b/>
        </w:rPr>
        <w:t>Draft question to VRS — ready to send, for Policy Director's release:</w:t>
      </w:r>
    </w:p>
    <w:p>
      <w:pPr>
        <w:spacing w:before="120" w:after="120"/>
        <w:ind w:left="480"/>
      </w:pPr>
      <w:r>
        <w:rPr>
          <w:b/>
          <w:i/>
          <w:color w:val="444444"/>
          <w:sz w:val="20"/>
        </w:rPr>
        <w:t>Purchase of prior service — duration of payment agreements under § 51.1-142.2 F</w:t>
      </w:r>
    </w:p>
    <w:p>
      <w:pPr>
        <w:spacing w:before="120" w:after="120"/>
        <w:ind w:left="480"/>
      </w:pPr>
      <w:r>
        <w:rPr>
          <w:i/>
          <w:color w:val="444444"/>
          <w:sz w:val="20"/>
        </w:rPr>
        <w:t xml:space="preserve">VRS's </w:t>
      </w:r>
      <w:r>
        <w:rPr>
          <w:i/>
          <w:color w:val="444444"/>
          <w:sz w:val="20"/>
        </w:rPr>
        <w:t>Payment Methods</w:t>
      </w:r>
      <w:r>
        <w:rPr>
          <w:i/>
          <w:color w:val="444444"/>
          <w:sz w:val="20"/>
        </w:rPr>
        <w:t xml:space="preserve"> page provides that a purchase of service credit agreement "may be made for a minimum of six months … to a maximum of 12 months in duration," and that "[t]he duration of an agreement may not extend beyond the two-year approximate normal cost window."</w:t>
      </w:r>
    </w:p>
    <w:p>
      <w:pPr>
        <w:spacing w:before="120" w:after="120"/>
        <w:ind w:left="480"/>
      </w:pPr>
      <w:r>
        <w:rPr>
          <w:i/>
          <w:color w:val="444444"/>
          <w:sz w:val="20"/>
        </w:rPr>
        <w:t>We would be grateful for VRS's view on four points.</w:t>
      </w:r>
    </w:p>
    <w:p>
      <w:pPr>
        <w:spacing w:after="60"/>
        <w:ind w:left="912" w:hanging="432"/>
      </w:pPr>
      <w:r>
        <w:rPr>
          <w:b/>
        </w:rPr>
        <w:t>1.</w:t>
        <w:tab/>
      </w:r>
      <w:r>
        <w:t>What is the authority for the 12-month maximum and for the rule that an agreement may not extend beyond the two-year window — a Board resolution or policy, an administrative practice, or a provision of law? If a Board action, may we have the citation and date?</w:t>
      </w:r>
    </w:p>
    <w:p>
      <w:pPr>
        <w:spacing w:after="60"/>
        <w:ind w:left="912" w:hanging="432"/>
      </w:pPr>
      <w:r>
        <w:rPr>
          <w:b/>
        </w:rPr>
        <w:t>2.</w:t>
        <w:tab/>
      </w:r>
      <w:r>
        <w:t xml:space="preserve">§ 51.1-142.2 B 3 conditions the approximate normal cost price on the member purchasing </w:t>
      </w:r>
      <w:r>
        <w:rPr>
          <w:b/>
        </w:rPr>
        <w:t>or entering into a purchase of service credit contract for</w:t>
      </w:r>
      <w:r>
        <w:t xml:space="preserve"> the service within the first 24 months of active service. Does VRS read that language as fixing the price at the date the contract is entered into, so that performance may continue past month 24 at the approximate normal cost price? If not, what text supports the contrary reading?</w:t>
      </w:r>
    </w:p>
    <w:p>
      <w:pPr>
        <w:spacing w:after="60"/>
        <w:ind w:left="912" w:hanging="432"/>
      </w:pPr>
      <w:r>
        <w:rPr>
          <w:b/>
        </w:rPr>
        <w:t>3.</w:t>
        <w:tab/>
      </w:r>
      <w:r>
        <w:t>§ 51.1-142.2 F provides that "[a]ny number of additional deductions may be permitted at any time" and prescribes the consequence of a deduction terminating before the contracted period is purchased. Does VRS read subsection F as imposing any limit on the duration of an agreement?</w:t>
      </w:r>
    </w:p>
    <w:p>
      <w:pPr>
        <w:spacing w:after="60"/>
        <w:ind w:left="912" w:hanging="432"/>
      </w:pPr>
      <w:r>
        <w:rPr>
          <w:b/>
        </w:rPr>
        <w:t>4.</w:t>
        <w:tab/>
      </w:r>
      <w:r>
        <w:t>If the limits are administrative, what would VRS need in order to consider extending the maximum duration for prior active duty military service purchases under subdivision B 2 — for example to 60 months — for members who enter into the contract within the 24-month window? Are there system, payroll-interface or IRC § 415(n) constraints we should understand before raising it?</w:t>
      </w:r>
    </w:p>
    <w:p>
      <w:pPr>
        <w:spacing w:before="120" w:after="120"/>
        <w:ind w:left="480"/>
      </w:pPr>
      <w:r>
        <w:rPr>
          <w:i/>
          <w:color w:val="444444"/>
          <w:sz w:val="20"/>
        </w:rPr>
        <w:t>We ask because, if the limits are administrative, a change in Board policy would remove the cash-flow barrier for veterans hired after the change without legislation, and would narrow what we need to ask of the General Assembly.</w:t>
      </w:r>
    </w:p>
    <w:p>
      <w:pPr>
        <w:pStyle w:val="Heading3"/>
      </w:pPr>
      <w:r>
        <w:t>LC-4. Reach — are current members already past month 24 in or out?</w:t>
      </w:r>
    </w:p>
    <w:p>
      <w:r>
        <w:rPr>
          <w:b/>
        </w:rPr>
        <w:t>In, and the draft achieves it.</w:t>
      </w:r>
      <w:r>
        <w:t xml:space="preserve"> Annex A § 2.2 prices B 2 purchases at approximate normal cost "</w:t>
      </w:r>
      <w:r>
        <w:rPr>
          <w:b/>
        </w:rPr>
        <w:t>without regard to the time elapsed since his first date of hire or the final day of any applicable leave of absence</w:t>
      </w:r>
      <w:r>
        <w:t xml:space="preserve">." That language forecloses a prospective-only construction. The July 1, 2027 effective date in enactment clause 4 raises no retroactivity question, because the act changes the price of a </w:t>
      </w:r>
      <w:r>
        <w:rPr>
          <w:b/>
        </w:rPr>
        <w:t>future</w:t>
      </w:r>
      <w:r>
        <w:t xml:space="preserve"> purchase and does not reprice a completed one; it is prospective in operation even though it reaches members hired long ago. Clause 4 is also redundant against the default effective date and may be struck on DLS advice without affecting reach.</w:t>
      </w:r>
    </w:p>
    <w:p>
      <w:r>
        <w:rPr>
          <w:b/>
        </w:rPr>
        <w:t>Three limits the brief should state, because "at any point in their career" is not quite what the bill delivers.</w:t>
      </w:r>
    </w:p>
    <w:p>
      <w:pPr>
        <w:spacing w:after="60"/>
        <w:ind w:left="432" w:hanging="432"/>
      </w:pPr>
      <w:r>
        <w:rPr>
          <w:b/>
        </w:rPr>
        <w:t>1.</w:t>
        <w:tab/>
      </w:r>
      <w:r>
        <w:rPr>
          <w:b/>
        </w:rPr>
        <w:t>"Any member in service."</w:t>
      </w:r>
      <w:r>
        <w:t xml:space="preserve"> That is § 51.1-142.2 B 2's own language and the draft carries it forward, so the right ends at separation: </w:t>
      </w:r>
      <w:r>
        <w:rPr>
          <w:b/>
        </w:rPr>
        <w:t>deferred members</w:t>
      </w:r>
      <w:r>
        <w:t xml:space="preserve"> (separated, contributions not withdrawn) and </w:t>
      </w:r>
      <w:r>
        <w:rPr>
          <w:b/>
        </w:rPr>
        <w:t>retirees</w:t>
      </w:r>
      <w:r>
        <w:t xml:space="preserve"> are out. VRS said exactly this about the analogous grant in its HB 1867 statement — a member is ineligible "if they are employed in a non-covered position, on a leave of absence without pay, a deferred member or a retiree." A veteran who leaves state service at 55 intending to buy later cannot. If JLCVSO wants deferred members reached, that is a separate and larger amendment with its own score; if not, the brief should stop saying "at any point in their career" without qualification.</w:t>
      </w:r>
    </w:p>
    <w:p>
      <w:pPr>
        <w:spacing w:after="60"/>
        <w:ind w:left="432" w:hanging="432"/>
      </w:pPr>
      <w:r>
        <w:rPr>
          <w:b/>
        </w:rPr>
        <w:t>2.</w:t>
        <w:tab/>
      </w:r>
      <w:r>
        <w:rPr>
          <w:b/>
        </w:rPr>
        <w:t>The two anti-duplication limbs</w:t>
      </w:r>
      <w:r>
        <w:t xml:space="preserve"> (S-4) cut into the reached population regardless of the window.</w:t>
      </w:r>
    </w:p>
    <w:p>
      <w:pPr>
        <w:spacing w:after="60"/>
        <w:ind w:left="432" w:hanging="432"/>
      </w:pPr>
      <w:r>
        <w:rPr>
          <w:b/>
        </w:rPr>
        <w:t>3.</w:t>
        <w:tab/>
      </w:r>
      <w:r>
        <w:rPr>
          <w:b/>
        </w:rPr>
        <w:t>Veterans who already paid actuarial equivalent cost get nothing</w:t>
      </w:r>
      <w:r>
        <w:t xml:space="preserve"> (S-7).</w:t>
      </w:r>
    </w:p>
    <w:p>
      <w:pPr>
        <w:jc w:val="center"/>
      </w:pPr>
      <w:r>
        <w:rPr>
          <w:color w:val="909090"/>
          <w:sz w:val="18"/>
        </w:rPr>
        <w:t>* * *</w:t>
      </w:r>
    </w:p>
    <w:p>
      <w:pPr>
        <w:pStyle w:val="Heading2"/>
      </w:pPr>
      <w:r>
        <w:t>6. Draft text — clause by clause</w:t>
      </w:r>
    </w:p>
    <w:p>
      <w:r>
        <w:t xml:space="preserve">Reviewed: Annex A </w:t>
      </w:r>
      <w:r>
        <w:rPr>
          <w:b/>
        </w:rPr>
        <w:t>v1.1</w:t>
      </w:r>
      <w:r>
        <w:t xml:space="preserve"> § 2.2–2.4 as in the working tree. For each duty: who, what, by when, or else. For each term: is it defined.</w:t>
      </w:r>
    </w:p>
    <w:tbl>
      <w:tblPr>
        <w:tblStyle w:val="TableGrid"/>
        <w:tblW w:type="auto" w:w="0"/>
        <w:jc w:val="left"/>
        <w:tblLook w:firstColumn="1" w:firstRow="1" w:lastColumn="0" w:lastRow="0" w:noHBand="0" w:noVBand="1" w:val="04A0"/>
      </w:tblPr>
      <w:tblGrid>
        <w:gridCol w:w="2160"/>
        <w:gridCol w:w="2160"/>
        <w:gridCol w:w="2160"/>
        <w:gridCol w:w="2160"/>
      </w:tblGrid>
      <w:tr>
        <w:trPr>
          <w:tblHeader w:val="true"/>
        </w:trPr>
        <w:tc>
          <w:tcPr>
            <w:tcW w:type="dxa" w:w="2160"/>
          </w:tcPr>
          <w:p>
            <w:pPr>
              <w:spacing w:before="20" w:after="20"/>
              <w:jc w:val="left"/>
            </w:pPr>
            <w:r>
              <w:rPr>
                <w:b/>
                <w:sz w:val="17"/>
              </w:rPr>
              <w:t>Clause</w:t>
            </w:r>
          </w:p>
        </w:tc>
        <w:tc>
          <w:tcPr>
            <w:tcW w:type="dxa" w:w="2160"/>
          </w:tcPr>
          <w:p>
            <w:pPr>
              <w:spacing w:before="20" w:after="20"/>
              <w:jc w:val="left"/>
            </w:pPr>
            <w:r>
              <w:rPr>
                <w:b/>
                <w:sz w:val="17"/>
              </w:rPr>
              <w:t>Who / what / when / or else</w:t>
            </w:r>
          </w:p>
        </w:tc>
        <w:tc>
          <w:tcPr>
            <w:tcW w:type="dxa" w:w="2160"/>
          </w:tcPr>
          <w:p>
            <w:pPr>
              <w:spacing w:before="20" w:after="20"/>
              <w:jc w:val="left"/>
            </w:pPr>
            <w:r>
              <w:rPr>
                <w:b/>
                <w:sz w:val="17"/>
              </w:rPr>
              <w:t>Term check</w:t>
            </w:r>
          </w:p>
        </w:tc>
        <w:tc>
          <w:tcPr>
            <w:tcW w:type="dxa" w:w="2160"/>
          </w:tcPr>
          <w:p>
            <w:pPr>
              <w:spacing w:before="20" w:after="20"/>
              <w:jc w:val="left"/>
            </w:pPr>
            <w:r>
              <w:rPr>
                <w:b/>
                <w:sz w:val="17"/>
              </w:rPr>
              <w:t>Verdict</w:t>
            </w:r>
          </w:p>
        </w:tc>
      </w:tr>
      <w:tr>
        <w:tc>
          <w:tcPr>
            <w:tcW w:type="dxa" w:w="2160"/>
          </w:tcPr>
          <w:p>
            <w:pPr>
              <w:spacing w:before="20" w:after="20"/>
              <w:jc w:val="left"/>
            </w:pPr>
            <w:r>
              <w:rPr>
                <w:sz w:val="17"/>
              </w:rPr>
              <w:t>§ 2.2, sentence 1 — "The preceding sentence shall not apply to service credit purchased pursuant to subdivision 2."</w:t>
            </w:r>
          </w:p>
        </w:tc>
        <w:tc>
          <w:tcPr>
            <w:tcW w:type="dxa" w:w="2160"/>
          </w:tcPr>
          <w:p>
            <w:pPr>
              <w:spacing w:before="20" w:after="20"/>
              <w:jc w:val="left"/>
            </w:pPr>
            <w:r>
              <w:rPr>
                <w:sz w:val="17"/>
              </w:rPr>
              <w:t>Operates on the statute, no actor needed.</w:t>
            </w:r>
          </w:p>
        </w:tc>
        <w:tc>
          <w:tcPr>
            <w:tcW w:type="dxa" w:w="2160"/>
          </w:tcPr>
          <w:p>
            <w:pPr>
              <w:spacing w:before="20" w:after="20"/>
              <w:jc w:val="left"/>
            </w:pPr>
            <w:r>
              <w:rPr>
                <w:sz w:val="17"/>
              </w:rPr>
              <w:t>"subdivision 2" vs "subdivision B 2"; "the preceding sentence" positional.</w:t>
            </w:r>
          </w:p>
        </w:tc>
        <w:tc>
          <w:tcPr>
            <w:tcW w:type="dxa" w:w="2160"/>
          </w:tcPr>
          <w:p>
            <w:pPr>
              <w:spacing w:before="20" w:after="20"/>
              <w:jc w:val="left"/>
            </w:pPr>
            <w:r>
              <w:rPr>
                <w:b/>
                <w:sz w:val="17"/>
              </w:rPr>
              <w:t>Sound in substance, fragile in form.</w:t>
            </w:r>
            <w:r>
              <w:rPr>
                <w:sz w:val="17"/>
              </w:rPr>
              <w:t xml:space="preserve"> m-3.</w:t>
            </w:r>
          </w:p>
        </w:tc>
      </w:tr>
      <w:tr>
        <w:tc>
          <w:tcPr>
            <w:tcW w:type="dxa" w:w="2160"/>
          </w:tcPr>
          <w:p>
            <w:pPr>
              <w:spacing w:before="20" w:after="20"/>
              <w:jc w:val="left"/>
            </w:pPr>
            <w:r>
              <w:rPr>
                <w:sz w:val="17"/>
              </w:rPr>
              <w:t>§ 2.2, sentence 2 — "Any member in service may purchase… without regard to the time elapsed…"</w:t>
            </w:r>
          </w:p>
        </w:tc>
        <w:tc>
          <w:tcPr>
            <w:tcW w:type="dxa" w:w="2160"/>
          </w:tcPr>
          <w:p>
            <w:pPr>
              <w:spacing w:before="20" w:after="20"/>
              <w:jc w:val="left"/>
            </w:pPr>
            <w:r>
              <w:rPr>
                <w:sz w:val="17"/>
              </w:rPr>
              <w:t>Who: member in service. What: purchase at ANC. When: any time in service. Or else: n/a.</w:t>
            </w:r>
          </w:p>
        </w:tc>
        <w:tc>
          <w:tcPr>
            <w:tcW w:type="dxa" w:w="2160"/>
          </w:tcPr>
          <w:p>
            <w:pPr>
              <w:spacing w:before="20" w:after="20"/>
              <w:jc w:val="left"/>
            </w:pPr>
            <w:r>
              <w:rPr>
                <w:sz w:val="17"/>
              </w:rPr>
              <w:t>"member in service" and "approximate normal cost" both existing usage; no new term.</w:t>
            </w:r>
          </w:p>
        </w:tc>
        <w:tc>
          <w:tcPr>
            <w:tcW w:type="dxa" w:w="2160"/>
          </w:tcPr>
          <w:p>
            <w:pPr>
              <w:spacing w:before="20" w:after="20"/>
              <w:jc w:val="left"/>
            </w:pPr>
            <w:r>
              <w:rPr>
                <w:b/>
                <w:sz w:val="17"/>
              </w:rPr>
              <w:t>Serious — S-5.</w:t>
            </w:r>
            <w:r>
              <w:rPr>
                <w:sz w:val="17"/>
              </w:rPr>
              <w:t xml:space="preserve"> A second, free-standing grant outside B 2's caps and conditions. Re-cast as pricing language.</w:t>
            </w:r>
          </w:p>
        </w:tc>
      </w:tr>
      <w:tr>
        <w:tc>
          <w:tcPr>
            <w:tcW w:type="dxa" w:w="2160"/>
          </w:tcPr>
          <w:p>
            <w:pPr>
              <w:spacing w:before="20" w:after="20"/>
              <w:jc w:val="left"/>
            </w:pPr>
            <w:r>
              <w:rPr>
                <w:sz w:val="17"/>
              </w:rPr>
              <w:t>§ 2.2, sentence 3 — schedule authority, factors (i)–(v)</w:t>
            </w:r>
          </w:p>
        </w:tc>
        <w:tc>
          <w:tcPr>
            <w:tcW w:type="dxa" w:w="2160"/>
          </w:tcPr>
          <w:p>
            <w:pPr>
              <w:spacing w:before="20" w:after="20"/>
              <w:jc w:val="left"/>
            </w:pPr>
            <w:r>
              <w:rPr>
                <w:sz w:val="17"/>
              </w:rPr>
              <w:t>Who: the Board. What: may adopt a graded ANC schedule. When: in its sole discretion. Or else: n/a (permissive, correctly).</w:t>
            </w:r>
          </w:p>
        </w:tc>
        <w:tc>
          <w:tcPr>
            <w:tcW w:type="dxa" w:w="2160"/>
          </w:tcPr>
          <w:p>
            <w:pPr>
              <w:spacing w:before="20" w:after="20"/>
              <w:jc w:val="left"/>
            </w:pPr>
            <w:r>
              <w:rPr>
                <w:b/>
                <w:sz w:val="17"/>
              </w:rPr>
              <w:t>"position type" is not a defined term in Title 51.1</w:t>
            </w:r>
            <w:r>
              <w:rPr>
                <w:sz w:val="17"/>
              </w:rPr>
              <w:t xml:space="preserve"> — and this annex is otherwise scrupulous about that (it bars "earned service" and "benefit-calculation service" for exactly this reason). Factor (v)'s § 51.1-138 anchor is well chosen and does the work; "position type" adds nothing but ambiguity. Factor (ii)'s second limb is indeterminate at purchase (M-9).</w:t>
            </w:r>
          </w:p>
        </w:tc>
        <w:tc>
          <w:tcPr>
            <w:tcW w:type="dxa" w:w="2160"/>
          </w:tcPr>
          <w:p>
            <w:pPr>
              <w:spacing w:before="20" w:after="20"/>
              <w:jc w:val="left"/>
            </w:pPr>
            <w:r>
              <w:rPr>
                <w:b/>
                <w:sz w:val="17"/>
              </w:rPr>
              <w:t>Much improved at v1.1</w:t>
            </w:r>
            <w:r>
              <w:rPr>
                <w:sz w:val="17"/>
              </w:rPr>
              <w:t xml:space="preserve"> — creditable service and distance-from-eligibility are now in, which is the edit that matters, and the closed factor list is the right call. Two repairs: strike "the member's position type and" and keep "the benefit coverage applicable to the member's position, including any of the benefits permitted by § 51.1-138…"; add "determined on the assumption of continuous creditable service from the date of purchase" to factor (ii).</w:t>
            </w:r>
          </w:p>
        </w:tc>
      </w:tr>
      <w:tr>
        <w:tc>
          <w:tcPr>
            <w:tcW w:type="dxa" w:w="2160"/>
          </w:tcPr>
          <w:p>
            <w:pPr>
              <w:spacing w:before="20" w:after="20"/>
              <w:jc w:val="left"/>
            </w:pPr>
            <w:r>
              <w:rPr>
                <w:sz w:val="17"/>
              </w:rPr>
              <w:t>§ 2.2, sentence 4 — publication, uniformity, AEC ceiling</w:t>
            </w:r>
          </w:p>
        </w:tc>
        <w:tc>
          <w:tcPr>
            <w:tcW w:type="dxa" w:w="2160"/>
          </w:tcPr>
          <w:p>
            <w:pPr>
              <w:spacing w:before="20" w:after="20"/>
              <w:jc w:val="left"/>
            </w:pPr>
            <w:r>
              <w:rPr>
                <w:sz w:val="17"/>
              </w:rPr>
              <w:t>Who: the Board. What: publish; apply uniformly; never exceed AEC.</w:t>
            </w:r>
          </w:p>
        </w:tc>
        <w:tc>
          <w:tcPr>
            <w:tcW w:type="dxa" w:w="2160"/>
          </w:tcPr>
          <w:p>
            <w:pPr>
              <w:spacing w:before="20" w:after="20"/>
              <w:jc w:val="left"/>
            </w:pPr>
            <w:r>
              <w:rPr>
                <w:sz w:val="17"/>
              </w:rPr>
              <w:t>"actuarial equivalent cost" used in § 51.1-142.2 B 3, D, E, H 2, undefined in the section.</w:t>
            </w:r>
          </w:p>
        </w:tc>
        <w:tc>
          <w:tcPr>
            <w:tcW w:type="dxa" w:w="2160"/>
          </w:tcPr>
          <w:p>
            <w:pPr>
              <w:spacing w:before="20" w:after="20"/>
              <w:jc w:val="left"/>
            </w:pPr>
            <w:r>
              <w:rPr>
                <w:b/>
                <w:sz w:val="17"/>
              </w:rPr>
              <w:t>The strongest addition in v1.1, and the one that answers the age-discrimination question.</w:t>
            </w:r>
            <w:r>
              <w:rPr>
                <w:sz w:val="17"/>
              </w:rPr>
              <w:t xml:space="preserve"> See § 7 on authority. One repair: the ceiling is defined by a figure VRS does not publish (M-10) — require publication of its basis.</w:t>
            </w:r>
          </w:p>
        </w:tc>
      </w:tr>
      <w:tr>
        <w:tc>
          <w:tcPr>
            <w:tcW w:type="dxa" w:w="2160"/>
          </w:tcPr>
          <w:p>
            <w:pPr>
              <w:spacing w:before="20" w:after="20"/>
              <w:jc w:val="left"/>
            </w:pPr>
            <w:r>
              <w:rPr>
                <w:sz w:val="17"/>
              </w:rPr>
              <w:t>§ 2.2, sentence 5 — schedule confined to subdivision 2</w:t>
            </w:r>
          </w:p>
        </w:tc>
        <w:tc>
          <w:tcPr>
            <w:tcW w:type="dxa" w:w="2160"/>
          </w:tcPr>
          <w:p>
            <w:pPr>
              <w:spacing w:before="20" w:after="20"/>
              <w:jc w:val="left"/>
            </w:pPr>
            <w:r>
              <w:rPr>
                <w:sz w:val="17"/>
              </w:rPr>
              <w:t>Operates on the statute.</w:t>
            </w:r>
          </w:p>
        </w:tc>
        <w:tc>
          <w:tcPr>
            <w:tcW w:type="dxa" w:w="2160"/>
          </w:tcPr>
          <w:p>
            <w:pPr>
              <w:spacing w:before="20" w:after="20"/>
              <w:jc w:val="left"/>
            </w:pPr>
            <w:r>
              <w:rPr>
                <w:sz w:val="17"/>
              </w:rPr>
              <w:t>—</w:t>
            </w:r>
          </w:p>
        </w:tc>
        <w:tc>
          <w:tcPr>
            <w:tcW w:type="dxa" w:w="2160"/>
          </w:tcPr>
          <w:p>
            <w:pPr>
              <w:spacing w:before="20" w:after="20"/>
              <w:jc w:val="left"/>
            </w:pPr>
            <w:r>
              <w:rPr>
                <w:b/>
                <w:sz w:val="17"/>
              </w:rPr>
              <w:t>Sound, and it closes a real gap.</w:t>
            </w:r>
            <w:r>
              <w:rPr>
                <w:sz w:val="17"/>
              </w:rPr>
              <w:t xml:space="preserve"> Without it, a graded schedule adopted as </w:t>
            </w:r>
            <w:r>
              <w:rPr>
                <w:i/>
                <w:sz w:val="17"/>
              </w:rPr>
              <w:t>the plan's</w:t>
            </w:r>
            <w:r>
              <w:rPr>
                <w:sz w:val="17"/>
              </w:rPr>
              <w:t xml:space="preserve"> approximate normal cost could be argued to reprice B 1 purchases through the same generic phrase in the opening sentence. Good catch by Annex A v1.1.</w:t>
            </w:r>
          </w:p>
        </w:tc>
      </w:tr>
      <w:tr>
        <w:tc>
          <w:tcPr>
            <w:tcW w:type="dxa" w:w="2160"/>
          </w:tcPr>
          <w:p>
            <w:pPr>
              <w:spacing w:before="20" w:after="20"/>
              <w:jc w:val="left"/>
            </w:pPr>
            <w:r>
              <w:rPr>
                <w:sz w:val="17"/>
              </w:rPr>
              <w:t>§ 2.2, sentence 6 — 12-month pre-retirement completion</w:t>
            </w:r>
          </w:p>
        </w:tc>
        <w:tc>
          <w:tcPr>
            <w:tcW w:type="dxa" w:w="2160"/>
          </w:tcPr>
          <w:p>
            <w:pPr>
              <w:spacing w:before="20" w:after="20"/>
              <w:jc w:val="left"/>
            </w:pPr>
            <w:r>
              <w:rPr>
                <w:sz w:val="17"/>
              </w:rPr>
              <w:t xml:space="preserve">Who: the Board may require. What: completion 12 months before retirement. </w:t>
            </w:r>
            <w:r>
              <w:rPr>
                <w:b/>
                <w:sz w:val="17"/>
              </w:rPr>
              <w:t>When: untestable at purchase.</w:t>
            </w:r>
            <w:r>
              <w:rPr>
                <w:sz w:val="17"/>
              </w:rPr>
              <w:t xml:space="preserve"> </w:t>
            </w:r>
            <w:r>
              <w:rPr>
                <w:b/>
                <w:sz w:val="17"/>
              </w:rPr>
              <w:t>Or else: nothing stated.</w:t>
            </w:r>
          </w:p>
        </w:tc>
        <w:tc>
          <w:tcPr>
            <w:tcW w:type="dxa" w:w="2160"/>
          </w:tcPr>
          <w:p>
            <w:pPr>
              <w:spacing w:before="20" w:after="20"/>
              <w:jc w:val="left"/>
            </w:pPr>
            <w:r>
              <w:rPr>
                <w:sz w:val="17"/>
              </w:rPr>
              <w:t>"completed" undefined — does a running 60-month agreement count? "effective date of retirement" is a future member election.</w:t>
            </w:r>
          </w:p>
        </w:tc>
        <w:tc>
          <w:tcPr>
            <w:tcW w:type="dxa" w:w="2160"/>
          </w:tcPr>
          <w:p>
            <w:pPr>
              <w:spacing w:before="20" w:after="20"/>
              <w:jc w:val="left"/>
            </w:pPr>
            <w:r>
              <w:rPr>
                <w:b/>
                <w:sz w:val="17"/>
              </w:rPr>
              <w:t>Serious — S-6.</w:t>
            </w:r>
            <w:r>
              <w:rPr>
                <w:sz w:val="17"/>
              </w:rPr>
              <w:t xml:space="preserve"> Re-draft as a consequence rule, and subordinate § 2.3's "notwithstanding" to it.</w:t>
            </w:r>
          </w:p>
        </w:tc>
      </w:tr>
      <w:tr>
        <w:tc>
          <w:tcPr>
            <w:tcW w:type="dxa" w:w="2160"/>
          </w:tcPr>
          <w:p>
            <w:pPr>
              <w:spacing w:before="20" w:after="20"/>
              <w:jc w:val="left"/>
            </w:pPr>
            <w:r>
              <w:rPr>
                <w:sz w:val="17"/>
              </w:rPr>
              <w:t>§ 2.3 — 60-month payment agreements</w:t>
            </w:r>
          </w:p>
        </w:tc>
        <w:tc>
          <w:tcPr>
            <w:tcW w:type="dxa" w:w="2160"/>
          </w:tcPr>
          <w:p>
            <w:pPr>
              <w:spacing w:before="20" w:after="20"/>
              <w:jc w:val="left"/>
            </w:pPr>
            <w:r>
              <w:rPr>
                <w:sz w:val="17"/>
              </w:rPr>
              <w:t>Who: member and employer, by contract. What: payroll deduction up to 60 months. When: for B 2 purchases. Or else: subsection F's existing partial-credit rule governs, which is adequate.</w:t>
            </w:r>
          </w:p>
        </w:tc>
        <w:tc>
          <w:tcPr>
            <w:tcW w:type="dxa" w:w="2160"/>
          </w:tcPr>
          <w:p>
            <w:pPr>
              <w:spacing w:before="20" w:after="20"/>
              <w:jc w:val="left"/>
            </w:pPr>
            <w:r>
              <w:rPr>
                <w:sz w:val="17"/>
              </w:rPr>
              <w:t>"purchase of service credit contract" is existing statutory usage.</w:t>
            </w:r>
          </w:p>
        </w:tc>
        <w:tc>
          <w:tcPr>
            <w:tcW w:type="dxa" w:w="2160"/>
          </w:tcPr>
          <w:p>
            <w:pPr>
              <w:spacing w:before="20" w:after="20"/>
              <w:jc w:val="left"/>
            </w:pPr>
            <w:r>
              <w:rPr>
                <w:b/>
                <w:sz w:val="17"/>
              </w:rPr>
              <w:t>Sound in itself, but its opener defeats § 2.2's guardrail.</w:t>
            </w:r>
            <w:r>
              <w:rPr>
                <w:sz w:val="17"/>
              </w:rPr>
              <w:t xml:space="preserve"> Narrow "Notwithstanding any other provision of this section" to "Notwithstanding any policy of the Board limiting the duration of a purchase of service credit contract, and subject to any requirement adopted pursuant to subdivision B 3." Also note LC-3: if the Board's cap is policy, § 2.3 may be belt-and-suspenders rather than necessary — keep it anyway, because the brief's promise to veterans should not depend on Board forbearance.</w:t>
            </w:r>
          </w:p>
        </w:tc>
      </w:tr>
      <w:tr>
        <w:tc>
          <w:tcPr>
            <w:tcW w:type="dxa" w:w="2160"/>
          </w:tcPr>
          <w:p>
            <w:pPr>
              <w:spacing w:before="20" w:after="20"/>
              <w:jc w:val="left"/>
            </w:pPr>
            <w:r>
              <w:rPr>
                <w:sz w:val="17"/>
              </w:rPr>
              <w:t>Enactment clause 2 (i)–(iv)</w:t>
            </w:r>
          </w:p>
        </w:tc>
        <w:tc>
          <w:tcPr>
            <w:tcW w:type="dxa" w:w="2160"/>
          </w:tcPr>
          <w:p>
            <w:pPr>
              <w:spacing w:before="20" w:after="20"/>
              <w:jc w:val="left"/>
            </w:pPr>
            <w:r>
              <w:rPr>
                <w:sz w:val="17"/>
              </w:rPr>
              <w:t>—</w:t>
            </w:r>
          </w:p>
        </w:tc>
        <w:tc>
          <w:tcPr>
            <w:tcW w:type="dxa" w:w="2160"/>
          </w:tcPr>
          <w:p>
            <w:pPr>
              <w:spacing w:before="20" w:after="20"/>
              <w:jc w:val="left"/>
            </w:pPr>
            <w:r>
              <w:rPr>
                <w:sz w:val="17"/>
              </w:rPr>
              <w:t>—</w:t>
            </w:r>
          </w:p>
        </w:tc>
        <w:tc>
          <w:tcPr>
            <w:tcW w:type="dxa" w:w="2160"/>
          </w:tcPr>
          <w:p>
            <w:pPr>
              <w:spacing w:before="20" w:after="20"/>
              <w:jc w:val="left"/>
            </w:pPr>
            <w:r>
              <w:rPr>
                <w:b/>
                <w:sz w:val="17"/>
              </w:rPr>
              <w:t>Sound.</w:t>
            </w:r>
            <w:r>
              <w:rPr>
                <w:sz w:val="17"/>
              </w:rPr>
              <w:t xml:space="preserve"> Retain. The drafting note's reasoning — that a visible no-spillover clause shortens the Board's § 30-19.1:7 policy analysis — is a good practical argument.</w:t>
            </w:r>
          </w:p>
        </w:tc>
      </w:tr>
      <w:tr>
        <w:tc>
          <w:tcPr>
            <w:tcW w:type="dxa" w:w="2160"/>
          </w:tcPr>
          <w:p>
            <w:pPr>
              <w:spacing w:before="20" w:after="20"/>
              <w:jc w:val="left"/>
            </w:pPr>
            <w:r>
              <w:rPr>
                <w:sz w:val="17"/>
              </w:rPr>
              <w:t>Enactment clause 2 (v) — PLOP</w:t>
            </w:r>
          </w:p>
        </w:tc>
        <w:tc>
          <w:tcPr>
            <w:tcW w:type="dxa" w:w="2160"/>
          </w:tcPr>
          <w:p>
            <w:pPr>
              <w:spacing w:before="20" w:after="20"/>
              <w:jc w:val="left"/>
            </w:pPr>
            <w:r>
              <w:rPr>
                <w:sz w:val="17"/>
              </w:rPr>
              <w:t>—</w:t>
            </w:r>
          </w:p>
        </w:tc>
        <w:tc>
          <w:tcPr>
            <w:tcW w:type="dxa" w:w="2160"/>
          </w:tcPr>
          <w:p>
            <w:pPr>
              <w:spacing w:before="20" w:after="20"/>
              <w:jc w:val="left"/>
            </w:pPr>
            <w:r>
              <w:rPr>
                <w:sz w:val="17"/>
              </w:rPr>
              <w:t>—</w:t>
            </w:r>
          </w:p>
        </w:tc>
        <w:tc>
          <w:tcPr>
            <w:tcW w:type="dxa" w:w="2160"/>
          </w:tcPr>
          <w:p>
            <w:pPr>
              <w:spacing w:before="20" w:after="20"/>
              <w:jc w:val="left"/>
            </w:pPr>
            <w:r>
              <w:rPr>
                <w:b/>
                <w:sz w:val="17"/>
              </w:rPr>
              <w:t>Moderate — M-7.</w:t>
            </w:r>
            <w:r>
              <w:rPr>
                <w:sz w:val="17"/>
              </w:rPr>
              <w:t xml:space="preserve"> Overshoots; may freeze PLOP eligibility against the bill's intended acceleration. Narrow to the "performed" and "in service" gates.</w:t>
            </w:r>
          </w:p>
        </w:tc>
      </w:tr>
      <w:tr>
        <w:tc>
          <w:tcPr>
            <w:tcW w:type="dxa" w:w="2160"/>
          </w:tcPr>
          <w:p>
            <w:pPr>
              <w:spacing w:before="20" w:after="20"/>
              <w:jc w:val="left"/>
            </w:pPr>
            <w:r>
              <w:rPr>
                <w:sz w:val="17"/>
              </w:rPr>
              <w:t>Enactment clause 2 (vi) — anti-duplication</w:t>
            </w:r>
          </w:p>
        </w:tc>
        <w:tc>
          <w:tcPr>
            <w:tcW w:type="dxa" w:w="2160"/>
          </w:tcPr>
          <w:p>
            <w:pPr>
              <w:spacing w:before="20" w:after="20"/>
              <w:jc w:val="left"/>
            </w:pPr>
            <w:r>
              <w:rPr>
                <w:sz w:val="17"/>
              </w:rPr>
              <w:t>—</w:t>
            </w:r>
          </w:p>
        </w:tc>
        <w:tc>
          <w:tcPr>
            <w:tcW w:type="dxa" w:w="2160"/>
          </w:tcPr>
          <w:p>
            <w:pPr>
              <w:spacing w:before="20" w:after="20"/>
              <w:jc w:val="left"/>
            </w:pPr>
            <w:r>
              <w:rPr>
                <w:sz w:val="17"/>
              </w:rPr>
              <w:t>—</w:t>
            </w:r>
          </w:p>
        </w:tc>
        <w:tc>
          <w:tcPr>
            <w:tcW w:type="dxa" w:w="2160"/>
          </w:tcPr>
          <w:p>
            <w:pPr>
              <w:spacing w:before="20" w:after="20"/>
              <w:jc w:val="left"/>
            </w:pPr>
            <w:r>
              <w:rPr>
                <w:b/>
                <w:sz w:val="17"/>
              </w:rPr>
              <w:t>Moderate — M-8.</w:t>
            </w:r>
            <w:r>
              <w:rPr>
                <w:sz w:val="17"/>
              </w:rPr>
              <w:t xml:space="preserve"> Reaffirms half a sentence. Quote it whole or strike the clause.</w:t>
            </w:r>
          </w:p>
        </w:tc>
      </w:tr>
      <w:tr>
        <w:tc>
          <w:tcPr>
            <w:tcW w:type="dxa" w:w="2160"/>
          </w:tcPr>
          <w:p>
            <w:pPr>
              <w:spacing w:before="20" w:after="20"/>
              <w:jc w:val="left"/>
            </w:pPr>
            <w:r>
              <w:rPr>
                <w:sz w:val="17"/>
              </w:rPr>
              <w:t>Enactment clause 3 — reflect cost in § 51.1-145 rates</w:t>
            </w:r>
          </w:p>
        </w:tc>
        <w:tc>
          <w:tcPr>
            <w:tcW w:type="dxa" w:w="2160"/>
          </w:tcPr>
          <w:p>
            <w:pPr>
              <w:spacing w:before="20" w:after="20"/>
              <w:jc w:val="left"/>
            </w:pPr>
            <w:r>
              <w:rPr>
                <w:sz w:val="17"/>
              </w:rPr>
              <w:t>Who: VRS. What: reflect cost in rates.</w:t>
            </w:r>
          </w:p>
        </w:tc>
        <w:tc>
          <w:tcPr>
            <w:tcW w:type="dxa" w:w="2160"/>
          </w:tcPr>
          <w:p>
            <w:pPr>
              <w:spacing w:before="20" w:after="20"/>
              <w:jc w:val="left"/>
            </w:pPr>
            <w:r>
              <w:rPr>
                <w:sz w:val="17"/>
              </w:rPr>
              <w:t>—</w:t>
            </w:r>
          </w:p>
        </w:tc>
        <w:tc>
          <w:tcPr>
            <w:tcW w:type="dxa" w:w="2160"/>
          </w:tcPr>
          <w:p>
            <w:pPr>
              <w:spacing w:before="20" w:after="20"/>
              <w:jc w:val="left"/>
            </w:pPr>
            <w:r>
              <w:rPr>
                <w:b/>
                <w:sz w:val="17"/>
              </w:rPr>
              <w:t>Retain it. My earlier recommendation to strike it is withdrawn</w:t>
            </w:r>
            <w:r>
              <w:rPr>
                <w:sz w:val="17"/>
              </w:rPr>
              <w:t xml:space="preserve"> — see § 2.0. MOO-289 </w:t>
            </w:r>
            <w:r>
              <w:rPr>
                <w:b/>
                <w:sz w:val="17"/>
              </w:rPr>
              <w:t>M-2</w:t>
            </w:r>
            <w:r>
              <w:rPr>
                <w:sz w:val="17"/>
              </w:rPr>
              <w:t xml:space="preserve"> is right: </w:t>
            </w:r>
            <w:r>
              <w:rPr>
                <w:b/>
                <w:sz w:val="17"/>
              </w:rPr>
              <w:t>Va. Const. art. X, § 11</w:t>
            </w:r>
            <w:r>
              <w:rPr>
                <w:sz w:val="17"/>
              </w:rPr>
              <w:t xml:space="preserve"> requires that "[r]etirement system benefits shall be funded using methods which are consistent with generally accepted actuarial principles" (verified verbatim), and clause 3 is the only text in the bill tying a mandated below-actuarial price to an actuarially sound funding method. Invert Annex A's Q8 to ask whether clause 3 is </w:t>
            </w:r>
            <w:r>
              <w:rPr>
                <w:i/>
                <w:sz w:val="17"/>
              </w:rPr>
              <w:t>sufficient</w:t>
            </w:r>
            <w:r>
              <w:rPr>
                <w:sz w:val="17"/>
              </w:rPr>
              <w:t>, not whether it is necessary. Clause 3 does not create F-1 — § 51.1-145 K does — so striking it would buy nothing and cost the answer to the bill's one real constitutional question.</w:t>
            </w:r>
          </w:p>
        </w:tc>
      </w:tr>
      <w:tr>
        <w:tc>
          <w:tcPr>
            <w:tcW w:type="dxa" w:w="2160"/>
          </w:tcPr>
          <w:p>
            <w:pPr>
              <w:spacing w:before="20" w:after="20"/>
              <w:jc w:val="left"/>
            </w:pPr>
            <w:r>
              <w:rPr>
                <w:sz w:val="17"/>
              </w:rPr>
              <w:t>Enactment clause 4 — effective July 1, 2027</w:t>
            </w:r>
          </w:p>
        </w:tc>
        <w:tc>
          <w:tcPr>
            <w:tcW w:type="dxa" w:w="2160"/>
          </w:tcPr>
          <w:p>
            <w:pPr>
              <w:spacing w:before="20" w:after="20"/>
              <w:jc w:val="left"/>
            </w:pPr>
            <w:r>
              <w:rPr>
                <w:sz w:val="17"/>
              </w:rPr>
              <w:t>—</w:t>
            </w:r>
          </w:p>
        </w:tc>
        <w:tc>
          <w:tcPr>
            <w:tcW w:type="dxa" w:w="2160"/>
          </w:tcPr>
          <w:p>
            <w:pPr>
              <w:spacing w:before="20" w:after="20"/>
              <w:jc w:val="left"/>
            </w:pPr>
            <w:r>
              <w:rPr>
                <w:sz w:val="17"/>
              </w:rPr>
              <w:t>—</w:t>
            </w:r>
          </w:p>
        </w:tc>
        <w:tc>
          <w:tcPr>
            <w:tcW w:type="dxa" w:w="2160"/>
          </w:tcPr>
          <w:p>
            <w:pPr>
              <w:spacing w:before="20" w:after="20"/>
              <w:jc w:val="left"/>
            </w:pPr>
            <w:r>
              <w:rPr>
                <w:b/>
                <w:sz w:val="17"/>
              </w:rPr>
              <w:t>Sound but redundant</w:t>
            </w:r>
            <w:r>
              <w:rPr>
                <w:sz w:val="17"/>
              </w:rPr>
              <w:t xml:space="preserve"> (Va. Const. art. IV, § 13). Harmless; strike on DLS advice.</w:t>
            </w:r>
          </w:p>
        </w:tc>
      </w:tr>
    </w:tbl>
    <w:p>
      <w:pPr>
        <w:spacing w:before="0" w:after="0" w:line="80" w:lineRule="exact"/>
      </w:pPr>
      <w:r>
        <w:rPr>
          <w:sz w:val="8"/>
        </w:rPr>
      </w:r>
    </w:p>
    <w:p>
      <w:r>
        <w:rPr>
          <w:b/>
        </w:rPr>
        <w:t>The § 51.1-124.3 warning in Annex 1 / Annex A § 3 is correct, verified, and the most important thing the package got right.</w:t>
      </w:r>
      <w:r>
        <w:t xml:space="preserve"> "Creditable service" is defined as "prior service </w:t>
      </w:r>
      <w:r>
        <w:rPr>
          <w:b/>
        </w:rPr>
        <w:t>as set forth in § 51.1-142.2</w:t>
      </w:r>
      <w:r>
        <w:t xml:space="preserve"> plus membership service for which credit is allowable" — the definition names the section by number. Placing this benefit in a new Code section would require a conforming amendment to § 51.1-124.3 or the purchased service would not be creditable service at all, and every downstream claim in the package — vesting, eligibility, the Rule of 90, the benefit formula, HIC, survivor benefits — would fail at once. The draft amends § 51.1-142.2 and avoids this entirely. Keep that warning at the front of whatever goes to Legislative Services, in bold, and do not let a drafter "improve" the structure.</w:t>
      </w:r>
    </w:p>
    <w:p>
      <w:pPr>
        <w:jc w:val="center"/>
      </w:pPr>
      <w:r>
        <w:rPr>
          <w:color w:val="909090"/>
          <w:sz w:val="18"/>
        </w:rPr>
        <w:t>* * *</w:t>
      </w:r>
    </w:p>
    <w:p>
      <w:pPr>
        <w:pStyle w:val="Heading2"/>
      </w:pPr>
      <w:r>
        <w:t>7. Constitutional and preemption screen — mostly null, and the nulls are worth stating</w:t>
      </w:r>
    </w:p>
    <w:tbl>
      <w:tblPr>
        <w:tblStyle w:val="TableGrid"/>
        <w:tblW w:type="auto" w:w="0"/>
        <w:jc w:val="left"/>
        <w:tblLook w:firstColumn="1" w:firstRow="1" w:lastColumn="0" w:lastRow="0" w:noHBand="0" w:noVBand="1" w:val="04A0"/>
      </w:tblPr>
      <w:tblGrid>
        <w:gridCol w:w="4320"/>
        <w:gridCol w:w="4320"/>
      </w:tblGrid>
      <w:tr>
        <w:trPr>
          <w:tblHeader w:val="true"/>
        </w:trPr>
        <w:tc>
          <w:tcPr>
            <w:tcW w:type="dxa" w:w="4320"/>
          </w:tcPr>
          <w:p>
            <w:pPr>
              <w:spacing w:before="20" w:after="20"/>
              <w:jc w:val="left"/>
            </w:pPr>
            <w:r>
              <w:rPr>
                <w:b/>
                <w:sz w:val="17"/>
              </w:rPr>
              <w:t>Lens</w:t>
            </w:r>
          </w:p>
        </w:tc>
        <w:tc>
          <w:tcPr>
            <w:tcW w:type="dxa" w:w="4320"/>
          </w:tcPr>
          <w:p>
            <w:pPr>
              <w:spacing w:before="20" w:after="20"/>
              <w:jc w:val="left"/>
            </w:pPr>
            <w:r>
              <w:rPr>
                <w:b/>
                <w:sz w:val="17"/>
              </w:rPr>
              <w:t>Result</w:t>
            </w:r>
          </w:p>
        </w:tc>
      </w:tr>
      <w:tr>
        <w:tc>
          <w:tcPr>
            <w:tcW w:type="dxa" w:w="4320"/>
          </w:tcPr>
          <w:p>
            <w:pPr>
              <w:spacing w:before="20" w:after="20"/>
              <w:jc w:val="left"/>
            </w:pPr>
            <w:r>
              <w:rPr>
                <w:b/>
                <w:sz w:val="17"/>
              </w:rPr>
              <w:t>Single object</w:t>
            </w:r>
            <w:r>
              <w:rPr>
                <w:sz w:val="17"/>
              </w:rPr>
              <w:t xml:space="preserve"> (Va. Const. art. IV, § 12)</w:t>
            </w:r>
          </w:p>
        </w:tc>
        <w:tc>
          <w:tcPr>
            <w:tcW w:type="dxa" w:w="4320"/>
          </w:tcPr>
          <w:p>
            <w:pPr>
              <w:spacing w:before="20" w:after="20"/>
              <w:jc w:val="left"/>
            </w:pPr>
            <w:r>
              <w:rPr>
                <w:b/>
                <w:sz w:val="17"/>
              </w:rPr>
              <w:t>No issue.</w:t>
            </w:r>
            <w:r>
              <w:rPr>
                <w:sz w:val="17"/>
              </w:rPr>
              <w:t xml:space="preserve"> One section amended; the title states the object.</w:t>
            </w:r>
          </w:p>
        </w:tc>
      </w:tr>
      <w:tr>
        <w:tc>
          <w:tcPr>
            <w:tcW w:type="dxa" w:w="4320"/>
          </w:tcPr>
          <w:p>
            <w:pPr>
              <w:spacing w:before="20" w:after="20"/>
              <w:jc w:val="left"/>
            </w:pPr>
            <w:r>
              <w:rPr>
                <w:b/>
                <w:sz w:val="17"/>
              </w:rPr>
              <w:t>Special legislation</w:t>
            </w:r>
            <w:r>
              <w:rPr>
                <w:sz w:val="17"/>
              </w:rPr>
              <w:t xml:space="preserve"> (Va. Const. art. IV, § 14)</w:t>
            </w:r>
          </w:p>
        </w:tc>
        <w:tc>
          <w:tcPr>
            <w:tcW w:type="dxa" w:w="4320"/>
          </w:tcPr>
          <w:p>
            <w:pPr>
              <w:spacing w:before="20" w:after="20"/>
              <w:jc w:val="left"/>
            </w:pPr>
            <w:r>
              <w:rPr>
                <w:b/>
                <w:sz w:val="17"/>
              </w:rPr>
              <w:t>No issue.</w:t>
            </w:r>
            <w:r>
              <w:rPr>
                <w:sz w:val="17"/>
              </w:rPr>
              <w:t xml:space="preserve"> A statewide classification within a statewide system, applicable by rule to all members meeting the criteria. Not local, special or private.</w:t>
            </w:r>
          </w:p>
        </w:tc>
      </w:tr>
      <w:tr>
        <w:tc>
          <w:tcPr>
            <w:tcW w:type="dxa" w:w="4320"/>
          </w:tcPr>
          <w:p>
            <w:pPr>
              <w:spacing w:before="20" w:after="20"/>
              <w:jc w:val="left"/>
            </w:pPr>
            <w:r>
              <w:rPr>
                <w:b/>
                <w:sz w:val="17"/>
              </w:rPr>
              <w:t>Delegation without standards</w:t>
            </w:r>
          </w:p>
        </w:tc>
        <w:tc>
          <w:tcPr>
            <w:tcW w:type="dxa" w:w="4320"/>
          </w:tcPr>
          <w:p>
            <w:pPr>
              <w:spacing w:before="20" w:after="20"/>
              <w:jc w:val="left"/>
            </w:pPr>
            <w:r>
              <w:rPr>
                <w:b/>
                <w:sz w:val="17"/>
              </w:rPr>
              <w:t>No issue, and this was handled well.</w:t>
            </w:r>
            <w:r>
              <w:rPr>
                <w:sz w:val="17"/>
              </w:rPr>
              <w:t xml:space="preserve"> The Board's discretion over "approximate normal cost" is pre-existing ("as determined by the Board in its sole discretion"). The risk Annex A § 8.4 identifies is the real one — that an age-graded schedule might be argued to exceed an "approximate normal cost" mandate — and express authority plus the publication, uniformity and AEC-ceiling constraints cure it. The decision to use a </w:t>
            </w:r>
            <w:r>
              <w:rPr>
                <w:b/>
                <w:sz w:val="17"/>
              </w:rPr>
              <w:t>closed</w:t>
            </w:r>
            <w:r>
              <w:rPr>
                <w:sz w:val="17"/>
              </w:rPr>
              <w:t xml:space="preserve"> factor list rather than a residual clause is the right one for exactly the reason the drafting note gives.</w:t>
            </w:r>
          </w:p>
        </w:tc>
      </w:tr>
      <w:tr>
        <w:tc>
          <w:tcPr>
            <w:tcW w:type="dxa" w:w="4320"/>
          </w:tcPr>
          <w:p>
            <w:pPr>
              <w:spacing w:before="20" w:after="20"/>
              <w:jc w:val="left"/>
            </w:pPr>
            <w:r>
              <w:rPr>
                <w:b/>
                <w:sz w:val="17"/>
              </w:rPr>
              <w:t>Age discrimination</w:t>
            </w:r>
            <w:r>
              <w:rPr>
                <w:sz w:val="17"/>
              </w:rPr>
              <w:t xml:space="preserve"> (ADEA, 29 U.S.C. § 623) — Annex A Q14</w:t>
            </w:r>
          </w:p>
        </w:tc>
        <w:tc>
          <w:tcPr>
            <w:tcW w:type="dxa" w:w="4320"/>
          </w:tcPr>
          <w:p>
            <w:pPr>
              <w:spacing w:before="20" w:after="20"/>
              <w:jc w:val="left"/>
            </w:pPr>
            <w:r>
              <w:rPr>
                <w:b/>
                <w:sz w:val="17"/>
              </w:rPr>
              <w:t>Low risk, and v1.1 reduced it. I regard Q14 as substantially answerable now.</w:t>
            </w:r>
            <w:r>
              <w:rPr>
                <w:sz w:val="17"/>
              </w:rPr>
              <w:t xml:space="preserve"> Two grounds. (1) The </w:t>
            </w:r>
            <w:r>
              <w:rPr>
                <w:b/>
                <w:sz w:val="17"/>
              </w:rPr>
              <w:t>equal benefit or equal cost</w:t>
            </w:r>
            <w:r>
              <w:rPr>
                <w:sz w:val="17"/>
              </w:rPr>
              <w:t xml:space="preserve"> standard, 29 U.S.C. § 623(f)(2)(B)(i) (OWBPA), permits observing the terms of a bona fide employee benefit plan where the cost incurred on behalf of an older worker is no less than that incurred for a younger one — which is precisely what a cost-justified graded schedule does, and the </w:t>
            </w:r>
            <w:r>
              <w:rPr>
                <w:b/>
                <w:sz w:val="17"/>
              </w:rPr>
              <w:t>actuarial-equivalent-cost ceiling is what keeps the differential cost-justified</w:t>
            </w:r>
            <w:r>
              <w:rPr>
                <w:sz w:val="17"/>
              </w:rPr>
              <w:t xml:space="preserve">. Draft the schedule so the Board's record shows it tracks cost; a crude band adopted to hit a fiscal target is the exposed version. (2) </w:t>
            </w:r>
            <w:r>
              <w:rPr>
                <w:i/>
                <w:sz w:val="17"/>
              </w:rPr>
              <w:t>Hazen Paper Co. v. Biggins</w:t>
            </w:r>
            <w:r>
              <w:rPr>
                <w:sz w:val="17"/>
              </w:rPr>
              <w:t xml:space="preserve">, 507 U.S. 604, 611 (1993) — age and years of service are analytically distinct, so an employer may take account of one while ignoring the other. Grading on </w:t>
            </w:r>
            <w:r>
              <w:rPr>
                <w:b/>
                <w:sz w:val="17"/>
              </w:rPr>
              <w:t>creditable service</w:t>
            </w:r>
            <w:r>
              <w:rPr>
                <w:sz w:val="17"/>
              </w:rPr>
              <w:t xml:space="preserve"> or </w:t>
            </w:r>
            <w:r>
              <w:rPr>
                <w:b/>
                <w:sz w:val="17"/>
              </w:rPr>
              <w:t>distance from unreduced eligibility</w:t>
            </w:r>
            <w:r>
              <w:rPr>
                <w:sz w:val="17"/>
              </w:rPr>
              <w:t xml:space="preserve"> is therefore not facially age-based, which is a further reason the v1.1 widening </w:t>
            </w:r>
            <w:r>
              <w:rPr>
                <w:i/>
                <w:sz w:val="17"/>
              </w:rPr>
              <w:t>reduces</w:t>
            </w:r>
            <w:r>
              <w:rPr>
                <w:sz w:val="17"/>
              </w:rPr>
              <w:t xml:space="preserve"> exposure rather than creating it. Annex A § 2.5's instinct is right; it simply cites nothing. Add these two authorities.</w:t>
            </w:r>
          </w:p>
        </w:tc>
      </w:tr>
      <w:tr>
        <w:tc>
          <w:tcPr>
            <w:tcW w:type="dxa" w:w="4320"/>
          </w:tcPr>
          <w:p>
            <w:pPr>
              <w:spacing w:before="20" w:after="20"/>
              <w:jc w:val="left"/>
            </w:pPr>
            <w:r>
              <w:rPr>
                <w:b/>
                <w:sz w:val="17"/>
              </w:rPr>
              <w:t>Actuarially sound funding</w:t>
            </w:r>
            <w:r>
              <w:rPr>
                <w:sz w:val="17"/>
              </w:rPr>
              <w:t xml:space="preserve"> (Va. Const. art. X, § 11)</w:t>
            </w:r>
          </w:p>
        </w:tc>
        <w:tc>
          <w:tcPr>
            <w:tcW w:type="dxa" w:w="4320"/>
          </w:tcPr>
          <w:p>
            <w:pPr>
              <w:spacing w:before="20" w:after="20"/>
              <w:jc w:val="left"/>
            </w:pPr>
            <w:r>
              <w:rPr>
                <w:b/>
                <w:sz w:val="17"/>
              </w:rPr>
              <w:t>The one real constitutional question the bill raises, and the package does not address it.</w:t>
            </w:r>
            <w:r>
              <w:rPr>
                <w:sz w:val="17"/>
              </w:rPr>
              <w:t xml:space="preserve"> Verified verbatim: the funds "shall be invested and administered </w:t>
            </w:r>
            <w:r>
              <w:rPr>
                <w:b/>
                <w:sz w:val="17"/>
              </w:rPr>
              <w:t>solely in the interests of the members and beneficiaries</w:t>
            </w:r>
            <w:r>
              <w:rPr>
                <w:sz w:val="17"/>
              </w:rPr>
              <w:t xml:space="preserve"> thereof," and "</w:t>
            </w:r>
            <w:r>
              <w:rPr>
                <w:b/>
                <w:sz w:val="17"/>
              </w:rPr>
              <w:t>[r]etirement system benefits shall be funded using methods which are consistent with generally accepted actuarial principles</w:t>
            </w:r>
            <w:r>
              <w:rPr>
                <w:sz w:val="17"/>
              </w:rPr>
              <w:t xml:space="preserve">." This bill mandates sale of service credit below actuarial value, so the funding-method sentence is engaged. </w:t>
            </w:r>
            <w:r>
              <w:rPr>
                <w:b/>
                <w:sz w:val="17"/>
              </w:rPr>
              <w:t>Enactment clause 3 is the answer and must therefore be retained</w:t>
            </w:r>
            <w:r>
              <w:rPr>
                <w:sz w:val="17"/>
              </w:rPr>
              <w:t>, not struck — see § 2.0 and § 6. The merits of any challenge are weak (veterans are members; the same section makes the system "subject to restrictions, terms, and conditions as may be prescribed by the General Assembly"), but a claim that survives a demurrer costs the bill two years. Credit to MOO-289 M-2 for finding this; add art. X, § 11 to Annex A's constitutional analysis, which at present addresses only age discrimination.</w:t>
            </w:r>
          </w:p>
        </w:tc>
      </w:tr>
      <w:tr>
        <w:tc>
          <w:tcPr>
            <w:tcW w:type="dxa" w:w="4320"/>
          </w:tcPr>
          <w:p>
            <w:pPr>
              <w:spacing w:before="20" w:after="20"/>
              <w:jc w:val="left"/>
            </w:pPr>
            <w:r>
              <w:rPr>
                <w:b/>
                <w:sz w:val="17"/>
              </w:rPr>
              <w:t>Contract Clause / impairment</w:t>
            </w:r>
            <w:r>
              <w:rPr>
                <w:sz w:val="17"/>
              </w:rPr>
              <w:t xml:space="preserve"> (Va. Const. art. I, § 11)</w:t>
            </w:r>
          </w:p>
        </w:tc>
        <w:tc>
          <w:tcPr>
            <w:tcW w:type="dxa" w:w="4320"/>
          </w:tcPr>
          <w:p>
            <w:pPr>
              <w:spacing w:before="20" w:after="20"/>
              <w:jc w:val="left"/>
            </w:pPr>
            <w:r>
              <w:rPr>
                <w:b/>
                <w:sz w:val="17"/>
              </w:rPr>
              <w:t>No issue.</w:t>
            </w:r>
            <w:r>
              <w:rPr>
                <w:sz w:val="17"/>
              </w:rPr>
              <w:t xml:space="preserve"> A benefit expansion impairs nothing. The one place to watch is S-7: if a make-whole for prior actuarial-cost purchasers is added, draft it as a gratuitous legislative adjustment, not as a remedy for a past wrong.</w:t>
            </w:r>
          </w:p>
        </w:tc>
      </w:tr>
      <w:tr>
        <w:tc>
          <w:tcPr>
            <w:tcW w:type="dxa" w:w="4320"/>
          </w:tcPr>
          <w:p>
            <w:pPr>
              <w:spacing w:before="20" w:after="20"/>
              <w:jc w:val="left"/>
            </w:pPr>
            <w:r>
              <w:rPr>
                <w:b/>
                <w:sz w:val="17"/>
              </w:rPr>
              <w:t>Takings, vagueness, compelled speech, First Amendment</w:t>
            </w:r>
          </w:p>
        </w:tc>
        <w:tc>
          <w:tcPr>
            <w:tcW w:type="dxa" w:w="4320"/>
          </w:tcPr>
          <w:p>
            <w:pPr>
              <w:spacing w:before="20" w:after="20"/>
              <w:jc w:val="left"/>
            </w:pPr>
            <w:r>
              <w:rPr>
                <w:b/>
                <w:sz w:val="17"/>
              </w:rPr>
              <w:t>No issue.</w:t>
            </w:r>
            <w:r>
              <w:rPr>
                <w:sz w:val="17"/>
              </w:rPr>
              <w:t xml:space="preserve"> Nothing compels speech, takes property, or turns on content. The one vagueness-adjacent item is factor (ii)'s indeterminacy (M-9), which is a uniformity problem, not a constitutional one.</w:t>
            </w:r>
          </w:p>
        </w:tc>
      </w:tr>
      <w:tr>
        <w:tc>
          <w:tcPr>
            <w:tcW w:type="dxa" w:w="4320"/>
          </w:tcPr>
          <w:p>
            <w:pPr>
              <w:spacing w:before="20" w:after="20"/>
              <w:jc w:val="left"/>
            </w:pPr>
            <w:r>
              <w:rPr>
                <w:b/>
                <w:sz w:val="17"/>
              </w:rPr>
              <w:t>Dillon's Rule</w:t>
            </w:r>
          </w:p>
        </w:tc>
        <w:tc>
          <w:tcPr>
            <w:tcW w:type="dxa" w:w="4320"/>
          </w:tcPr>
          <w:p>
            <w:pPr>
              <w:spacing w:before="20" w:after="20"/>
              <w:jc w:val="left"/>
            </w:pPr>
            <w:r>
              <w:rPr>
                <w:b/>
                <w:sz w:val="17"/>
              </w:rPr>
              <w:t>No issue, and the lens points the other way.</w:t>
            </w:r>
            <w:r>
              <w:rPr>
                <w:sz w:val="17"/>
              </w:rPr>
              <w:t xml:space="preserve"> The bill imposes no duty on a locality requiring a grant of power; it changes a cost that flows through § 51.1-145 employer rates for localities that have elected to participate under § 51.1-800. The General Assembly plainly may do this. The exposure is </w:t>
            </w:r>
            <w:r>
              <w:rPr>
                <w:b/>
                <w:sz w:val="17"/>
              </w:rPr>
              <w:t>political, not legal</w:t>
            </w:r>
            <w:r>
              <w:rPr>
                <w:sz w:val="17"/>
              </w:rPr>
              <w:t xml:space="preserve"> — which is why it belongs in the brief's strategy, not its legal annex.</w:t>
            </w:r>
          </w:p>
        </w:tc>
      </w:tr>
      <w:tr>
        <w:tc>
          <w:tcPr>
            <w:tcW w:type="dxa" w:w="4320"/>
          </w:tcPr>
          <w:p>
            <w:pPr>
              <w:spacing w:before="20" w:after="20"/>
              <w:jc w:val="left"/>
            </w:pPr>
            <w:r>
              <w:rPr>
                <w:b/>
                <w:sz w:val="17"/>
              </w:rPr>
              <w:t>Federal preemption</w:t>
            </w:r>
          </w:p>
        </w:tc>
        <w:tc>
          <w:tcPr>
            <w:tcW w:type="dxa" w:w="4320"/>
          </w:tcPr>
          <w:p>
            <w:pPr>
              <w:spacing w:before="20" w:after="20"/>
              <w:jc w:val="left"/>
            </w:pPr>
            <w:r>
              <w:rPr>
                <w:b/>
                <w:sz w:val="17"/>
              </w:rPr>
              <w:t>No issue.</w:t>
            </w:r>
            <w:r>
              <w:rPr>
                <w:sz w:val="17"/>
              </w:rPr>
              <w:t xml:space="preserve"> Governmental plans are exempt from ERISA's substantive provisions. Two federal interactions are correctly flagged as open: IRC </w:t>
            </w:r>
            <w:r>
              <w:rPr>
                <w:b/>
                <w:sz w:val="17"/>
              </w:rPr>
              <w:t>§ 415(n)</w:t>
            </w:r>
            <w:r>
              <w:rPr>
                <w:sz w:val="17"/>
              </w:rPr>
              <w:t xml:space="preserve"> permissive service credit and annual additions limits (Q6), which the 60-month term and later-career purchases press on; and </w:t>
            </w:r>
            <w:r>
              <w:rPr>
                <w:b/>
                <w:sz w:val="17"/>
              </w:rPr>
              <w:t>10 U.S.C. ch. 1223</w:t>
            </w:r>
            <w:r>
              <w:rPr>
                <w:sz w:val="17"/>
              </w:rPr>
              <w:t xml:space="preserve">, preserved verbatim (Q7). </w:t>
            </w:r>
            <w:r>
              <w:rPr>
                <w:b/>
                <w:sz w:val="17"/>
              </w:rPr>
              <w:t>Add a third:</w:t>
            </w:r>
            <w:r>
              <w:rPr>
                <w:sz w:val="17"/>
              </w:rPr>
              <w:t xml:space="preserve"> </w:t>
            </w:r>
            <w:r>
              <w:rPr>
                <w:b/>
                <w:sz w:val="17"/>
              </w:rPr>
              <w:t>USERRA</w:t>
            </w:r>
            <w:r>
              <w:rPr>
                <w:sz w:val="17"/>
              </w:rPr>
              <w:t xml:space="preserve"> (38 U.S.C. ch. 43) and its interaction with § 51.1-142.2 </w:t>
            </w:r>
            <w:r>
              <w:rPr>
                <w:b/>
                <w:sz w:val="17"/>
              </w:rPr>
              <w:t>I</w:t>
            </w:r>
            <w:r>
              <w:rPr>
                <w:sz w:val="17"/>
              </w:rPr>
              <w:t>. The bill leaves subsection I unamended, which is correct, but once B 2 is repriced it becomes materially cheaper for some members to use I than B 2 or vice versa, and the two provisions serve adjacent populations. Confirm with benefits counsel that no member is worse off, and that nothing in the bill can be read to narrow a USERRA-protected reemployment right.</w:t>
            </w:r>
          </w:p>
        </w:tc>
      </w:tr>
      <w:tr>
        <w:tc>
          <w:tcPr>
            <w:tcW w:type="dxa" w:w="4320"/>
          </w:tcPr>
          <w:p>
            <w:pPr>
              <w:spacing w:before="20" w:after="20"/>
              <w:jc w:val="left"/>
            </w:pPr>
            <w:r>
              <w:rPr>
                <w:b/>
                <w:sz w:val="17"/>
              </w:rPr>
              <w:t>Litigation surface</w:t>
            </w:r>
          </w:p>
        </w:tc>
        <w:tc>
          <w:tcPr>
            <w:tcW w:type="dxa" w:w="4320"/>
          </w:tcPr>
          <w:p>
            <w:pPr>
              <w:spacing w:before="20" w:after="20"/>
              <w:jc w:val="left"/>
            </w:pPr>
            <w:r>
              <w:rPr>
                <w:sz w:val="17"/>
              </w:rPr>
              <w:t>Thin, and worth saying so. The most plausible claim is an ADEA or Virginia Human Rights Act challenge to a graded rate schedule by a member charged a higher band — plaintiff: a member aged 58 charged more than a member aged 42 for identical credit; venue: EDVA or a Virginia circuit court; defence: § 623(f)(2)(B)(i) equal-cost, supported by the AEC ceiling and the Board's actuarial record. Next most plausible: a member denied PLOP under enactment clause 2 (v) (M-7), in a Virginia circuit court on the clause's plain words. Both are drafting-curable, and both are cured by the fixes above.</w:t>
            </w:r>
          </w:p>
        </w:tc>
      </w:tr>
    </w:tbl>
    <w:p>
      <w:pPr>
        <w:spacing w:before="0" w:after="0" w:line="80" w:lineRule="exact"/>
      </w:pPr>
      <w:r>
        <w:rPr>
          <w:sz w:val="8"/>
        </w:rPr>
      </w:r>
    </w:p>
    <w:p>
      <w:pPr>
        <w:jc w:val="center"/>
      </w:pPr>
      <w:r>
        <w:rPr>
          <w:color w:val="909090"/>
          <w:sz w:val="18"/>
        </w:rPr>
        <w:t>* * *</w:t>
      </w:r>
    </w:p>
    <w:p>
      <w:pPr>
        <w:pStyle w:val="Heading2"/>
      </w:pPr>
      <w:r>
        <w:t>8. Verdicts by dimension</w:t>
      </w:r>
    </w:p>
    <w:tbl>
      <w:tblPr>
        <w:tblStyle w:val="TableGrid"/>
        <w:tblW w:type="auto" w:w="0"/>
        <w:jc w:val="left"/>
        <w:tblLook w:firstColumn="1" w:firstRow="1" w:lastColumn="0" w:lastRow="0" w:noHBand="0" w:noVBand="1" w:val="04A0"/>
      </w:tblPr>
      <w:tblGrid>
        <w:gridCol w:w="4320"/>
        <w:gridCol w:w="4320"/>
      </w:tblGrid>
      <w:tr>
        <w:trPr>
          <w:tblHeader w:val="true"/>
        </w:trPr>
        <w:tc>
          <w:tcPr>
            <w:tcW w:type="dxa" w:w="4320"/>
          </w:tcPr>
          <w:p>
            <w:pPr>
              <w:spacing w:before="20" w:after="20"/>
              <w:jc w:val="left"/>
            </w:pPr>
            <w:r>
              <w:rPr>
                <w:b/>
                <w:sz w:val="17"/>
              </w:rPr>
              <w:t>Dimension</w:t>
            </w:r>
          </w:p>
        </w:tc>
        <w:tc>
          <w:tcPr>
            <w:tcW w:type="dxa" w:w="4320"/>
          </w:tcPr>
          <w:p>
            <w:pPr>
              <w:spacing w:before="20" w:after="20"/>
              <w:jc w:val="left"/>
            </w:pPr>
            <w:r>
              <w:rPr>
                <w:b/>
                <w:sz w:val="17"/>
              </w:rPr>
              <w:t>Verdict</w:t>
            </w:r>
          </w:p>
        </w:tc>
      </w:tr>
      <w:tr>
        <w:tc>
          <w:tcPr>
            <w:tcW w:type="dxa" w:w="4320"/>
          </w:tcPr>
          <w:p>
            <w:pPr>
              <w:spacing w:before="20" w:after="20"/>
              <w:jc w:val="left"/>
            </w:pPr>
            <w:r>
              <w:rPr>
                <w:b/>
                <w:sz w:val="17"/>
              </w:rPr>
              <w:t>1. Comparative claim (20 states)</w:t>
            </w:r>
          </w:p>
        </w:tc>
        <w:tc>
          <w:tcPr>
            <w:tcW w:type="dxa" w:w="4320"/>
          </w:tcPr>
          <w:p>
            <w:pPr>
              <w:spacing w:before="20" w:after="20"/>
              <w:jc w:val="left"/>
            </w:pPr>
            <w:r>
              <w:rPr>
                <w:b/>
                <w:sz w:val="17"/>
              </w:rPr>
              <w:t>Survives as stated; not verifiable as presented.</w:t>
            </w:r>
            <w:r>
              <w:rPr>
                <w:sz w:val="17"/>
              </w:rPr>
              <w:t xml:space="preserve"> The surviving claim is correctly narrow, the hedges are correctly placed — the "how to argue this, and how not to" box sits immediately under the table where a hostile reader meets it, which is right — and the brief's refusal of both "N of 50" and "stingiest state" is sound and should be preserved. The defect is that 14 of the 20 states are unnamed and the sole source is internal research the brief itself classes as non-primary. </w:t>
            </w:r>
            <w:r>
              <w:rPr>
                <w:b/>
                <w:sz w:val="17"/>
              </w:rPr>
              <w:t>Do not put this claim in front of a money committee until the 20 states are listed with a primary citation each.</w:t>
            </w:r>
            <w:r>
              <w:rPr>
                <w:sz w:val="17"/>
              </w:rPr>
              <w:t xml:space="preserve"> M-2.</w:t>
            </w:r>
          </w:p>
        </w:tc>
      </w:tr>
      <w:tr>
        <w:tc>
          <w:tcPr>
            <w:tcW w:type="dxa" w:w="4320"/>
          </w:tcPr>
          <w:p>
            <w:pPr>
              <w:spacing w:before="20" w:after="20"/>
              <w:jc w:val="left"/>
            </w:pPr>
            <w:r>
              <w:rPr>
                <w:b/>
                <w:sz w:val="17"/>
              </w:rPr>
              <w:t>2. Notice finding</w:t>
            </w:r>
          </w:p>
        </w:tc>
        <w:tc>
          <w:tcPr>
            <w:tcW w:type="dxa" w:w="4320"/>
          </w:tcPr>
          <w:p>
            <w:pPr>
              <w:spacing w:before="20" w:after="20"/>
              <w:jc w:val="left"/>
            </w:pPr>
            <w:r>
              <w:rPr>
                <w:b/>
                <w:sz w:val="17"/>
              </w:rPr>
              <w:t>Adequate to support a finding of absence, correctly framed, does not overclaim — with two repairs.</w:t>
            </w:r>
            <w:r>
              <w:rPr>
                <w:sz w:val="17"/>
              </w:rPr>
              <w:t xml:space="preserve"> The framing is the thing that makes it survivable and it is done well: an absence in named materials, a reviewed-sources table, an express disclaimer that it is not an allegation against VRS or any employer. Two repairs: </w:t>
            </w:r>
            <w:r>
              <w:rPr>
                <w:b/>
                <w:sz w:val="17"/>
              </w:rPr>
              <w:t>myVRS and the annual member benefit statement were not checked</w:t>
            </w:r>
            <w:r>
              <w:rPr>
                <w:sz w:val="17"/>
              </w:rPr>
              <w:t xml:space="preserve"> and are the obvious rebuttal; and one rhetorical paragraph asserts what the disclaimer renounces. I checked § 51.1-124.22 and § 2.2-4002 for the team — both strengthen the finding. M-3.</w:t>
            </w:r>
          </w:p>
        </w:tc>
      </w:tr>
      <w:tr>
        <w:tc>
          <w:tcPr>
            <w:tcW w:type="dxa" w:w="4320"/>
          </w:tcPr>
          <w:p>
            <w:pPr>
              <w:spacing w:before="20" w:after="20"/>
              <w:jc w:val="left"/>
            </w:pPr>
            <w:r>
              <w:rPr>
                <w:b/>
                <w:sz w:val="17"/>
              </w:rPr>
              <w:t>3. Cliff Graph</w:t>
            </w:r>
          </w:p>
        </w:tc>
        <w:tc>
          <w:tcPr>
            <w:tcW w:type="dxa" w:w="4320"/>
          </w:tcPr>
          <w:p>
            <w:pPr>
              <w:spacing w:before="20" w:after="20"/>
              <w:jc w:val="left"/>
            </w:pPr>
            <w:r>
              <w:rPr>
                <w:b/>
                <w:sz w:val="17"/>
              </w:rPr>
              <w:t>Not safe to hand to a delegate's office unaccompanied, and the cautions are not the reason.</w:t>
            </w:r>
            <w:r>
              <w:rPr>
                <w:sz w:val="17"/>
              </w:rPr>
              <w:t xml:space="preserve"> The four cautions are honest and well judged, but they live in the brief body, not on the chart face — a chart handed over alone carries only its own footnote. Two deeper problems: the Plan 2 and Hybrid post-cliff lines are </w:t>
            </w:r>
            <w:r>
              <w:rPr>
                <w:b/>
                <w:sz w:val="17"/>
              </w:rPr>
              <w:t>constructed</w:t>
            </w:r>
            <w:r>
              <w:rPr>
                <w:sz w:val="17"/>
              </w:rPr>
              <w:t xml:space="preserve"> by applying Plan 1's multiplier and will be reproduced in a floor speech as VRS figures; and the chart's single profile is the one the team's own FM-2 calls the worst case, against a real range of 0.5×–3.5×. </w:t>
            </w:r>
            <w:r>
              <w:rPr>
                <w:b/>
                <w:sz w:val="17"/>
              </w:rPr>
              <w:t>And the chart is not in this package at all</w:t>
            </w:r>
            <w:r>
              <w:rPr>
                <w:sz w:val="17"/>
              </w:rPr>
              <w:t xml:space="preserve"> (M-4) — </w:t>
            </w:r>
            <w:r>
              <w:rPr>
                <w:rFonts w:ascii="Consolas" w:hAnsi="Consolas"/>
                <w:color w:val="303030"/>
                <w:sz w:val="18"/>
              </w:rPr>
              <w:t>01</w:t>
            </w:r>
            <w:r>
              <w:rPr>
                <w:sz w:val="17"/>
              </w:rPr>
              <w:t xml:space="preserve"> instructs that it be reissued and there is nothing to reissue. </w:t>
            </w:r>
            <w:r>
              <w:rPr>
                <w:b/>
                <w:sz w:val="17"/>
              </w:rPr>
              <w:t>Either rebuild it in-repo with the age panel and all four cautions printed on the chart face, or withdraw it.</w:t>
            </w:r>
            <w:r>
              <w:rPr>
                <w:sz w:val="17"/>
              </w:rPr>
              <w:t xml:space="preserve"> Do not circulate the v1.0 version further.</w:t>
            </w:r>
          </w:p>
        </w:tc>
      </w:tr>
      <w:tr>
        <w:tc>
          <w:tcPr>
            <w:tcW w:type="dxa" w:w="4320"/>
          </w:tcPr>
          <w:p>
            <w:pPr>
              <w:spacing w:before="20" w:after="20"/>
              <w:jc w:val="left"/>
            </w:pPr>
            <w:r>
              <w:rPr>
                <w:b/>
                <w:sz w:val="17"/>
              </w:rPr>
              <w:t>4. LC-1 … LC-4</w:t>
            </w:r>
          </w:p>
        </w:tc>
        <w:tc>
          <w:tcPr>
            <w:tcW w:type="dxa" w:w="4320"/>
          </w:tcPr>
          <w:p>
            <w:pPr>
              <w:spacing w:before="20" w:after="20"/>
              <w:jc w:val="left"/>
            </w:pPr>
            <w:r>
              <w:rPr>
                <w:b/>
                <w:sz w:val="17"/>
              </w:rPr>
              <w:t>All four closed.</w:t>
            </w:r>
            <w:r>
              <w:rPr>
                <w:sz w:val="17"/>
              </w:rPr>
              <w:t xml:space="preserve"> LC-1: directive only, and largely moot — § 5. LC-2: confirmed, with a PLOP drafting repair (M-7) and an unpriced volume effect. LC-3: administrative, not statutorily compelled; real bill-free partial win; question drafted and ready for release; and it reveals that Fallback 1 is only half administrable. LC-4: current past-window members are </w:t>
            </w:r>
            <w:r>
              <w:rPr>
                <w:b/>
                <w:sz w:val="17"/>
              </w:rPr>
              <w:t>in</w:t>
            </w:r>
            <w:r>
              <w:rPr>
                <w:sz w:val="17"/>
              </w:rPr>
              <w:t>, with three limits the brief must state — deferred members and retirees are out, the anti-duplication limbs bite, and veterans who already paid actuarial cost get nothing.</w:t>
            </w:r>
          </w:p>
        </w:tc>
      </w:tr>
      <w:tr>
        <w:tc>
          <w:tcPr>
            <w:tcW w:type="dxa" w:w="4320"/>
          </w:tcPr>
          <w:p>
            <w:pPr>
              <w:spacing w:before="20" w:after="20"/>
              <w:jc w:val="left"/>
            </w:pPr>
            <w:r>
              <w:rPr>
                <w:b/>
                <w:sz w:val="17"/>
              </w:rPr>
              <w:t>5. Annex 1 / Annex A drafting points, incl. the § 51.1-124.3 warning</w:t>
            </w:r>
          </w:p>
        </w:tc>
        <w:tc>
          <w:tcPr>
            <w:tcW w:type="dxa" w:w="4320"/>
          </w:tcPr>
          <w:p>
            <w:pPr>
              <w:spacing w:before="20" w:after="20"/>
              <w:jc w:val="left"/>
            </w:pPr>
            <w:r>
              <w:rPr>
                <w:b/>
                <w:sz w:val="17"/>
              </w:rPr>
              <w:t>The § 51.1-124.3 warning is correct and verified — the most important thing in the package.</w:t>
            </w:r>
            <w:r>
              <w:rPr>
                <w:sz w:val="17"/>
              </w:rPr>
              <w:t xml:space="preserve"> Annex A v1.1 is materially better than v1.0: the rate-schedule widening, the three constraints, the no-spillover lock on other purchase categories, and the alternate-hazardous-duty resolution are all sound. Four defects remain in the operative text: S-5, S-6, M-7, M-8, plus m-3, M-9, M-10. </w:t>
            </w:r>
            <w:r>
              <w:rPr>
                <w:b/>
                <w:sz w:val="17"/>
              </w:rPr>
              <w:t>None is fatal and all are curable in one drafting pass.</w:t>
            </w:r>
          </w:p>
        </w:tc>
      </w:tr>
      <w:tr>
        <w:tc>
          <w:tcPr>
            <w:tcW w:type="dxa" w:w="4320"/>
          </w:tcPr>
          <w:p>
            <w:pPr>
              <w:spacing w:before="20" w:after="20"/>
              <w:jc w:val="left"/>
            </w:pPr>
            <w:r>
              <w:rPr>
                <w:b/>
                <w:sz w:val="17"/>
              </w:rPr>
              <w:t>6. Adverse selection under the unbounded cohort</w:t>
            </w:r>
          </w:p>
        </w:tc>
        <w:tc>
          <w:tcPr>
            <w:tcW w:type="dxa" w:w="4320"/>
          </w:tcPr>
          <w:p>
            <w:pPr>
              <w:spacing w:before="20" w:after="20"/>
              <w:jc w:val="left"/>
            </w:pPr>
            <w:r>
              <w:rPr>
                <w:b/>
                <w:sz w:val="17"/>
              </w:rPr>
              <w:t>Fails. Neither guardrail works as drafted, and fixing the one I found is not enough.</w:t>
            </w:r>
            <w:r>
              <w:rPr>
                <w:sz w:val="17"/>
              </w:rPr>
              <w:t xml:space="preserve"> The team's own finding that age-grading is a weak dial (≈15%) while distance-from-eligibility grading can remove up to 100% is correct, important, and correctly acted on in Annex A v1.1 — the strongest analytical work in the package. But </w:t>
            </w:r>
            <w:r>
              <w:rPr>
                <w:b/>
                <w:sz w:val="17"/>
              </w:rPr>
              <w:t>Guardrail B is unenforceable as written and is overridden by § 2.3's "notwithstanding" clause in the same bill</w:t>
            </w:r>
            <w:r>
              <w:rPr>
                <w:sz w:val="17"/>
              </w:rPr>
              <w:t xml:space="preserve"> (S-6); and </w:t>
            </w:r>
            <w:r>
              <w:rPr>
                <w:b/>
                <w:sz w:val="17"/>
              </w:rPr>
              <w:t>Guardrail A′ cannot deliver the 100% setting the fiscal case quotes</w:t>
            </w:r>
            <w:r>
              <w:rPr>
                <w:sz w:val="17"/>
              </w:rPr>
              <w:t xml:space="preserve">, because MOO-289 </w:t>
            </w:r>
            <w:r>
              <w:rPr>
                <w:b/>
                <w:sz w:val="17"/>
              </w:rPr>
              <w:t>F-1</w:t>
            </w:r>
            <w:r>
              <w:rPr>
                <w:sz w:val="17"/>
              </w:rPr>
              <w:t xml:space="preserve"> shows that a uniform class rate capped at each member's </w:t>
            </w:r>
            <w:r>
              <w:rPr>
                <w:i/>
                <w:sz w:val="17"/>
              </w:rPr>
              <w:t>own</w:t>
            </w:r>
            <w:r>
              <w:rPr>
                <w:sz w:val="17"/>
              </w:rPr>
              <w:t xml:space="preserve"> actuarial equivalent cost must be set at the class minimum — 25% recovery in the Plan 1 age 55–59 class, not 100%. I originally concluded that fixing S-6 would make this dimension pass; adopting MOO-289 F-1, </w:t>
            </w:r>
            <w:r>
              <w:rPr>
                <w:b/>
                <w:sz w:val="17"/>
              </w:rPr>
              <w:t>it does not</w:t>
            </w:r>
            <w:r>
              <w:rPr>
                <w:sz w:val="17"/>
              </w:rPr>
              <w:t xml:space="preserve">. Both must be fixed, and the fiscal case must be re-stated on a recovery band the drafted ceiling actually permits. On permissiveness: "The Board may" is the right choice and should </w:t>
            </w:r>
            <w:r>
              <w:rPr>
                <w:b/>
                <w:sz w:val="17"/>
              </w:rPr>
              <w:t>not</w:t>
            </w:r>
            <w:r>
              <w:rPr>
                <w:sz w:val="17"/>
              </w:rPr>
              <w:t xml:space="preserve"> be made mandatory — but JLCVSO must understand the consequence, which is that if the Board declines to use either dial the bill's fiscal exposure is the full published range with no cost control at all. That is the trade for Board flexibility and it should be stated to the money committees rather than discovered by them.</w:t>
            </w:r>
          </w:p>
        </w:tc>
      </w:tr>
      <w:tr>
        <w:tc>
          <w:tcPr>
            <w:tcW w:type="dxa" w:w="4320"/>
          </w:tcPr>
          <w:p>
            <w:pPr>
              <w:spacing w:before="20" w:after="20"/>
              <w:jc w:val="left"/>
            </w:pPr>
            <w:r>
              <w:rPr>
                <w:b/>
                <w:sz w:val="17"/>
              </w:rPr>
              <w:t>7. All-member scope against the § 51.1-142.2 structure</w:t>
            </w:r>
          </w:p>
        </w:tc>
        <w:tc>
          <w:tcPr>
            <w:tcW w:type="dxa" w:w="4320"/>
          </w:tcPr>
          <w:p>
            <w:pPr>
              <w:spacing w:before="20" w:after="20"/>
              <w:jc w:val="left"/>
            </w:pPr>
            <w:r>
              <w:rPr>
                <w:b/>
                <w:sz w:val="17"/>
              </w:rPr>
              <w:t>No legal defect beyond fiscal exposure. Reaching political subdivisions without an opt-in creates no structural problem.</w:t>
            </w:r>
            <w:r>
              <w:rPr>
                <w:sz w:val="17"/>
              </w:rPr>
              <w:t xml:space="preserve"> § 51.1-142.2 applies to all VRS members by its own terms and contains no local-consent mechanism to disturb; § 51.1-145 is the rate-setting machinery and is unamended; participation is by the locality's own election under § 51.1-800; nothing in the section or in the political-subdivision provisions conditions a purchase right on local adoption. Contrast § 51.1-153 B 4, which </w:t>
            </w:r>
            <w:r>
              <w:rPr>
                <w:i/>
                <w:sz w:val="17"/>
              </w:rPr>
              <w:t>does</w:t>
            </w:r>
            <w:r>
              <w:rPr>
                <w:sz w:val="17"/>
              </w:rPr>
              <w:t xml:space="preserve"> require an irrevocable local resolution — that is what a consent requirement looks like in this title, and § 51.1-142.2 has nothing like it. Two live items, both procedural rather than structural: </w:t>
            </w:r>
            <w:r>
              <w:rPr>
                <w:b/>
                <w:sz w:val="17"/>
              </w:rPr>
              <w:t>§ 30-19.03</w:t>
            </w:r>
            <w:r>
              <w:rPr>
                <w:sz w:val="17"/>
              </w:rPr>
              <w:t xml:space="preserve"> may require a second, formal local fiscal impact statement (m-7), and the </w:t>
            </w:r>
            <w:r>
              <w:rPr>
                <w:b/>
                <w:sz w:val="17"/>
              </w:rPr>
              <w:t>political-subdivision line is the largest of the three</w:t>
            </w:r>
            <w:r>
              <w:rPr>
                <w:sz w:val="17"/>
              </w:rPr>
              <w:t xml:space="preserve"> and arrives undisclosed in the printed leave-behind (F-1, m-1). </w:t>
            </w:r>
            <w:r>
              <w:rPr>
                <w:b/>
                <w:sz w:val="17"/>
              </w:rPr>
              <w:t>Dillon's Rule null, preemption null, special legislation null.</w:t>
            </w:r>
          </w:p>
        </w:tc>
      </w:tr>
      <w:tr>
        <w:tc>
          <w:tcPr>
            <w:tcW w:type="dxa" w:w="4320"/>
          </w:tcPr>
          <w:p>
            <w:pPr>
              <w:spacing w:before="20" w:after="20"/>
              <w:jc w:val="left"/>
            </w:pPr>
            <w:r>
              <w:rPr>
                <w:b/>
                <w:sz w:val="17"/>
              </w:rPr>
              <w:t>8. Plain-English simplification</w:t>
            </w:r>
          </w:p>
        </w:tc>
        <w:tc>
          <w:tcPr>
            <w:tcW w:type="dxa" w:w="4320"/>
          </w:tcPr>
          <w:p>
            <w:pPr>
              <w:spacing w:before="20" w:after="20"/>
              <w:jc w:val="left"/>
            </w:pPr>
            <w:r>
              <w:rPr>
                <w:b/>
                <w:sz w:val="17"/>
              </w:rPr>
              <w:t>Fails as printed, on substance rather than tone.</w:t>
            </w:r>
            <w:r>
              <w:rPr>
                <w:sz w:val="17"/>
              </w:rPr>
              <w:t xml:space="preserve"> Three of the one-pager's simplifications are not merely loose, they are wrong or unsupportable: </w:t>
            </w:r>
            <w:r>
              <w:rPr>
                <w:b/>
                <w:sz w:val="17"/>
              </w:rPr>
              <w:t>"General fund cost: $0 — structural, not a rounding"</w:t>
            </w:r>
            <w:r>
              <w:rPr>
                <w:sz w:val="17"/>
              </w:rPr>
              <w:t xml:space="preserve"> (F-1, the fatal one); </w:t>
            </w:r>
            <w:r>
              <w:rPr>
                <w:b/>
                <w:sz w:val="17"/>
              </w:rPr>
              <w:t>"costs the Fund less per member than the one VRS already scored: $6,800 to $48,000"</w:t>
            </w:r>
            <w:r>
              <w:rPr>
                <w:sz w:val="17"/>
              </w:rPr>
              <w:t xml:space="preserve"> (S-1, an invalid comparison); </w:t>
            </w:r>
            <w:r>
              <w:rPr>
                <w:b/>
                <w:sz w:val="17"/>
              </w:rPr>
              <w:t>"below about age 47–48 a veteran pays more than the credit is actuarially worth"</w:t>
            </w:r>
            <w:r>
              <w:rPr>
                <w:sz w:val="17"/>
              </w:rPr>
              <w:t xml:space="preserve"> (S-2, refuted by the package's own full-basis model). On the two items specifically asked about: </w:t>
            </w:r>
            <w:r>
              <w:rPr>
                <w:b/>
                <w:sz w:val="17"/>
              </w:rPr>
              <w:t>"5 cents out of every $100"</w:t>
            </w:r>
            <w:r>
              <w:rPr>
                <w:sz w:val="17"/>
              </w:rPr>
              <w:t xml:space="preserve"> is arithmetically right on the corrected grid at the bottom cell and the full range is correctly given as 5–68 cents, so the </w:t>
            </w:r>
            <w:r>
              <w:rPr>
                <w:i/>
                <w:sz w:val="17"/>
              </w:rPr>
              <w:t>number</w:t>
            </w:r>
            <w:r>
              <w:rPr>
                <w:sz w:val="17"/>
              </w:rPr>
              <w:t xml:space="preserve"> is fine — but it divides a </w:t>
            </w:r>
            <w:r>
              <w:rPr>
                <w:b/>
                <w:sz w:val="17"/>
              </w:rPr>
              <w:t>one-time present value</w:t>
            </w:r>
            <w:r>
              <w:rPr>
                <w:sz w:val="17"/>
              </w:rPr>
              <w:t xml:space="preserve"> by a </w:t>
            </w:r>
            <w:r>
              <w:rPr>
                <w:b/>
                <w:sz w:val="17"/>
              </w:rPr>
              <w:t>single year's</w:t>
            </w:r>
            <w:r>
              <w:rPr>
                <w:sz w:val="17"/>
              </w:rPr>
              <w:t xml:space="preserve"> payroll, which reads as an annual rate. The honest annual figure is </w:t>
            </w:r>
            <w:r>
              <w:rPr>
                <w:b/>
                <w:sz w:val="17"/>
              </w:rPr>
              <w:t>0.4 to 4.4 basis points</w:t>
            </w:r>
            <w:r>
              <w:rPr>
                <w:sz w:val="17"/>
              </w:rPr>
              <w:t xml:space="preserve"> (M-5), and it is a better number. The claim that the statewide figure "stays the same tiny share of payroll" has already been correctly retracted by </w:t>
            </w:r>
            <w:r>
              <w:rPr>
                <w:rFonts w:ascii="Consolas" w:hAnsi="Consolas"/>
                <w:color w:val="303030"/>
                <w:sz w:val="18"/>
              </w:rPr>
              <w:t>04</w:t>
            </w:r>
            <w:r>
              <w:rPr>
                <w:sz w:val="17"/>
              </w:rPr>
              <w:t xml:space="preserve"> § 4.4 and no longer appears. </w:t>
            </w:r>
            <w:r>
              <w:rPr>
                <w:b/>
                <w:sz w:val="17"/>
              </w:rPr>
              <w:t xml:space="preserve">Hold the print run again until F-1, S-1 and S-2 are fixed in </w:t>
            </w:r>
            <w:r>
              <w:rPr>
                <w:rFonts w:ascii="Consolas" w:hAnsi="Consolas"/>
                <w:b/>
                <w:color w:val="303030"/>
                <w:sz w:val="18"/>
              </w:rPr>
              <w:t>00</w:t>
            </w:r>
            <w:r>
              <w:rPr>
                <w:b/>
                <w:sz w:val="17"/>
              </w:rPr>
              <w:t>.</w:t>
            </w:r>
            <w:r>
              <w:rPr>
                <w:sz w:val="17"/>
              </w:rPr>
              <w:t xml:space="preserve"> That is a counsel recommendation, not a decision — the call is Policy Director's.</w:t>
            </w:r>
          </w:p>
        </w:tc>
      </w:tr>
    </w:tbl>
    <w:p>
      <w:pPr>
        <w:spacing w:before="0" w:after="0" w:line="80" w:lineRule="exact"/>
      </w:pPr>
      <w:r>
        <w:rPr>
          <w:sz w:val="8"/>
        </w:rPr>
      </w:r>
    </w:p>
    <w:p>
      <w:pPr>
        <w:jc w:val="center"/>
      </w:pPr>
      <w:r>
        <w:rPr>
          <w:color w:val="909090"/>
          <w:sz w:val="18"/>
        </w:rPr>
        <w:t>* * *</w:t>
      </w:r>
    </w:p>
    <w:p>
      <w:pPr>
        <w:pStyle w:val="Heading2"/>
      </w:pPr>
      <w:r>
        <w:t>9. What I checked and found sound — explicitly</w:t>
      </w:r>
    </w:p>
    <w:p>
      <w:r>
        <w:t>Stated because a review that reports only defects is not a review.</w:t>
      </w:r>
    </w:p>
    <w:p>
      <w:pPr>
        <w:pStyle w:val="ListBullet"/>
      </w:pPr>
      <w:r>
        <w:rPr>
          <w:b/>
        </w:rPr>
        <w:t>The § 51.1-124.3 hinge.</w:t>
      </w:r>
      <w:r>
        <w:t xml:space="preserve"> Verified verbatim. The definition names § 51.1-142.2 by number; the draft amends that section rather than creating a new one; the whole downstream analysis therefore holds. The warning not to use a new Code section is correct and is the single most valuable sentence in the package.</w:t>
      </w:r>
    </w:p>
    <w:p>
      <w:pPr>
        <w:pStyle w:val="ListBullet"/>
      </w:pPr>
      <w:r>
        <w:rPr>
          <w:b/>
        </w:rPr>
        <w:t>The statutory quotations.</w:t>
      </w:r>
      <w:r>
        <w:t xml:space="preserve"> Every verbatim quotation of § 51.1-142.2 B 2, B 3, F and I, the 180-consecutive-day definition, and § 51.1-124.3's four definitions is accurate. That is unusual and it matters.</w:t>
      </w:r>
    </w:p>
    <w:p>
      <w:pPr>
        <w:pStyle w:val="ListBullet"/>
      </w:pPr>
      <w:r>
        <w:rPr>
          <w:b/>
        </w:rPr>
        <w:t>The narrow-bill architecture.</w:t>
      </w:r>
      <w:r>
        <w:t xml:space="preserve"> Carving out subdivision B 2 by express cross-reference rather than deleting the 24-month sentence is right, and Annex A § 4 is correct that the sentence serves both B 1 and B 2. Leaving subsection E, subsection I, both four-year caps, the anti-duplication sentence and the ch. 1223 exception alone is right. Annex A § 8's ten drafting points are, with the exceptions in § 6 above, well drawn.</w:t>
      </w:r>
    </w:p>
    <w:p>
      <w:pPr>
        <w:pStyle w:val="ListBullet"/>
      </w:pPr>
      <w:r>
        <w:rPr>
          <w:b/>
        </w:rPr>
        <w:t>The unintended-effects check.</w:t>
      </w:r>
      <w:r>
        <w:t xml:space="preserve"> Annex A § 5 is thorough and its governing insight — that because purchased military service is already creditable service, nothing changes </w:t>
      </w:r>
      <w:r>
        <w:rPr>
          <w:i/>
        </w:rPr>
        <w:t>in kind</w:t>
      </w:r>
      <w:r>
        <w:t xml:space="preserve"> and several things change </w:t>
      </w:r>
      <w:r>
        <w:rPr>
          <w:i/>
        </w:rPr>
        <w:t>in volume</w:t>
      </w:r>
      <w:r>
        <w:t xml:space="preserve"> — is correct and is the right organising principle. The AFC analysis is right (purchase payments are not creditable compensation). The Hybrid disability point is right and well spotted: § 51.1-169 D 2 means the dominant post-2014 cohort is unaffected.</w:t>
      </w:r>
    </w:p>
    <w:p>
      <w:pPr>
        <w:pStyle w:val="ListBullet"/>
      </w:pPr>
      <w:r>
        <w:rPr>
          <w:b/>
        </w:rPr>
        <w:t>The Rule of 90 half-year asymmetry.</w:t>
      </w:r>
      <w:r>
        <w:t xml:space="preserve"> Correct, mechanically sound, independently reproduced in the model, and genuinely the most important technical fact in the package. Keep it prominent; just fix the subdivision cite (M-1).</w:t>
      </w:r>
    </w:p>
    <w:p>
      <w:pPr>
        <w:pStyle w:val="ListBullet"/>
      </w:pPr>
      <w:r>
        <w:rPr>
          <w:b/>
        </w:rPr>
        <w:t>FM-5.</w:t>
      </w:r>
      <w:r>
        <w:t xml:space="preserve"> Closed properly. The page-by-page reading of the rate charts — one page re-stamped July 1, 2026 and three not, with PDF metadata to match — is exactly how a negative should be closed, and "the rates hold through at least June 30, 2029" is a real and quotable asset.</w:t>
      </w:r>
    </w:p>
    <w:p>
      <w:pPr>
        <w:pStyle w:val="ListBullet"/>
      </w:pPr>
      <w:r>
        <w:rPr>
          <w:b/>
        </w:rPr>
        <w:t>FM-3.</w:t>
      </w:r>
      <w:r>
        <w:t xml:space="preserve"> Fully sourced. The structural finding that there is no Hybrid hazardous-duty rate because § 51.1-169 A excludes those members, so Plan 2 is not a closed cohort, is correct, verified, and was a live error in v1.0. Annex A § 2.6's resolution of the 10.01% alternate option through factor (v), anchored on § 51.1-138 because § 51.1-169 A already uses that phrase, is good drafting — borrowed usage rather than invented.</w:t>
      </w:r>
    </w:p>
    <w:p>
      <w:pPr>
        <w:pStyle w:val="ListBullet"/>
      </w:pPr>
      <w:r>
        <w:rPr>
          <w:b/>
        </w:rPr>
        <w:t>The guardrail dial analysis (FM-4 § 4.8).</w:t>
      </w:r>
      <w:r>
        <w:t xml:space="preserve"> The best analytical work in the package. The finding that age-grading removes ~15% while distance-from-eligibility grading can remove up to 100%, and the reason — acceleration is driven by proximity to a threshold, which is age </w:t>
      </w:r>
      <w:r>
        <w:rPr>
          <w:i/>
        </w:rPr>
        <w:t>and</w:t>
      </w:r>
      <w:r>
        <w:t xml:space="preserve"> service — is correct, consequential, and was correctly escalated and acted on.</w:t>
      </w:r>
    </w:p>
    <w:p>
      <w:pPr>
        <w:pStyle w:val="ListBullet"/>
      </w:pPr>
      <w:r>
        <w:rPr>
          <w:b/>
        </w:rPr>
        <w:t>The 110,474 Plan 1 statement.</w:t>
      </w:r>
      <w:r>
        <w:t xml:space="preserve"> Holds. It is a legal consequence of the plan rules, not an estimate, the two qualifications are correctly stated, and the "floor" characterisation is right. It survives every finding above, including S-4 — that finding goes to who may </w:t>
      </w:r>
      <w:r>
        <w:rPr>
          <w:i/>
        </w:rPr>
        <w:t>purchase</w:t>
      </w:r>
      <w:r>
        <w:t>, not to who is past the window. Lead with it.</w:t>
      </w:r>
    </w:p>
    <w:p>
      <w:pPr>
        <w:pStyle w:val="ListBullet"/>
      </w:pPr>
      <w:r>
        <w:rPr>
          <w:b/>
        </w:rPr>
        <w:t>The U-06 pinpointing of the HB 1867 statement</w:t>
      </w:r>
      <w:r>
        <w:t xml:space="preserve"> (</w:t>
      </w:r>
      <w:r>
        <w:rPr>
          <w:rFonts w:ascii="Consolas" w:hAnsi="Consolas"/>
          <w:color w:val="303030"/>
          <w:sz w:val="18"/>
        </w:rPr>
        <w:t>f62ca52</w:t>
      </w:r>
      <w:r>
        <w:t xml:space="preserve">). Retrieving the primary document was the right call on the package's weakest load-bearing citation, the band is confirmed verbatim, and the four new facts drawn from it — the $35,000 average, VRS's inability to identify who holds the service, the eligibility-channel confirmation, and the pooled-cost line that "cuts against us" — are all real and all correctly recorded. The </w:t>
      </w:r>
      <w:r>
        <w:rPr>
          <w:b/>
        </w:rPr>
        <w:t>F-61 general-fund finding was reached independently and is correct.</w:t>
      </w:r>
      <w:r>
        <w:t xml:space="preserve"> My S-1 disputes only the inference drawn in § 4.6, not the retrieval or the facts.</w:t>
      </w:r>
    </w:p>
    <w:p>
      <w:pPr>
        <w:pStyle w:val="ListBullet"/>
      </w:pPr>
      <w:r>
        <w:rPr>
          <w:b/>
        </w:rPr>
        <w:t>The retraction discipline.</w:t>
      </w:r>
      <w:r>
        <w:t xml:space="preserve"> The handling of the $2 million figure — retracted everywhere, with the reason recorded so the retraction can be defended rather than merely asserted, and the non-duplication rule between Annex B and Annex 2 Closure so the two cannot diverge — is better practice than most legislative packages manage. Preserve it, and apply the same discipline to S-3 and S-1.</w:t>
      </w:r>
    </w:p>
    <w:p>
      <w:pPr>
        <w:pStyle w:val="ListBullet"/>
      </w:pPr>
      <w:r>
        <w:rPr>
          <w:b/>
        </w:rPr>
        <w:t>Model hygiene.</w:t>
      </w:r>
      <w:r>
        <w:t xml:space="preserve"> </w:t>
      </w:r>
      <w:r>
        <w:rPr>
          <w:rFonts w:ascii="Consolas" w:hAnsi="Consolas"/>
          <w:color w:val="303030"/>
          <w:sz w:val="18"/>
        </w:rPr>
        <w:t>fm_model.py</w:t>
      </w:r>
      <w:r>
        <w:t xml:space="preserve"> runs clean, tags every input OFFICIAL / DERIVED / ESTIMATE, states five caveats including that the annuity basis is not a VRS mortality table, and makes the multiple-versus-level distinction correctly. The pairing error at S-3 is a real defect in one line; it is not a pattern.</w:t>
      </w:r>
    </w:p>
    <w:p>
      <w:pPr>
        <w:pStyle w:val="ListBullet"/>
      </w:pPr>
      <w:r>
        <w:rPr>
          <w:b/>
        </w:rPr>
        <w:t>Cost-driver identification.</w:t>
      </w:r>
      <w:r>
        <w:t xml:space="preserve"> That retirement-date acceleration and not the price discount is the dominant channel is correct, and the refinement in </w:t>
      </w:r>
      <w:r>
        <w:rPr>
          <w:rFonts w:ascii="Consolas" w:hAnsi="Consolas"/>
          <w:color w:val="303030"/>
          <w:sz w:val="18"/>
        </w:rPr>
        <w:t>04</w:t>
      </w:r>
      <w:r>
        <w:t xml:space="preserve"> § 4.2 — that this is true for the long-service Plan 1 cohort and an overstatement for a 45-year-old Hybrid member — is more honest than the original claim.</w:t>
      </w:r>
    </w:p>
    <w:p>
      <w:pPr>
        <w:pStyle w:val="ListBullet"/>
      </w:pPr>
      <w:r>
        <w:rPr>
          <w:b/>
        </w:rPr>
        <w:t>"What to say / what not to say."</w:t>
      </w:r>
      <w:r>
        <w:t xml:space="preserve"> This device appears throughout and it is the right instinct for a document going to busy staff. Keep it, and extend it to the general-fund sentence and the HB 1867 comparison.</w:t>
      </w:r>
    </w:p>
    <w:p>
      <w:pPr>
        <w:jc w:val="center"/>
      </w:pPr>
      <w:r>
        <w:rPr>
          <w:color w:val="909090"/>
          <w:sz w:val="18"/>
        </w:rPr>
        <w:t>* * *</w:t>
      </w:r>
    </w:p>
    <w:p>
      <w:pPr>
        <w:pStyle w:val="Heading2"/>
      </w:pPr>
      <w:r>
        <w:t>10. Routing</w:t>
      </w:r>
    </w:p>
    <w:tbl>
      <w:tblPr>
        <w:tblStyle w:val="TableGrid"/>
        <w:tblW w:type="auto" w:w="0"/>
        <w:jc w:val="left"/>
        <w:tblLook w:firstColumn="1" w:firstRow="1" w:lastColumn="0" w:lastRow="0" w:noHBand="0" w:noVBand="1" w:val="04A0"/>
      </w:tblPr>
      <w:tblGrid>
        <w:gridCol w:w="4320"/>
        <w:gridCol w:w="4320"/>
      </w:tblGrid>
      <w:tr>
        <w:trPr>
          <w:tblHeader w:val="true"/>
        </w:trPr>
        <w:tc>
          <w:tcPr>
            <w:tcW w:type="dxa" w:w="4320"/>
          </w:tcPr>
          <w:p>
            <w:pPr>
              <w:spacing w:before="20" w:after="20"/>
              <w:jc w:val="left"/>
            </w:pPr>
            <w:r>
              <w:rPr>
                <w:b/>
                <w:sz w:val="17"/>
              </w:rPr>
              <w:t>Finding</w:t>
            </w:r>
          </w:p>
        </w:tc>
        <w:tc>
          <w:tcPr>
            <w:tcW w:type="dxa" w:w="4320"/>
          </w:tcPr>
          <w:p>
            <w:pPr>
              <w:spacing w:before="20" w:after="20"/>
              <w:jc w:val="left"/>
            </w:pPr>
            <w:r>
              <w:rPr>
                <w:b/>
                <w:sz w:val="17"/>
              </w:rPr>
              <w:t>Owner</w:t>
            </w:r>
          </w:p>
        </w:tc>
      </w:tr>
      <w:tr>
        <w:tc>
          <w:tcPr>
            <w:tcW w:type="dxa" w:w="4320"/>
          </w:tcPr>
          <w:p>
            <w:pPr>
              <w:spacing w:before="20" w:after="20"/>
              <w:jc w:val="left"/>
            </w:pPr>
            <w:r>
              <w:rPr>
                <w:b/>
                <w:sz w:val="17"/>
              </w:rPr>
              <w:t>F-1</w:t>
            </w:r>
            <w:r>
              <w:rPr>
                <w:sz w:val="17"/>
              </w:rPr>
              <w:t xml:space="preserve">, m-1, m-2, and the print decision on </w:t>
            </w:r>
            <w:r>
              <w:rPr>
                <w:rFonts w:ascii="Consolas" w:hAnsi="Consolas"/>
                <w:color w:val="303030"/>
                <w:sz w:val="18"/>
              </w:rPr>
              <w:t>00</w:t>
            </w:r>
          </w:p>
        </w:tc>
        <w:tc>
          <w:tcPr>
            <w:tcW w:type="dxa" w:w="4320"/>
          </w:tcPr>
          <w:p>
            <w:pPr>
              <w:spacing w:before="20" w:after="20"/>
              <w:jc w:val="left"/>
            </w:pPr>
            <w:r>
              <w:rPr>
                <w:b/>
                <w:sz w:val="17"/>
              </w:rPr>
              <w:t>Policy Director</w:t>
            </w:r>
            <w:r>
              <w:rPr>
                <w:sz w:val="17"/>
              </w:rPr>
              <w:t xml:space="preserve"> (decision), then Editor</w:t>
            </w:r>
          </w:p>
        </w:tc>
      </w:tr>
      <w:tr>
        <w:tc>
          <w:tcPr>
            <w:tcW w:type="dxa" w:w="4320"/>
          </w:tcPr>
          <w:p>
            <w:pPr>
              <w:spacing w:before="20" w:after="20"/>
              <w:jc w:val="left"/>
            </w:pPr>
            <w:r>
              <w:rPr>
                <w:sz w:val="17"/>
              </w:rPr>
              <w:t>S-1, S-2, S-3, § 4.1 profile banding, M-5, M-6, m-4</w:t>
            </w:r>
          </w:p>
        </w:tc>
        <w:tc>
          <w:tcPr>
            <w:tcW w:type="dxa" w:w="4320"/>
          </w:tcPr>
          <w:p>
            <w:pPr>
              <w:spacing w:before="20" w:after="20"/>
              <w:jc w:val="left"/>
            </w:pPr>
            <w:r>
              <w:rPr>
                <w:b/>
                <w:sz w:val="17"/>
              </w:rPr>
              <w:t>Fiscal &amp; Impact Modeler</w:t>
            </w:r>
          </w:p>
        </w:tc>
      </w:tr>
      <w:tr>
        <w:tc>
          <w:tcPr>
            <w:tcW w:type="dxa" w:w="4320"/>
          </w:tcPr>
          <w:p>
            <w:pPr>
              <w:spacing w:before="20" w:after="20"/>
              <w:jc w:val="left"/>
            </w:pPr>
            <w:r>
              <w:rPr>
                <w:sz w:val="17"/>
              </w:rPr>
              <w:t>S-5, S-6, M-7, M-8, M-9, M-10, m-3</w:t>
            </w:r>
          </w:p>
        </w:tc>
        <w:tc>
          <w:tcPr>
            <w:tcW w:type="dxa" w:w="4320"/>
          </w:tcPr>
          <w:p>
            <w:pPr>
              <w:spacing w:before="20" w:after="20"/>
              <w:jc w:val="left"/>
            </w:pPr>
            <w:r>
              <w:rPr>
                <w:b/>
                <w:sz w:val="17"/>
              </w:rPr>
              <w:t>Drafting Specialist</w:t>
            </w:r>
            <w:r>
              <w:rPr>
                <w:sz w:val="17"/>
              </w:rPr>
              <w:t>, then VRS counsel and DLS</w:t>
            </w:r>
          </w:p>
        </w:tc>
      </w:tr>
      <w:tr>
        <w:tc>
          <w:tcPr>
            <w:tcW w:type="dxa" w:w="4320"/>
          </w:tcPr>
          <w:p>
            <w:pPr>
              <w:spacing w:before="20" w:after="20"/>
              <w:jc w:val="left"/>
            </w:pPr>
            <w:r>
              <w:rPr>
                <w:sz w:val="17"/>
              </w:rPr>
              <w:t>S-4 (both anti-duplication limbs; data request items 9–10), M-1, M-2, m-6</w:t>
            </w:r>
          </w:p>
        </w:tc>
        <w:tc>
          <w:tcPr>
            <w:tcW w:type="dxa" w:w="4320"/>
          </w:tcPr>
          <w:p>
            <w:pPr>
              <w:spacing w:before="20" w:after="20"/>
              <w:jc w:val="left"/>
            </w:pPr>
            <w:r>
              <w:rPr>
                <w:b/>
                <w:sz w:val="17"/>
              </w:rPr>
              <w:t>Statutory Researcher</w:t>
            </w:r>
          </w:p>
        </w:tc>
      </w:tr>
      <w:tr>
        <w:tc>
          <w:tcPr>
            <w:tcW w:type="dxa" w:w="4320"/>
          </w:tcPr>
          <w:p>
            <w:pPr>
              <w:spacing w:before="20" w:after="20"/>
              <w:jc w:val="left"/>
            </w:pPr>
            <w:r>
              <w:rPr>
                <w:sz w:val="17"/>
              </w:rPr>
              <w:t>S-7 (veterans who already paid actuarial cost), and localities / school divisions as cost-bearers</w:t>
            </w:r>
          </w:p>
        </w:tc>
        <w:tc>
          <w:tcPr>
            <w:tcW w:type="dxa" w:w="4320"/>
          </w:tcPr>
          <w:p>
            <w:pPr>
              <w:spacing w:before="20" w:after="20"/>
              <w:jc w:val="left"/>
            </w:pPr>
            <w:r>
              <w:rPr>
                <w:b/>
                <w:sz w:val="17"/>
              </w:rPr>
              <w:t>Stakeholder Analyst</w:t>
            </w:r>
          </w:p>
        </w:tc>
      </w:tr>
      <w:tr>
        <w:tc>
          <w:tcPr>
            <w:tcW w:type="dxa" w:w="4320"/>
          </w:tcPr>
          <w:p>
            <w:pPr>
              <w:spacing w:before="20" w:after="20"/>
              <w:jc w:val="left"/>
            </w:pPr>
            <w:r>
              <w:rPr>
                <w:sz w:val="17"/>
              </w:rPr>
              <w:t>M-3 (myVRS, member benefit statement), M-4 (supersede the v1.0 PDF; chart in-repo or out)</w:t>
            </w:r>
          </w:p>
        </w:tc>
        <w:tc>
          <w:tcPr>
            <w:tcW w:type="dxa" w:w="4320"/>
          </w:tcPr>
          <w:p>
            <w:pPr>
              <w:spacing w:before="20" w:after="20"/>
              <w:jc w:val="left"/>
            </w:pPr>
            <w:r>
              <w:rPr>
                <w:b/>
                <w:sz w:val="17"/>
              </w:rPr>
              <w:t>Statutory Researcher</w:t>
            </w:r>
            <w:r>
              <w:rPr>
                <w:sz w:val="17"/>
              </w:rPr>
              <w:t xml:space="preserve"> / Editor</w:t>
            </w:r>
          </w:p>
        </w:tc>
      </w:tr>
      <w:tr>
        <w:tc>
          <w:tcPr>
            <w:tcW w:type="dxa" w:w="4320"/>
          </w:tcPr>
          <w:p>
            <w:pPr>
              <w:spacing w:before="20" w:after="20"/>
              <w:jc w:val="left"/>
            </w:pPr>
            <w:r>
              <w:rPr>
                <w:sz w:val="17"/>
              </w:rPr>
              <w:t>m-7, m-8 (§ 30-19.03; 30-day session)</w:t>
            </w:r>
          </w:p>
        </w:tc>
        <w:tc>
          <w:tcPr>
            <w:tcW w:type="dxa" w:w="4320"/>
          </w:tcPr>
          <w:p>
            <w:pPr>
              <w:spacing w:before="20" w:after="20"/>
              <w:jc w:val="left"/>
            </w:pPr>
            <w:r>
              <w:rPr>
                <w:b/>
                <w:sz w:val="17"/>
              </w:rPr>
              <w:t>Policy Director</w:t>
            </w:r>
          </w:p>
        </w:tc>
      </w:tr>
      <w:tr>
        <w:tc>
          <w:tcPr>
            <w:tcW w:type="dxa" w:w="4320"/>
          </w:tcPr>
          <w:p>
            <w:pPr>
              <w:spacing w:before="20" w:after="20"/>
              <w:jc w:val="left"/>
            </w:pPr>
            <w:r>
              <w:rPr>
                <w:sz w:val="17"/>
              </w:rPr>
              <w:t>LC-3 question to VRS</w:t>
            </w:r>
          </w:p>
        </w:tc>
        <w:tc>
          <w:tcPr>
            <w:tcW w:type="dxa" w:w="4320"/>
          </w:tcPr>
          <w:p>
            <w:pPr>
              <w:spacing w:before="20" w:after="20"/>
              <w:jc w:val="left"/>
            </w:pPr>
            <w:r>
              <w:rPr>
                <w:b/>
                <w:sz w:val="17"/>
              </w:rPr>
              <w:t>Policy Director</w:t>
            </w:r>
            <w:r>
              <w:rPr>
                <w:sz w:val="17"/>
              </w:rPr>
              <w:t xml:space="preserve"> to release</w:t>
            </w:r>
          </w:p>
        </w:tc>
      </w:tr>
    </w:tbl>
    <w:p>
      <w:pPr>
        <w:spacing w:before="0" w:after="0" w:line="80" w:lineRule="exact"/>
      </w:pPr>
      <w:r>
        <w:rPr>
          <w:sz w:val="8"/>
        </w:rPr>
      </w:r>
    </w:p>
    <w:p>
      <w:r>
        <w:rPr>
          <w:b/>
        </w:rPr>
        <w:t>Must appear in the memo's risk section — marked for Editor:</w:t>
      </w:r>
      <w:r>
        <w:t xml:space="preserve"> F-1, S-1, S-2, S-3, S-4, S-6, S-7, and the LC-4 limits (deferred members and retirees are out).</w:t>
      </w:r>
    </w:p>
    <w:p>
      <w:r>
        <w:rPr>
          <w:b/>
        </w:rPr>
        <w:t>Also for Policy Director: MOO-289 and MOO-292 commissioned the same adversarial review.</w:t>
      </w:r>
      <w:r>
        <w:t xml:space="preserve"> Two independent reviews of one package is not waste — the convergence is evidence, and each caught things the other missed — but it should be a decision, not an accident. One of the two should own the consolidated action list. I recommend the findings be worked from a single merged list built on the § 2.0 overlap map, so no owner receives the same defect twice under two IDs.</w:t>
      </w:r>
    </w:p>
    <w:p>
      <w:r>
        <w:rPr>
          <w:b/>
        </w:rPr>
        <w:t>Verdict.</w:t>
      </w:r>
      <w:r>
        <w:t xml:space="preserve"> The proposal is sound and the legal architecture is good. The package is </w:t>
      </w:r>
      <w:r>
        <w:rPr>
          <w:b/>
        </w:rPr>
        <w:t>not ready to circulate outside the working group.</w:t>
      </w:r>
      <w:r>
        <w:t xml:space="preserve"> Taking both reviews together: two fatal defects — the general-fund claim in the printed leave-behind, and a rate-schedule authority that cannot produce the dial the fiscal case quotes — plus serious defects in the fiscal presentation and in the operative text, and one unmapped group of injured parties. All are curable, most in a single drafting and modelling pass, and </w:t>
      </w:r>
      <w:r>
        <w:rPr>
          <w:b/>
        </w:rPr>
        <w:t>none goes to the merits of the policy.</w:t>
      </w:r>
      <w:r>
        <w:t xml:space="preserve"> Specifically: hold the </w:t>
      </w:r>
      <w:r>
        <w:rPr>
          <w:rFonts w:ascii="Consolas" w:hAnsi="Consolas"/>
          <w:color w:val="303030"/>
          <w:sz w:val="18"/>
        </w:rPr>
        <w:t>00</w:t>
      </w:r>
      <w:r>
        <w:t xml:space="preserve"> print run until F-1, S-1 and S-2 are fixed; do not send Annex A to Legislative Services until S-5, S-6, M-7, M-8 and MOO-289 F-1 are resolved; and do not put the comparative claim or the Cliff Graph in front of a legislator at all until M-2 and M-4 are closed. </w:t>
      </w:r>
      <w:r>
        <w:rPr>
          <w:b/>
        </w:rPr>
        <w:t>Adverse findings remain open until resolved or explicitly accepted by Policy Director.</w:t>
      </w:r>
      <w:r>
        <w:t xml:space="preserve"> Final sign-off on Title 51.1 language remains with the VRS attorney.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40" w:val="right"/>
      </w:tabs>
    </w:pPr>
    <w:r>
      <w:rPr>
        <w:rFonts w:ascii="Calibri" w:hAnsi="Calibri"/>
        <w:sz w:val="16"/>
      </w:rPr>
      <w:t>JLCVSO 2027 session — military service credit purchase price deadline</w:t>
      <w:tab/>
    </w:r>
    <w:r>
      <w:rPr>
        <w:rFonts w:ascii="Calibri" w:hAnsi="Calibri"/>
        <w:sz w:val="16"/>
      </w:rPr>
      <w:fldChar w:fldCharType="begin"/>
      <w:instrText xml:space="preserve"> PAGE </w:instrText>
      <w:fldChar w:fldCharType="end"/>
    </w:r>
    <w:r>
      <w:rPr>
        <w:rFonts w:ascii="Calibri" w:hAnsi="Calibri"/>
        <w:sz w:val="16"/>
      </w:rPr>
      <w:t xml:space="preserve"> of </w:t>
    </w:r>
    <w:r>
      <w:rPr>
        <w:rFonts w:ascii="Calibri" w:hAnsi="Calibri"/>
        <w:sz w:val="16"/>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21"/>
    </w:rPr>
  </w:style>
  <w:style w:type="paragraph" w:styleId="ListBullet2">
    <w:name w:val="List Bullet 2"/>
    <w:basedOn w:val="Normal"/>
    <w:uiPriority w:val="99"/>
    <w:unhideWhenUsed/>
    <w:rsid w:val="00326F90"/>
    <w:pPr>
      <w:numPr>
        <w:numId w:val="2"/>
      </w:numPr>
      <w:spacing w:after="60"/>
      <w:contextualSpacing/>
    </w:pPr>
    <w:rPr>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Team and Adversarial Counsel Review — MOO-292</dc:title>
  <dc:subject>Virginia Retirement System § 51.1-142.2 military service credit purchase price deadline</dc:subject>
  <dc:creator>Policy Development Team</dc:creator>
  <cp:keywords/>
  <dc:description>Generated from the Markdown source of record by tools/md_to_docx.py. The .md file in the repository is authoritative; regenerate rather than hand-editing it.</dc:description>
  <cp:lastModifiedBy>Policy Development Team</cp:lastModifiedBy>
  <cp:revision>1</cp:revision>
  <dcterms:created xsi:type="dcterms:W3CDTF">2013-12-23T23:15:00Z</dcterms:created>
  <dcterms:modified xsi:type="dcterms:W3CDTF">2013-12-23T23:15:00Z</dcterms:modified>
  <cp:category>Legislative brief — 2027 Virginia General Assembly session</cp:category>
</cp:coreProperties>
</file>