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JLC Legislative Change Brief</w:t>
      </w:r>
    </w:p>
    <w:p>
      <w:r>
        <w:rPr>
          <w:b/>
        </w:rPr>
        <w:t>Let veterans buy their military service credit at the same price other state employees pay — instead of losing that price after two years on the job.</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p>
        </w:tc>
        <w:tc>
          <w:tcPr>
            <w:tcW w:type="dxa" w:w="4320"/>
          </w:tcPr>
          <w:p>
            <w:pPr>
              <w:spacing w:before="20" w:after="20"/>
              <w:jc w:val="left"/>
            </w:pPr>
          </w:p>
        </w:tc>
      </w:tr>
      <w:tr>
        <w:tc>
          <w:tcPr>
            <w:tcW w:type="dxa" w:w="4320"/>
          </w:tcPr>
          <w:p>
            <w:pPr>
              <w:spacing w:before="20" w:after="20"/>
              <w:jc w:val="left"/>
            </w:pPr>
            <w:r>
              <w:rPr>
                <w:b/>
                <w:sz w:val="17"/>
              </w:rPr>
              <w:t>Prepared for</w:t>
            </w:r>
          </w:p>
        </w:tc>
        <w:tc>
          <w:tcPr>
            <w:tcW w:type="dxa" w:w="4320"/>
          </w:tcPr>
          <w:p>
            <w:pPr>
              <w:spacing w:before="20" w:after="20"/>
              <w:jc w:val="left"/>
            </w:pPr>
            <w:r>
              <w:rPr>
                <w:sz w:val="17"/>
              </w:rPr>
              <w:t>Joint Leadership Council of Veterans Service Organizations (JLCVSO)</w:t>
            </w:r>
          </w:p>
        </w:tc>
      </w:tr>
      <w:tr>
        <w:tc>
          <w:tcPr>
            <w:tcW w:type="dxa" w:w="4320"/>
          </w:tcPr>
          <w:p>
            <w:pPr>
              <w:spacing w:before="20" w:after="20"/>
              <w:jc w:val="left"/>
            </w:pPr>
            <w:r>
              <w:rPr>
                <w:b/>
                <w:sz w:val="17"/>
              </w:rPr>
              <w:t>Target session</w:t>
            </w:r>
          </w:p>
        </w:tc>
        <w:tc>
          <w:tcPr>
            <w:tcW w:type="dxa" w:w="4320"/>
          </w:tcPr>
          <w:p>
            <w:pPr>
              <w:spacing w:before="20" w:after="20"/>
              <w:jc w:val="left"/>
            </w:pPr>
            <w:r>
              <w:rPr>
                <w:sz w:val="17"/>
              </w:rPr>
              <w:t>2027 Regular Session, Virginia General Assembly</w:t>
            </w:r>
          </w:p>
        </w:tc>
      </w:tr>
      <w:tr>
        <w:tc>
          <w:tcPr>
            <w:tcW w:type="dxa" w:w="4320"/>
          </w:tcPr>
          <w:p>
            <w:pPr>
              <w:spacing w:before="20" w:after="20"/>
              <w:jc w:val="left"/>
            </w:pPr>
            <w:r>
              <w:rPr>
                <w:b/>
                <w:sz w:val="17"/>
              </w:rPr>
              <w:t>Code section</w:t>
            </w:r>
          </w:p>
        </w:tc>
        <w:tc>
          <w:tcPr>
            <w:tcW w:type="dxa" w:w="4320"/>
          </w:tcPr>
          <w:p>
            <w:pPr>
              <w:spacing w:before="20" w:after="20"/>
              <w:jc w:val="left"/>
            </w:pPr>
            <w:r>
              <w:rPr>
                <w:sz w:val="17"/>
              </w:rPr>
              <w:t>§ 51.1-142.2, Code of Virginia (one subsection)</w:t>
            </w:r>
          </w:p>
        </w:tc>
      </w:tr>
      <w:tr>
        <w:tc>
          <w:tcPr>
            <w:tcW w:type="dxa" w:w="4320"/>
          </w:tcPr>
          <w:p>
            <w:pPr>
              <w:spacing w:before="20" w:after="20"/>
              <w:jc w:val="left"/>
            </w:pPr>
            <w:r>
              <w:rPr>
                <w:b/>
                <w:sz w:val="17"/>
              </w:rPr>
              <w:t>General fund ask</w:t>
            </w:r>
          </w:p>
        </w:tc>
        <w:tc>
          <w:tcPr>
            <w:tcW w:type="dxa" w:w="4320"/>
          </w:tcPr>
          <w:p>
            <w:pPr>
              <w:spacing w:before="20" w:after="20"/>
              <w:jc w:val="left"/>
            </w:pPr>
            <w:r>
              <w:rPr>
                <w:b/>
                <w:sz w:val="17"/>
              </w:rPr>
              <w:t>$0.</w:t>
            </w:r>
            <w:r>
              <w:rPr>
                <w:sz w:val="17"/>
              </w:rPr>
              <w:t xml:space="preserve"> This is an employer-contribution-rate liability amortised under the VRS Funding Policy, not an appropriation</w:t>
            </w:r>
          </w:p>
        </w:tc>
      </w:tr>
      <w:tr>
        <w:tc>
          <w:tcPr>
            <w:tcW w:type="dxa" w:w="4320"/>
          </w:tcPr>
          <w:p>
            <w:pPr>
              <w:spacing w:before="20" w:after="20"/>
              <w:jc w:val="left"/>
            </w:pPr>
            <w:r>
              <w:rPr>
                <w:b/>
                <w:sz w:val="17"/>
              </w:rPr>
              <w:t>Estimated cost</w:t>
            </w:r>
          </w:p>
        </w:tc>
        <w:tc>
          <w:tcPr>
            <w:tcW w:type="dxa" w:w="4320"/>
          </w:tcPr>
          <w:p>
            <w:pPr>
              <w:spacing w:before="20" w:after="20"/>
              <w:jc w:val="left"/>
            </w:pPr>
            <w:r>
              <w:rPr>
                <w:b/>
                <w:sz w:val="17"/>
              </w:rPr>
              <w:t>One-time present value of $13M – $182M</w:t>
            </w:r>
            <w:r>
              <w:rPr>
                <w:sz w:val="17"/>
              </w:rPr>
              <w:t xml:space="preserve">, depending on the eligible pool and take-up — </w:t>
            </w:r>
            <w:r>
              <w:rPr>
                <w:b/>
                <w:sz w:val="17"/>
              </w:rPr>
              <w:t>0.05% – 0.68% of VRS covered payroll</w:t>
            </w:r>
            <w:r>
              <w:rPr>
                <w:sz w:val="17"/>
              </w:rPr>
              <w:t xml:space="preserve"> ($26.76bn). Analyst estimate. See COST, below</w:t>
            </w:r>
          </w:p>
        </w:tc>
      </w:tr>
      <w:tr>
        <w:tc>
          <w:tcPr>
            <w:tcW w:type="dxa" w:w="4320"/>
          </w:tcPr>
          <w:p>
            <w:pPr>
              <w:spacing w:before="20" w:after="20"/>
              <w:jc w:val="left"/>
            </w:pPr>
            <w:r>
              <w:rPr>
                <w:b/>
                <w:sz w:val="17"/>
              </w:rPr>
              <w:t>People helped</w:t>
            </w:r>
          </w:p>
        </w:tc>
        <w:tc>
          <w:tcPr>
            <w:tcW w:type="dxa" w:w="4320"/>
          </w:tcPr>
          <w:p>
            <w:pPr>
              <w:spacing w:before="20" w:after="20"/>
              <w:jc w:val="left"/>
            </w:pPr>
            <w:r>
              <w:rPr>
                <w:b/>
                <w:sz w:val="17"/>
              </w:rPr>
              <w:t>All 110,474 active Plan 1 members — 29.2% of the entire VRS active population — are past the deadline as a matter of law.</w:t>
            </w:r>
            <w:r>
              <w:rPr>
                <w:sz w:val="17"/>
              </w:rPr>
              <w:t xml:space="preserve"> Across all three plans, an estimated </w:t>
            </w:r>
            <w:r>
              <w:rPr>
                <w:b/>
                <w:sz w:val="17"/>
              </w:rPr>
              <w:t>10,600 – 26,300</w:t>
            </w:r>
            <w:r>
              <w:rPr>
                <w:sz w:val="17"/>
              </w:rPr>
              <w:t xml:space="preserve"> members hold purchasable military service and are past the window</w:t>
            </w:r>
          </w:p>
        </w:tc>
      </w:tr>
      <w:tr>
        <w:tc>
          <w:tcPr>
            <w:tcW w:type="dxa" w:w="4320"/>
          </w:tcPr>
          <w:p>
            <w:pPr>
              <w:spacing w:before="20" w:after="20"/>
              <w:jc w:val="left"/>
            </w:pPr>
            <w:r>
              <w:rPr>
                <w:b/>
                <w:sz w:val="17"/>
              </w:rPr>
              <w:t>Status</w:t>
            </w:r>
          </w:p>
        </w:tc>
        <w:tc>
          <w:tcPr>
            <w:tcW w:type="dxa" w:w="4320"/>
          </w:tcPr>
          <w:p>
            <w:pPr>
              <w:spacing w:before="20" w:after="20"/>
              <w:jc w:val="left"/>
            </w:pPr>
            <w:r>
              <w:rPr>
                <w:sz w:val="17"/>
              </w:rPr>
              <w:t>Draft for JLCVSO review — not yet reviewed by VRS or Legislative Services</w:t>
            </w:r>
          </w:p>
        </w:tc>
      </w:tr>
      <w:tr>
        <w:tc>
          <w:tcPr>
            <w:tcW w:type="dxa" w:w="4320"/>
          </w:tcPr>
          <w:p>
            <w:pPr>
              <w:spacing w:before="20" w:after="20"/>
              <w:jc w:val="left"/>
            </w:pPr>
            <w:r>
              <w:rPr>
                <w:b/>
                <w:sz w:val="17"/>
              </w:rPr>
              <w:t>Version / date</w:t>
            </w:r>
          </w:p>
        </w:tc>
        <w:tc>
          <w:tcPr>
            <w:tcW w:type="dxa" w:w="4320"/>
          </w:tcPr>
          <w:p>
            <w:pPr>
              <w:spacing w:before="20" w:after="20"/>
              <w:jc w:val="left"/>
            </w:pPr>
            <w:r>
              <w:rPr>
                <w:b/>
                <w:sz w:val="17"/>
              </w:rPr>
              <w:t>v1.2, October 24, 2026.</w:t>
            </w:r>
            <w:r>
              <w:rPr>
                <w:sz w:val="17"/>
              </w:rPr>
              <w:t xml:space="preserve"> Cost re-scoped from the state classified workforce to full VRS membership, and retirement-date acceleration priced. </w:t>
            </w:r>
            <w:r>
              <w:rPr>
                <w:b/>
                <w:sz w:val="17"/>
              </w:rPr>
              <w:t>Supersedes v1.1 and the Annex B cost model.</w:t>
            </w:r>
            <w:r>
              <w:rPr>
                <w:sz w:val="17"/>
              </w:rPr>
              <w:t xml:space="preserve"> Basis: </w:t>
            </w:r>
            <w:hyperlink r:id="rId10">
              <w:r>
                <w:rPr>
                  <w:rFonts w:ascii="Calibri" w:hAnsi="Calibri"/>
                  <w:color w:val="1A4F8A"/>
                  <w:u w:val="single"/>
                  <w:sz w:val="17"/>
                </w:rPr>
                <w:t xml:space="preserve">04-Annex-2-Closure-FM1-FM5</w:t>
              </w:r>
            </w:hyperlink>
          </w:p>
        </w:tc>
      </w:tr>
    </w:tbl>
    <w:p>
      <w:pPr>
        <w:spacing w:before="0" w:after="0" w:line="80" w:lineRule="exact"/>
      </w:pPr>
      <w:r>
        <w:rPr>
          <w:sz w:val="8"/>
        </w:rPr>
      </w:r>
    </w:p>
    <w:p>
      <w:pPr>
        <w:pStyle w:val="Heading3"/>
        <w:ind w:left="480"/>
      </w:pPr>
      <w:r>
        <w:t>The whole thing in 30 seconds</w:t>
      </w:r>
    </w:p>
    <w:p>
      <w:pPr>
        <w:spacing w:before="120" w:after="120"/>
        <w:ind w:left="480"/>
      </w:pPr>
      <w:r>
        <w:rPr>
          <w:i/>
          <w:color w:val="444444"/>
          <w:sz w:val="20"/>
        </w:rPr>
        <w:t xml:space="preserve">Veteran public employees can already buy up to four years of military service toward their VRS pension. </w:t>
      </w:r>
      <w:r>
        <w:rPr>
          <w:b/>
          <w:i/>
          <w:color w:val="444444"/>
          <w:sz w:val="20"/>
        </w:rPr>
        <w:t>The cheap price expires 24 months after their first day of work</w:t>
      </w:r>
      <w:r>
        <w:rPr>
          <w:i/>
          <w:color w:val="444444"/>
          <w:sz w:val="20"/>
        </w:rPr>
        <w:t xml:space="preserve"> — right when they can least afford the $18,666 bill, and before most of them even hear about it. We ask that the deadline be removed for military service, and that veterans be allowed to pay over five years.</w:t>
      </w:r>
    </w:p>
    <w:p>
      <w:pPr>
        <w:spacing w:before="120" w:after="120"/>
        <w:ind w:left="480"/>
      </w:pPr>
      <w:r>
        <w:rPr>
          <w:b/>
          <w:i/>
          <w:color w:val="444444"/>
          <w:sz w:val="20"/>
        </w:rPr>
        <w:t>Cost: $0 from the general fund.</w:t>
      </w:r>
      <w:r>
        <w:rPr>
          <w:i/>
          <w:color w:val="444444"/>
          <w:sz w:val="20"/>
        </w:rPr>
        <w:t xml:space="preserve"> The pension liability is real but it is a contribution-rate item, not an appropriation: a one-time present value modelled at </w:t>
      </w:r>
      <w:r>
        <w:rPr>
          <w:b/>
          <w:i/>
          <w:color w:val="444444"/>
          <w:sz w:val="20"/>
        </w:rPr>
        <w:t>$13M – $182M</w:t>
      </w:r>
      <w:r>
        <w:rPr>
          <w:i/>
          <w:color w:val="444444"/>
          <w:sz w:val="20"/>
        </w:rPr>
        <w:t xml:space="preserve">, which is </w:t>
      </w:r>
      <w:r>
        <w:rPr>
          <w:b/>
          <w:i/>
          <w:color w:val="444444"/>
          <w:sz w:val="20"/>
        </w:rPr>
        <w:t>5 to 68 cents out of every $100 of VRS covered payroll</w:t>
      </w:r>
      <w:r>
        <w:rPr>
          <w:i/>
          <w:color w:val="444444"/>
          <w:sz w:val="20"/>
        </w:rPr>
        <w:t xml:space="preserve">. VRS's own fiscal impact statement on HB 1867 (2023) priced a </w:t>
      </w:r>
      <w:r>
        <w:rPr>
          <w:i/>
          <w:color w:val="444444"/>
          <w:sz w:val="20"/>
        </w:rPr>
        <w:t>free</w:t>
      </w:r>
      <w:r>
        <w:rPr>
          <w:i/>
          <w:color w:val="444444"/>
          <w:sz w:val="20"/>
        </w:rPr>
        <w:t xml:space="preserve"> grant of this same service at </w:t>
      </w:r>
      <w:r>
        <w:rPr>
          <w:b/>
          <w:i/>
          <w:color w:val="444444"/>
          <w:sz w:val="20"/>
        </w:rPr>
        <w:t>$10,000 – $60,000 of unfunded liability per member</w:t>
      </w:r>
      <w:r>
        <w:rPr>
          <w:i/>
          <w:color w:val="444444"/>
          <w:sz w:val="20"/>
        </w:rPr>
        <w:t>; because our veterans still pay, this bill comes in at or below that band per member.</w:t>
      </w:r>
    </w:p>
    <w:p>
      <w:pPr>
        <w:spacing w:before="120" w:after="120"/>
        <w:ind w:left="480"/>
      </w:pPr>
      <w:r>
        <w:rPr>
          <w:i/>
          <w:color w:val="444444"/>
          <w:sz w:val="20"/>
        </w:rPr>
        <w:t xml:space="preserve">For a leave-behind version of this, use </w:t>
      </w:r>
      <w:r>
        <w:rPr>
          <w:i/>
          <w:color w:val="444444"/>
          <w:sz w:val="20"/>
        </w:rPr>
        <w:t>00-ONE-PAGE-BRIEF</w:t>
      </w:r>
      <w:r>
        <w:rPr>
          <w:i/>
          <w:color w:val="444444"/>
          <w:sz w:val="20"/>
        </w:rPr>
        <w:t>.</w:t>
      </w:r>
    </w:p>
    <w:p>
      <w:pPr>
        <w:jc w:val="center"/>
      </w:pPr>
      <w:r>
        <w:rPr>
          <w:color w:val="909090"/>
          <w:sz w:val="18"/>
        </w:rPr>
        <w:t>* * *</w:t>
      </w:r>
    </w:p>
    <w:p>
      <w:pPr>
        <w:pStyle w:val="Heading2"/>
      </w:pPr>
      <w:r>
        <w:t>OBJECTIVE</w:t>
      </w:r>
    </w:p>
    <w:p>
      <w:r>
        <w:t xml:space="preserve">Amend the Virginia Retirement System so that </w:t>
      </w:r>
      <w:r>
        <w:rPr>
          <w:b/>
        </w:rPr>
        <w:t>a veteran working for Virginia who served on active duty before being hired can buy up to four years of military service credit at the standard "normal cost" price at any point in their career</w:t>
      </w:r>
      <w:r>
        <w:t xml:space="preserve"> — instead of only during their first 24 months on the job.</w:t>
      </w:r>
    </w:p>
    <w:p>
      <w:r>
        <w:t>Today that price disappears 24 months after a veteran's first day of work. After that the veteran pays a much higher "actuarial" price for the exact same credit.</w:t>
      </w:r>
    </w:p>
    <w:p>
      <w:pPr>
        <w:jc w:val="center"/>
      </w:pPr>
      <w:r>
        <w:rPr>
          <w:color w:val="909090"/>
          <w:sz w:val="18"/>
        </w:rPr>
        <w:t>* * *</w:t>
      </w:r>
    </w:p>
    <w:p>
      <w:pPr>
        <w:pStyle w:val="Heading2"/>
      </w:pPr>
      <w:r>
        <w:t>DISCUSSION</w:t>
      </w:r>
    </w:p>
    <w:p>
      <w:pPr>
        <w:pStyle w:val="Heading3"/>
      </w:pPr>
      <w:r>
        <w:t>What veterans can do today</w:t>
      </w:r>
    </w:p>
    <w:p>
      <w:r>
        <w:t>A state employee who served at least 180 consecutive days on active duty, and whose discharge was not dishonorable, may buy up to four years of military service credit toward their VRS pension (§ 51.1-142.2 B 2). That credit is real: it counts toward retiring, toward the size of the pension check, and toward the retiree health insurance credit.</w:t>
      </w:r>
    </w:p>
    <w:p>
      <w:pPr>
        <w:pStyle w:val="Heading3"/>
      </w:pPr>
      <w:r>
        <w:t>Where the unfairness is</w:t>
      </w:r>
    </w:p>
    <w:p>
      <w:r>
        <w:rPr>
          <w:b/>
        </w:rPr>
        <w:t>The price has an expiration date, and it expires before most veterans can afford it.</w:t>
      </w:r>
    </w:p>
    <w:p>
      <w:r>
        <w:t xml:space="preserve">The law says a member pays the "approximate normal cost" — a flat percentage of salary set by the VRS Board. But if the member does not buy, or sign a payment contract, </w:t>
      </w:r>
      <w:r>
        <w:rPr>
          <w:b/>
        </w:rPr>
        <w:t>within the first 24 months of active service following his first date of hire</w:t>
      </w:r>
      <w:r>
        <w:t>, the member must instead pay the "actuarial equivalent cost" (§ 51.1-142.2 B 3).</w:t>
      </w:r>
    </w:p>
    <w:p>
      <w:r>
        <w:t>That creates a cliff. Here is what it costs a veteran to buy the full four years at the normal-cost price, using VRS's published rates and the average classified state salary of $69,865:</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Plan the veteran is in</w:t>
            </w:r>
          </w:p>
        </w:tc>
        <w:tc>
          <w:tcPr>
            <w:tcW w:type="dxa" w:w="2880"/>
          </w:tcPr>
          <w:p>
            <w:pPr>
              <w:spacing w:before="20" w:after="20"/>
              <w:jc w:val="left"/>
            </w:pPr>
            <w:r>
              <w:rPr>
                <w:b/>
                <w:sz w:val="17"/>
              </w:rPr>
              <w:t>Normal-cost rate, per year of credit</w:t>
            </w:r>
          </w:p>
        </w:tc>
        <w:tc>
          <w:tcPr>
            <w:tcW w:type="dxa" w:w="2880"/>
          </w:tcPr>
          <w:p>
            <w:pPr>
              <w:spacing w:before="20" w:after="20"/>
              <w:jc w:val="left"/>
            </w:pPr>
            <w:r>
              <w:rPr>
                <w:b/>
                <w:sz w:val="17"/>
              </w:rPr>
              <w:t>Full 4-year purchase</w:t>
            </w:r>
          </w:p>
        </w:tc>
      </w:tr>
      <w:tr>
        <w:tc>
          <w:tcPr>
            <w:tcW w:type="dxa" w:w="2880"/>
          </w:tcPr>
          <w:p>
            <w:pPr>
              <w:spacing w:before="20" w:after="20"/>
              <w:jc w:val="left"/>
            </w:pPr>
            <w:r>
              <w:rPr>
                <w:sz w:val="17"/>
              </w:rPr>
              <w:t>Hybrid Retirement Plan (most members hired since Jan. 1, 2014)</w:t>
            </w:r>
          </w:p>
        </w:tc>
        <w:tc>
          <w:tcPr>
            <w:tcW w:type="dxa" w:w="2880"/>
          </w:tcPr>
          <w:p>
            <w:pPr>
              <w:spacing w:before="20" w:after="20"/>
              <w:jc w:val="left"/>
            </w:pPr>
            <w:r>
              <w:rPr>
                <w:sz w:val="17"/>
              </w:rPr>
              <w:t>6.68% of salary</w:t>
            </w:r>
          </w:p>
        </w:tc>
        <w:tc>
          <w:tcPr>
            <w:tcW w:type="dxa" w:w="2880"/>
          </w:tcPr>
          <w:p>
            <w:pPr>
              <w:spacing w:before="20" w:after="20"/>
              <w:jc w:val="left"/>
            </w:pPr>
            <w:r>
              <w:rPr>
                <w:b/>
                <w:sz w:val="17"/>
              </w:rPr>
              <w:t>$18,666</w:t>
            </w:r>
          </w:p>
        </w:tc>
      </w:tr>
      <w:tr>
        <w:tc>
          <w:tcPr>
            <w:tcW w:type="dxa" w:w="2880"/>
          </w:tcPr>
          <w:p>
            <w:pPr>
              <w:spacing w:before="20" w:after="20"/>
              <w:jc w:val="left"/>
            </w:pPr>
            <w:r>
              <w:rPr>
                <w:sz w:val="17"/>
              </w:rPr>
              <w:t xml:space="preserve">VRS Plan 2 (hired July 2010 – Dec. 2013, </w:t>
            </w:r>
            <w:r>
              <w:rPr>
                <w:b/>
                <w:sz w:val="17"/>
              </w:rPr>
              <w:t>and still open — see below</w:t>
            </w:r>
            <w:r>
              <w:rPr>
                <w:sz w:val="17"/>
              </w:rPr>
              <w:t>)</w:t>
            </w:r>
          </w:p>
        </w:tc>
        <w:tc>
          <w:tcPr>
            <w:tcW w:type="dxa" w:w="2880"/>
          </w:tcPr>
          <w:p>
            <w:pPr>
              <w:spacing w:before="20" w:after="20"/>
              <w:jc w:val="left"/>
            </w:pPr>
            <w:r>
              <w:rPr>
                <w:sz w:val="17"/>
              </w:rPr>
              <w:t>10.74% of salary</w:t>
            </w:r>
          </w:p>
        </w:tc>
        <w:tc>
          <w:tcPr>
            <w:tcW w:type="dxa" w:w="2880"/>
          </w:tcPr>
          <w:p>
            <w:pPr>
              <w:spacing w:before="20" w:after="20"/>
              <w:jc w:val="left"/>
            </w:pPr>
            <w:r>
              <w:rPr>
                <w:sz w:val="17"/>
              </w:rPr>
              <w:t>$30,017</w:t>
            </w:r>
          </w:p>
        </w:tc>
      </w:tr>
      <w:tr>
        <w:tc>
          <w:tcPr>
            <w:tcW w:type="dxa" w:w="2880"/>
          </w:tcPr>
          <w:p>
            <w:pPr>
              <w:spacing w:before="20" w:after="20"/>
              <w:jc w:val="left"/>
            </w:pPr>
            <w:r>
              <w:rPr>
                <w:sz w:val="17"/>
              </w:rPr>
              <w:t>VRS Plan 1 (longest-serving members; closed to hires after June 30, 2010)</w:t>
            </w:r>
          </w:p>
        </w:tc>
        <w:tc>
          <w:tcPr>
            <w:tcW w:type="dxa" w:w="2880"/>
          </w:tcPr>
          <w:p>
            <w:pPr>
              <w:spacing w:before="20" w:after="20"/>
              <w:jc w:val="left"/>
            </w:pPr>
            <w:r>
              <w:rPr>
                <w:sz w:val="17"/>
              </w:rPr>
              <w:t>12.50% of salary</w:t>
            </w:r>
          </w:p>
        </w:tc>
        <w:tc>
          <w:tcPr>
            <w:tcW w:type="dxa" w:w="2880"/>
          </w:tcPr>
          <w:p>
            <w:pPr>
              <w:spacing w:before="20" w:after="20"/>
              <w:jc w:val="left"/>
            </w:pPr>
            <w:r>
              <w:rPr>
                <w:sz w:val="17"/>
              </w:rPr>
              <w:t>$34,933</w:t>
            </w:r>
          </w:p>
        </w:tc>
      </w:tr>
    </w:tbl>
    <w:p>
      <w:pPr>
        <w:spacing w:before="0" w:after="0" w:line="80" w:lineRule="exact"/>
      </w:pPr>
      <w:r>
        <w:rPr>
          <w:sz w:val="8"/>
        </w:rPr>
      </w:r>
    </w:p>
    <w:p>
      <w:r>
        <w:t xml:space="preserve">Hazardous-duty members pay roughly double: </w:t>
      </w:r>
      <w:r>
        <w:rPr>
          <w:b/>
        </w:rPr>
        <w:t>23.78%</w:t>
      </w:r>
      <w:r>
        <w:t xml:space="preserve"> in Plan 1 and </w:t>
      </w:r>
      <w:r>
        <w:rPr>
          <w:b/>
        </w:rPr>
        <w:t>19.15%</w:t>
      </w:r>
      <w:r>
        <w:t xml:space="preserve"> in Plan 2, with a separate </w:t>
      </w:r>
      <w:r>
        <w:rPr>
          <w:b/>
        </w:rPr>
        <w:t>10.01%</w:t>
      </w:r>
      <w:r>
        <w:t xml:space="preserve"> alternate hazardous duty option for localities that have not adopted the full enhanced benefits. Judicial rates run from 19.21% to 31.97%. (All rates: VRS Board, Request for Board Action 2025-06-10, effective July 1, 2025. Full table at Annex 2 Closure, FM-3.)</w:t>
      </w:r>
    </w:p>
    <w:p>
      <w:r>
        <w:rPr>
          <w:b/>
        </w:rPr>
        <w:t>Plan 2 is not a closed cohort, and the brief said so in error through v1.1.</w:t>
      </w:r>
      <w:r>
        <w:t xml:space="preserve"> VRS ACFR FY2025, Figure 2.10, is explicit: members covered under VaLORS, SPORS, or VRS with enhanced hazardous duty benefits or the hazardous duty alternate option are in Plan 2 "even if their membership dates are after December 31, 2013." Plan 2 therefore keeps admitting new members today — State Police officers, Virginia law officers, and political-subdivision hazardous duty employees — because § 51.1-169 A excludes hazardous duty members from the Hybrid plan entirely. And from </w:t>
      </w:r>
      <w:r>
        <w:rPr>
          <w:b/>
        </w:rPr>
        <w:t>July 1, 2026</w:t>
      </w:r>
      <w:r>
        <w:t>, newly appointed judges enter Plan 2 as well (2026 Acts of Assembly, SB 950). The fiscal note must contemplate a continuing inflow of Plan 2 hazardous-duty purchasers at the 19.15% rate, not a shrinking closed group.</w:t>
      </w:r>
    </w:p>
    <w:p>
      <w:r>
        <w:rPr>
          <w:b/>
        </w:rPr>
        <w:t>The rates quoted here will not go stale during the 2027 session.</w:t>
      </w:r>
      <w:r>
        <w:t xml:space="preserve"> Approximate normal cost rates are reset only on the quadrennial cycle, following the Board's acceptance of a new experience study; the Board took no rate action in 2026, and VRS staff told the Benefits and Actuarial Committee on June 17, 2026 that the next assumption review is </w:t>
      </w:r>
      <w:r>
        <w:rPr>
          <w:b/>
        </w:rPr>
        <w:t>2029</w:t>
      </w:r>
      <w:r>
        <w:t xml:space="preserve">. The July 1, 2025 rates are therefore expected to hold through at least </w:t>
      </w:r>
      <w:r>
        <w:rPr>
          <w:b/>
        </w:rPr>
        <w:t>June 30, 2029</w:t>
      </w:r>
      <w:r>
        <w:t>.</w:t>
      </w:r>
    </w:p>
    <w:p>
      <w:r>
        <w:t>Three things make that 24-month deadline the wrong deadline:</w:t>
      </w:r>
    </w:p>
    <w:p>
      <w:pPr>
        <w:spacing w:after="60"/>
        <w:ind w:left="432" w:hanging="432"/>
      </w:pPr>
      <w:r>
        <w:rPr>
          <w:b/>
        </w:rPr>
        <w:t>1.</w:t>
        <w:tab/>
      </w:r>
      <w:r>
        <w:rPr>
          <w:b/>
        </w:rPr>
        <w:t>It lands at the worst possible moment financially.</w:t>
      </w:r>
      <w:r>
        <w:t xml:space="preserve"> Veterans come to state service mid-career — the average new state hire is </w:t>
      </w:r>
      <w:r>
        <w:rPr>
          <w:b/>
        </w:rPr>
        <w:t>37.7 years old</w:t>
      </w:r>
      <w:r>
        <w:t xml:space="preserve">. A veteran who just left the military is settling a family, often taking a pay cut, and is at the </w:t>
      </w:r>
      <w:r>
        <w:rPr>
          <w:i/>
        </w:rPr>
        <w:t>bottom</w:t>
      </w:r>
      <w:r>
        <w:t xml:space="preserve"> of the state pay scale. Asking for $18,666 in the first two years is asking at the one moment they cannot pay.</w:t>
      </w:r>
    </w:p>
    <w:p>
      <w:pPr>
        <w:spacing w:after="60"/>
        <w:ind w:left="432" w:hanging="432"/>
      </w:pPr>
      <w:r>
        <w:rPr>
          <w:b/>
        </w:rPr>
        <w:t>2.</w:t>
        <w:tab/>
      </w:r>
      <w:r>
        <w:rPr>
          <w:b/>
        </w:rPr>
        <w:t>Veterans cannot even spread the payments out past the cliff.</w:t>
      </w:r>
      <w:r>
        <w:t xml:space="preserve"> VRS payment agreements run 6 to 12 months and, by rule, </w:t>
      </w:r>
      <w:r>
        <w:rPr>
          <w:b/>
        </w:rPr>
        <w:t>may not extend beyond the two-year cost window</w:t>
      </w:r>
      <w:r>
        <w:t>. So a veteran cannot simply pay it off slowly. They must find the money fast or lose the price permanently.</w:t>
      </w:r>
    </w:p>
    <w:p>
      <w:pPr>
        <w:spacing w:after="60"/>
        <w:ind w:left="432" w:hanging="432"/>
      </w:pPr>
      <w:r>
        <w:rPr>
          <w:b/>
        </w:rPr>
        <w:t>3.</w:t>
        <w:tab/>
      </w:r>
      <w:r>
        <w:rPr>
          <w:b/>
        </w:rPr>
        <w:t>Almost nobody knows about it in time.</w:t>
      </w:r>
      <w:r>
        <w:t xml:space="preserve"> This is one line buried in a long purchase-of-service statute, explained during onboarding alongside dozens of other forms. By the time a veteran understands what their military service is worth to their pension, the window is shut. The average classified state employee has </w:t>
      </w:r>
      <w:r>
        <w:rPr>
          <w:b/>
        </w:rPr>
        <w:t>10.3 years of service</w:t>
      </w:r>
      <w:r>
        <w:t xml:space="preserve"> — five times longer than the window.</w:t>
      </w:r>
    </w:p>
    <w:p>
      <w:r>
        <w:t xml:space="preserve">The result: a veteran who served four years in the Army and has worked for Virginia for eight years pays dramatically more for the same four years of credit than a brand-new colleague who served the same four years. </w:t>
      </w:r>
      <w:r>
        <w:rPr>
          <w:b/>
        </w:rPr>
        <w:t>Same service to the country, same service credit, different price — and the only difference is how long they have been loyal to the Commonwealth.</w:t>
      </w:r>
    </w:p>
    <w:p>
      <w:pPr>
        <w:pStyle w:val="Heading3"/>
      </w:pPr>
      <w:r>
        <w:t>Who is affected, and how many</w:t>
      </w:r>
    </w:p>
    <w:p>
      <w:r>
        <w:rPr>
          <w:b/>
        </w:rPr>
        <w:t>Start with the one number that needs no estimate at all.</w:t>
      </w:r>
    </w:p>
    <w:p>
      <w:pPr>
        <w:spacing w:before="120" w:after="120"/>
        <w:ind w:left="480"/>
      </w:pPr>
      <w:r>
        <w:rPr>
          <w:b/>
          <w:i/>
          <w:color w:val="444444"/>
          <w:sz w:val="20"/>
        </w:rPr>
        <w:t>All 110,474 active VRS Plan 1 members — 29.2% of the entire VRS active population of 378,060 — are past the 24-month window as a matter of law.</w:t>
      </w:r>
    </w:p>
    <w:p>
      <w:r>
        <w:t xml:space="preserve">That follows arithmetically from the plan rules: a Plan 1 membership date must precede July 1, 2010 (VRS ACFR FY2025, Figure 2.10), and the window closes 24 months after the first date of hire. It requires no survey, no proxy, and no VRS data run. Two small qualifications, both of which should be stated: a member returning from an eligible leave of absence can hold a fresh window (§ 51.1-142.2 B 3), and the window runs on </w:t>
      </w:r>
      <w:r>
        <w:rPr>
          <w:i/>
        </w:rPr>
        <w:t>active</w:t>
      </w:r>
      <w:r>
        <w:t xml:space="preserve"> service, which can only push members later out of the window, never earlier. The second makes 110,474 a </w:t>
      </w:r>
      <w:r>
        <w:rPr>
          <w:b/>
        </w:rPr>
        <w:t>floor</w:t>
      </w:r>
      <w:r>
        <w:t>.</w:t>
      </w:r>
    </w:p>
    <w:p>
      <w:r>
        <w:rPr>
          <w:b/>
        </w:rPr>
        <w:t>Now the part that does require estimation: how many of those members hold military service they could buy.</w:t>
      </w:r>
    </w:p>
    <w:p>
      <w:r>
        <w:t xml:space="preserve">No published source reports VRS members by military-service status, and VRS itself can only identify members who have </w:t>
      </w:r>
      <w:r>
        <w:rPr>
          <w:i/>
        </w:rPr>
        <w:t>already applied</w:t>
      </w:r>
      <w:r>
        <w:t xml:space="preserve"> — a purchase requires a DD-214 or service orders. Members who hold the service and never applied are visible only through employer self-identification. So the veteran share has to come from outside VRS, and v1.1's single 6% figure was applied far too broadly. It is sound for state classified employees and simply wrong for teachers.</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Group</w:t>
            </w:r>
          </w:p>
        </w:tc>
        <w:tc>
          <w:tcPr>
            <w:tcW w:type="dxa" w:w="2160"/>
          </w:tcPr>
          <w:p>
            <w:pPr>
              <w:spacing w:before="20" w:after="20"/>
              <w:jc w:val="right"/>
            </w:pPr>
            <w:r>
              <w:rPr>
                <w:b/>
                <w:sz w:val="17"/>
              </w:rPr>
              <w:t>Active members</w:t>
            </w:r>
          </w:p>
        </w:tc>
        <w:tc>
          <w:tcPr>
            <w:tcW w:type="dxa" w:w="2160"/>
          </w:tcPr>
          <w:p>
            <w:pPr>
              <w:spacing w:before="20" w:after="20"/>
              <w:jc w:val="left"/>
            </w:pPr>
            <w:r>
              <w:rPr>
                <w:b/>
                <w:sz w:val="17"/>
              </w:rPr>
              <w:t>Veteran share</w:t>
            </w:r>
          </w:p>
        </w:tc>
        <w:tc>
          <w:tcPr>
            <w:tcW w:type="dxa" w:w="2160"/>
          </w:tcPr>
          <w:p>
            <w:pPr>
              <w:spacing w:before="20" w:after="20"/>
              <w:jc w:val="left"/>
            </w:pPr>
            <w:r>
              <w:rPr>
                <w:b/>
                <w:sz w:val="17"/>
              </w:rPr>
              <w:t>Basis for the share</w:t>
            </w:r>
          </w:p>
        </w:tc>
      </w:tr>
      <w:tr>
        <w:tc>
          <w:tcPr>
            <w:tcW w:type="dxa" w:w="2160"/>
          </w:tcPr>
          <w:p>
            <w:pPr>
              <w:spacing w:before="20" w:after="20"/>
              <w:jc w:val="left"/>
            </w:pPr>
            <w:r>
              <w:rPr>
                <w:sz w:val="17"/>
              </w:rPr>
              <w:t>VRS State Employees</w:t>
            </w:r>
          </w:p>
        </w:tc>
        <w:tc>
          <w:tcPr>
            <w:tcW w:type="dxa" w:w="2160"/>
          </w:tcPr>
          <w:p>
            <w:pPr>
              <w:spacing w:before="20" w:after="20"/>
              <w:jc w:val="right"/>
            </w:pPr>
            <w:r>
              <w:rPr>
                <w:sz w:val="17"/>
              </w:rPr>
              <w:t>83,148</w:t>
            </w:r>
          </w:p>
        </w:tc>
        <w:tc>
          <w:tcPr>
            <w:tcW w:type="dxa" w:w="2160"/>
          </w:tcPr>
          <w:p>
            <w:pPr>
              <w:spacing w:before="20" w:after="20"/>
              <w:jc w:val="left"/>
            </w:pPr>
            <w:r>
              <w:rPr>
                <w:sz w:val="17"/>
              </w:rPr>
              <w:t>6.0% – 9.9%</w:t>
            </w:r>
          </w:p>
        </w:tc>
        <w:tc>
          <w:tcPr>
            <w:tcW w:type="dxa" w:w="2160"/>
          </w:tcPr>
          <w:p>
            <w:pPr>
              <w:spacing w:before="20" w:after="20"/>
              <w:jc w:val="left"/>
            </w:pPr>
            <w:r>
              <w:rPr>
                <w:sz w:val="17"/>
              </w:rPr>
              <w:t>DHRM self-identified, 6/30/2024 (OFFICIAL, and a floor because it is self-reported); upper bound is the BLS benchmark × Virginia uplift</w:t>
            </w:r>
          </w:p>
        </w:tc>
      </w:tr>
      <w:tr>
        <w:tc>
          <w:tcPr>
            <w:tcW w:type="dxa" w:w="2160"/>
          </w:tcPr>
          <w:p>
            <w:pPr>
              <w:spacing w:before="20" w:after="20"/>
              <w:jc w:val="left"/>
            </w:pPr>
            <w:r>
              <w:rPr>
                <w:sz w:val="17"/>
              </w:rPr>
              <w:t>VRS Teachers</w:t>
            </w:r>
          </w:p>
        </w:tc>
        <w:tc>
          <w:tcPr>
            <w:tcW w:type="dxa" w:w="2160"/>
          </w:tcPr>
          <w:p>
            <w:pPr>
              <w:spacing w:before="20" w:after="20"/>
              <w:jc w:val="right"/>
            </w:pPr>
            <w:r>
              <w:rPr>
                <w:sz w:val="17"/>
              </w:rPr>
              <w:t>160,800</w:t>
            </w:r>
          </w:p>
        </w:tc>
        <w:tc>
          <w:tcPr>
            <w:tcW w:type="dxa" w:w="2160"/>
          </w:tcPr>
          <w:p>
            <w:pPr>
              <w:spacing w:before="20" w:after="20"/>
              <w:jc w:val="left"/>
            </w:pPr>
            <w:r>
              <w:rPr>
                <w:sz w:val="17"/>
              </w:rPr>
              <w:t>2.3% – 5.4%</w:t>
            </w:r>
          </w:p>
        </w:tc>
        <w:tc>
          <w:tcPr>
            <w:tcW w:type="dxa" w:w="2160"/>
          </w:tcPr>
          <w:p>
            <w:pPr>
              <w:spacing w:before="20" w:after="20"/>
              <w:jc w:val="left"/>
            </w:pPr>
            <w:r>
              <w:rPr>
                <w:sz w:val="17"/>
              </w:rPr>
              <w:t xml:space="preserve">NCES </w:t>
            </w:r>
            <w:r>
              <w:rPr>
                <w:i/>
                <w:sz w:val="17"/>
              </w:rPr>
              <w:t>Digest of Education Statistics</w:t>
            </w:r>
            <w:r>
              <w:rPr>
                <w:sz w:val="17"/>
              </w:rPr>
              <w:t xml:space="preserve"> table 209.27: </w:t>
            </w:r>
            <w:r>
              <w:rPr>
                <w:b/>
                <w:sz w:val="17"/>
              </w:rPr>
              <w:t>2.3% of U.S. public school teachers are veterans</w:t>
            </w:r>
            <w:r>
              <w:rPr>
                <w:sz w:val="17"/>
              </w:rPr>
              <w:t>, 3.1% in the South</w:t>
            </w:r>
          </w:p>
        </w:tc>
      </w:tr>
      <w:tr>
        <w:tc>
          <w:tcPr>
            <w:tcW w:type="dxa" w:w="2160"/>
          </w:tcPr>
          <w:p>
            <w:pPr>
              <w:spacing w:before="20" w:after="20"/>
              <w:jc w:val="left"/>
            </w:pPr>
            <w:r>
              <w:rPr>
                <w:sz w:val="17"/>
              </w:rPr>
              <w:t>VRS Political Subdivision Employees</w:t>
            </w:r>
          </w:p>
        </w:tc>
        <w:tc>
          <w:tcPr>
            <w:tcW w:type="dxa" w:w="2160"/>
          </w:tcPr>
          <w:p>
            <w:pPr>
              <w:spacing w:before="20" w:after="20"/>
              <w:jc w:val="right"/>
            </w:pPr>
            <w:r>
              <w:rPr>
                <w:sz w:val="17"/>
              </w:rPr>
              <w:t>124,264</w:t>
            </w:r>
          </w:p>
        </w:tc>
        <w:tc>
          <w:tcPr>
            <w:tcW w:type="dxa" w:w="2160"/>
          </w:tcPr>
          <w:p>
            <w:pPr>
              <w:spacing w:before="20" w:after="20"/>
              <w:jc w:val="left"/>
            </w:pPr>
            <w:r>
              <w:rPr>
                <w:sz w:val="17"/>
              </w:rPr>
              <w:t>5.7% – 9.9%</w:t>
            </w:r>
          </w:p>
        </w:tc>
        <w:tc>
          <w:tcPr>
            <w:tcW w:type="dxa" w:w="2160"/>
          </w:tcPr>
          <w:p>
            <w:pPr>
              <w:spacing w:before="20" w:after="20"/>
              <w:jc w:val="left"/>
            </w:pPr>
            <w:r>
              <w:rPr>
                <w:sz w:val="17"/>
              </w:rPr>
              <w:t>BLS state-and-local benchmark; public-safety-heavy, so likely in the upper half</w:t>
            </w:r>
          </w:p>
        </w:tc>
      </w:tr>
      <w:tr>
        <w:tc>
          <w:tcPr>
            <w:tcW w:type="dxa" w:w="2160"/>
          </w:tcPr>
          <w:p>
            <w:pPr>
              <w:spacing w:before="20" w:after="20"/>
              <w:jc w:val="left"/>
            </w:pPr>
            <w:r>
              <w:rPr>
                <w:sz w:val="17"/>
              </w:rPr>
              <w:t>SPORS / VaLORS</w:t>
            </w:r>
          </w:p>
        </w:tc>
        <w:tc>
          <w:tcPr>
            <w:tcW w:type="dxa" w:w="2160"/>
          </w:tcPr>
          <w:p>
            <w:pPr>
              <w:spacing w:before="20" w:after="20"/>
              <w:jc w:val="right"/>
            </w:pPr>
            <w:r>
              <w:rPr>
                <w:sz w:val="17"/>
              </w:rPr>
              <w:t>9,378</w:t>
            </w:r>
          </w:p>
        </w:tc>
        <w:tc>
          <w:tcPr>
            <w:tcW w:type="dxa" w:w="2160"/>
          </w:tcPr>
          <w:p>
            <w:pPr>
              <w:spacing w:before="20" w:after="20"/>
              <w:jc w:val="left"/>
            </w:pPr>
            <w:r>
              <w:rPr>
                <w:sz w:val="17"/>
              </w:rPr>
              <w:t>9.9% – 25.0%</w:t>
            </w:r>
          </w:p>
        </w:tc>
        <w:tc>
          <w:tcPr>
            <w:tcW w:type="dxa" w:w="2160"/>
          </w:tcPr>
          <w:p>
            <w:pPr>
              <w:spacing w:before="20" w:after="20"/>
              <w:jc w:val="left"/>
            </w:pPr>
            <w:r>
              <w:rPr>
                <w:sz w:val="17"/>
              </w:rPr>
              <w:t>Estimate. The weakest band in the package — sworn law enforcement recruits heavily from the military, but no published Virginia figure exists</w:t>
            </w:r>
          </w:p>
        </w:tc>
      </w:tr>
      <w:tr>
        <w:tc>
          <w:tcPr>
            <w:tcW w:type="dxa" w:w="2160"/>
          </w:tcPr>
          <w:p>
            <w:pPr>
              <w:spacing w:before="20" w:after="20"/>
              <w:jc w:val="left"/>
            </w:pPr>
            <w:r>
              <w:rPr>
                <w:sz w:val="17"/>
              </w:rPr>
              <w:t>JRS</w:t>
            </w:r>
          </w:p>
        </w:tc>
        <w:tc>
          <w:tcPr>
            <w:tcW w:type="dxa" w:w="2160"/>
          </w:tcPr>
          <w:p>
            <w:pPr>
              <w:spacing w:before="20" w:after="20"/>
              <w:jc w:val="right"/>
            </w:pPr>
            <w:r>
              <w:rPr>
                <w:sz w:val="17"/>
              </w:rPr>
              <w:t>470</w:t>
            </w:r>
          </w:p>
        </w:tc>
        <w:tc>
          <w:tcPr>
            <w:tcW w:type="dxa" w:w="2160"/>
          </w:tcPr>
          <w:p>
            <w:pPr>
              <w:spacing w:before="20" w:after="20"/>
              <w:jc w:val="left"/>
            </w:pPr>
            <w:r>
              <w:rPr>
                <w:sz w:val="17"/>
              </w:rPr>
              <w:t>2.3% – 9.9%</w:t>
            </w:r>
          </w:p>
        </w:tc>
        <w:tc>
          <w:tcPr>
            <w:tcW w:type="dxa" w:w="2160"/>
          </w:tcPr>
          <w:p>
            <w:pPr>
              <w:spacing w:before="20" w:after="20"/>
              <w:jc w:val="left"/>
            </w:pPr>
            <w:r>
              <w:rPr>
                <w:sz w:val="17"/>
              </w:rPr>
              <w:t>Estimate, bracketed by the teacher floor and the public-sector ceiling</w:t>
            </w:r>
          </w:p>
        </w:tc>
      </w:tr>
      <w:tr>
        <w:tc>
          <w:tcPr>
            <w:tcW w:type="dxa" w:w="2160"/>
          </w:tcPr>
          <w:p>
            <w:pPr>
              <w:spacing w:before="20" w:after="20"/>
              <w:jc w:val="left"/>
            </w:pPr>
            <w:r>
              <w:rPr>
                <w:b/>
                <w:sz w:val="17"/>
              </w:rPr>
              <w:t>Total</w:t>
            </w:r>
          </w:p>
        </w:tc>
        <w:tc>
          <w:tcPr>
            <w:tcW w:type="dxa" w:w="2160"/>
          </w:tcPr>
          <w:p>
            <w:pPr>
              <w:spacing w:before="20" w:after="20"/>
              <w:jc w:val="right"/>
            </w:pPr>
            <w:r>
              <w:rPr>
                <w:b/>
                <w:sz w:val="17"/>
              </w:rPr>
              <w:t>378,060</w:t>
            </w:r>
          </w:p>
        </w:tc>
        <w:tc>
          <w:tcPr>
            <w:tcW w:type="dxa" w:w="2160"/>
          </w:tcPr>
          <w:p>
            <w:pPr>
              <w:spacing w:before="20" w:after="20"/>
              <w:jc w:val="left"/>
            </w:pPr>
          </w:p>
        </w:tc>
        <w:tc>
          <w:tcPr>
            <w:tcW w:type="dxa" w:w="2160"/>
          </w:tcPr>
          <w:p>
            <w:pPr>
              <w:spacing w:before="20" w:after="20"/>
              <w:jc w:val="left"/>
            </w:pPr>
          </w:p>
        </w:tc>
      </w:tr>
    </w:tbl>
    <w:p>
      <w:pPr>
        <w:spacing w:before="0" w:after="0" w:line="80" w:lineRule="exact"/>
      </w:pPr>
      <w:r>
        <w:rPr>
          <w:sz w:val="8"/>
        </w:rPr>
      </w:r>
    </w:p>
    <w:p>
      <w:r>
        <w:rPr>
          <w:b/>
        </w:rPr>
        <w:t>One independent check is worth quoting to the money committees.</w:t>
      </w:r>
      <w:r>
        <w:t xml:space="preserve"> Derived from BLS, </w:t>
      </w:r>
      <w:r>
        <w:rPr>
          <w:i/>
        </w:rPr>
        <w:t>Employment Situation of Veterans</w:t>
      </w:r>
      <w:r>
        <w:t xml:space="preserve">, Table 8 (August 2025): veterans are 12.9% of 7,893,000 employed veterans in state and local government and nonveterans 10.9% of 153,213,000 — which puts the veteran share of all U.S. state-and-local-government workers at </w:t>
      </w:r>
      <w:r>
        <w:rPr>
          <w:b/>
        </w:rPr>
        <w:t>5.75%</w:t>
      </w:r>
      <w:r>
        <w:t>. A national household survey and a Virginia self-identification field, two wholly unrelated instruments, land within a quarter of a percentage point of each other. DHRM's 6% is corroborated.</w:t>
      </w:r>
    </w:p>
    <w:p>
      <w:r>
        <w:t>Carrying those bands against the members who are past the window — vesting is five years (§ 51.1-153), so every vested member is necessarily past a 24-month window, and the only uncertainty is how the 139,829 non-vested members distribute across years 0–5 — gives:</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p>
        </w:tc>
        <w:tc>
          <w:tcPr>
            <w:tcW w:type="dxa" w:w="2880"/>
          </w:tcPr>
          <w:p>
            <w:pPr>
              <w:spacing w:before="20" w:after="20"/>
              <w:jc w:val="right"/>
            </w:pPr>
            <w:r>
              <w:rPr>
                <w:b/>
                <w:sz w:val="17"/>
              </w:rPr>
              <w:t>Low</w:t>
            </w:r>
          </w:p>
        </w:tc>
        <w:tc>
          <w:tcPr>
            <w:tcW w:type="dxa" w:w="2880"/>
          </w:tcPr>
          <w:p>
            <w:pPr>
              <w:spacing w:before="20" w:after="20"/>
              <w:jc w:val="right"/>
            </w:pPr>
            <w:r>
              <w:rPr>
                <w:b/>
                <w:sz w:val="17"/>
              </w:rPr>
              <w:t>High</w:t>
            </w:r>
          </w:p>
        </w:tc>
      </w:tr>
      <w:tr>
        <w:tc>
          <w:tcPr>
            <w:tcW w:type="dxa" w:w="2880"/>
          </w:tcPr>
          <w:p>
            <w:pPr>
              <w:spacing w:before="20" w:after="20"/>
              <w:jc w:val="left"/>
            </w:pPr>
            <w:r>
              <w:rPr>
                <w:sz w:val="17"/>
              </w:rPr>
              <w:t>Members past the 24-month window</w:t>
            </w:r>
          </w:p>
        </w:tc>
        <w:tc>
          <w:tcPr>
            <w:tcW w:type="dxa" w:w="2880"/>
          </w:tcPr>
          <w:p>
            <w:pPr>
              <w:spacing w:before="20" w:after="20"/>
              <w:jc w:val="right"/>
            </w:pPr>
            <w:r>
              <w:rPr>
                <w:sz w:val="17"/>
              </w:rPr>
              <w:t>294,163 (77.8%)</w:t>
            </w:r>
          </w:p>
        </w:tc>
        <w:tc>
          <w:tcPr>
            <w:tcW w:type="dxa" w:w="2880"/>
          </w:tcPr>
          <w:p>
            <w:pPr>
              <w:spacing w:before="20" w:after="20"/>
              <w:jc w:val="right"/>
            </w:pPr>
            <w:r>
              <w:rPr>
                <w:sz w:val="17"/>
              </w:rPr>
              <w:t>322,128 (85.2%)</w:t>
            </w:r>
          </w:p>
        </w:tc>
      </w:tr>
      <w:tr>
        <w:tc>
          <w:tcPr>
            <w:tcW w:type="dxa" w:w="2880"/>
          </w:tcPr>
          <w:p>
            <w:pPr>
              <w:spacing w:before="20" w:after="20"/>
              <w:jc w:val="left"/>
            </w:pPr>
            <w:r>
              <w:rPr>
                <w:b/>
                <w:sz w:val="17"/>
              </w:rPr>
              <w:t>Of those, veterans holding purchasable service</w:t>
            </w:r>
          </w:p>
        </w:tc>
        <w:tc>
          <w:tcPr>
            <w:tcW w:type="dxa" w:w="2880"/>
          </w:tcPr>
          <w:p>
            <w:pPr>
              <w:spacing w:before="20" w:after="20"/>
              <w:jc w:val="right"/>
            </w:pPr>
            <w:r>
              <w:rPr>
                <w:b/>
                <w:sz w:val="17"/>
              </w:rPr>
              <w:t>about 10,600</w:t>
            </w:r>
          </w:p>
        </w:tc>
        <w:tc>
          <w:tcPr>
            <w:tcW w:type="dxa" w:w="2880"/>
          </w:tcPr>
          <w:p>
            <w:pPr>
              <w:spacing w:before="20" w:after="20"/>
              <w:jc w:val="right"/>
            </w:pPr>
            <w:r>
              <w:rPr>
                <w:b/>
                <w:sz w:val="17"/>
              </w:rPr>
              <w:t>about 26,300</w:t>
            </w:r>
          </w:p>
        </w:tc>
      </w:tr>
    </w:tbl>
    <w:p>
      <w:pPr>
        <w:spacing w:before="0" w:after="0" w:line="80" w:lineRule="exact"/>
      </w:pPr>
      <w:r>
        <w:rPr>
          <w:sz w:val="8"/>
        </w:rPr>
      </w:r>
    </w:p>
    <w:p>
      <w:r>
        <w:t>(Derivation and the plan-by-plan split at Annex 2 Closure, FM-1 §§ 1.4–1.6. Each row applies a 90% factor for the 180-consecutive-day test of § 51.1-142.2 B 2.)</w:t>
      </w:r>
    </w:p>
    <w:p>
      <w:pPr>
        <w:spacing w:before="120" w:after="120"/>
        <w:ind w:left="480"/>
      </w:pPr>
      <w:r>
        <w:rPr>
          <w:b/>
          <w:i/>
          <w:color w:val="444444"/>
          <w:sz w:val="20"/>
        </w:rPr>
        <w:t>What to say to a legislator:</w:t>
      </w:r>
      <w:r>
        <w:rPr>
          <w:i/>
          <w:color w:val="444444"/>
          <w:sz w:val="20"/>
        </w:rPr>
        <w:t xml:space="preserve"> "Roughly ten to twenty-six thousand members across the three plans — and over a hundred and ten thousand Plan 1 members are past the deadline as a matter of law. VRS can give you the exact count of those holding verified military service; nobody else can."</w:t>
      </w:r>
    </w:p>
    <w:p>
      <w:pPr>
        <w:spacing w:before="120" w:after="120"/>
        <w:ind w:left="480"/>
      </w:pPr>
      <w:r>
        <w:rPr>
          <w:b/>
          <w:i/>
          <w:color w:val="444444"/>
          <w:sz w:val="20"/>
        </w:rPr>
        <w:t>What not to say:</w:t>
      </w:r>
      <w:r>
        <w:rPr>
          <w:i/>
          <w:color w:val="444444"/>
          <w:sz w:val="20"/>
        </w:rPr>
        <w:t xml:space="preserve"> any single number.</w:t>
      </w:r>
    </w:p>
    <w:p>
      <w:r>
        <w:t xml:space="preserve">For reference, the figures v1.1 used — 56,917 classified state employees, 6% veterans, about 3,400 veterans, roughly 600 new veteran hires a year (DHRM, 6/30/2024) — remain correct </w:t>
      </w:r>
      <w:r>
        <w:rPr>
          <w:b/>
        </w:rPr>
        <w:t>for the state classified workforce</w:t>
      </w:r>
      <w:r>
        <w:t>. They are simply one-sixth of the population this bill now covers.</w:t>
      </w:r>
    </w:p>
    <w:p>
      <w:r>
        <w:t>This also directly serves a goal the Commonwealth already set for itself. Virginia gives veterans a hiring preference for state jobs (§ 2.2-2903) and runs the Virginia Values Veterans program to recruit them. It is inconsistent to recruit veterans into state service and then charge them a penalty price on the one benefit that recognizes the service we recruited them for.</w:t>
      </w:r>
    </w:p>
    <w:p>
      <w:pPr>
        <w:pStyle w:val="Heading3"/>
      </w:pPr>
      <w:r>
        <w:t>Why this version of the fix, and not a bigger one</w:t>
      </w:r>
    </w:p>
    <w:p>
      <w:r>
        <w:t xml:space="preserve">This fix is deliberately small. It </w:t>
      </w:r>
      <w:r>
        <w:rPr>
          <w:b/>
        </w:rPr>
        <w:t>does not create any new benefit</w:t>
      </w:r>
      <w:r>
        <w:t xml:space="preserve">. Veterans can already buy this credit, and the credit already counts the way ordinary service credit counts. The bill changes </w:t>
      </w:r>
      <w:r>
        <w:rPr>
          <w:b/>
        </w:rPr>
        <w:t>only the price and the payment schedule</w:t>
      </w:r>
      <w:r>
        <w:t xml:space="preserve"> — one sentence. Nothing else in VRS moves: not vesting, not the pension formula, not PLOP, not disability, not survivor benefits. (The full check is in Annex A.)</w:t>
      </w:r>
    </w:p>
    <w:p>
      <w:r>
        <w:t>That matters politically: a bill that changes a price is far easier to pass, and far easier for VRS to administer, than a bill that invents a new kind of service credit.</w:t>
      </w:r>
    </w:p>
    <w:p>
      <w:pPr>
        <w:jc w:val="center"/>
      </w:pPr>
      <w:r>
        <w:rPr>
          <w:color w:val="909090"/>
          <w:sz w:val="18"/>
        </w:rPr>
        <w:t>* * *</w:t>
      </w:r>
    </w:p>
    <w:p>
      <w:pPr>
        <w:pStyle w:val="Heading2"/>
      </w:pPr>
      <w:r>
        <w:t>COST</w:t>
      </w:r>
    </w:p>
    <w:p>
      <w:pPr>
        <w:pStyle w:val="Heading3"/>
      </w:pPr>
      <w:r>
        <w:t>The short answer</w:t>
      </w:r>
    </w:p>
    <w:p>
      <w:r>
        <w:rPr>
          <w:b/>
        </w:rPr>
        <w:t>No general fund appropriation is needed, and none is requested.</w:t>
      </w:r>
      <w:r>
        <w:t xml:space="preserve"> The cost lands in the employer contribution rate VRS already certifies, and is amortised there under the VRS Funding Policy. For political subdivisions it lands in their own § 51.1-145 rates. That is the same mechanism VRS uses for every other liability it carries, and it is unaffected by anything below.</w:t>
      </w:r>
    </w:p>
    <w:p>
      <w:r>
        <w:rPr>
          <w:b/>
        </w:rPr>
        <w:t>The pension liability itself is real and it is not small.</w:t>
      </w:r>
      <w:r>
        <w:t xml:space="preserve"> Modelled as a one-time present value for recommendation A-3 (keep the published normal-cost price; remove the deadline):</w:t>
      </w:r>
    </w:p>
    <w:p>
      <w:r>
        <w:rPr>
          <w:b/>
        </w:rPr>
        <w:t>$13 million to $182 million</w:t>
      </w:r>
      <w:r>
        <w:t xml:space="preserve">, depending on how large the eligible pool turns out to be and how many members actually buy — which is </w:t>
      </w:r>
      <w:r>
        <w:rPr>
          <w:b/>
        </w:rPr>
        <w:t>0.05% to 0.68% of VRS covered payroll</w:t>
      </w:r>
      <w:r>
        <w:t>, or between 5 cents and 68 cents out of every $100 of payroll.</w:t>
      </w:r>
    </w:p>
    <w:p>
      <w:pPr>
        <w:spacing w:before="120" w:after="120"/>
        <w:ind w:left="480"/>
      </w:pPr>
      <w:r>
        <w:rPr>
          <w:b/>
          <w:i/>
          <w:color w:val="444444"/>
          <w:sz w:val="20"/>
        </w:rPr>
        <w:t>Correction to v1.1, stated plainly because the money committees will find it otherwise.</w:t>
      </w:r>
      <w:r>
        <w:rPr>
          <w:i/>
          <w:color w:val="444444"/>
          <w:sz w:val="20"/>
        </w:rPr>
        <w:t xml:space="preserve"> Brief v1.1 said "under $2 million one-time, under $100,000 per year ongoing." That figure should not be used. It was not a calculation error — it was internally consistent for what it covered — but it covered only the state classified workforce (about 2,600 people against a pool of 10,600–26,300) and only the price-discount channel, leaving out retirement-date acceleration, which is 20%–49% of the cost. Carried to this bill's actual scope and with acceleration priced, the per-member figure moves from about $3,750 to $6,779–$47,967. </w:t>
      </w:r>
      <w:r>
        <w:rPr>
          <w:b/>
          <w:i/>
          <w:color w:val="444444"/>
          <w:sz w:val="20"/>
        </w:rPr>
        <w:t>Do not quote the $2 million figure.</w:t>
      </w:r>
    </w:p>
    <w:p>
      <w:pPr>
        <w:pStyle w:val="Heading3"/>
      </w:pPr>
      <w:r>
        <w:t>The arithmetic</w:t>
      </w:r>
    </w:p>
    <w:p>
      <w:r>
        <w:t>Representative net present-value cost to the Fund per purchasing member, at the mean classified salary of $69,865 and 2.5 of the 4 allowed years purchased:</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Plan</w:t>
            </w:r>
          </w:p>
        </w:tc>
        <w:tc>
          <w:tcPr>
            <w:tcW w:type="dxa" w:w="2880"/>
          </w:tcPr>
          <w:p>
            <w:pPr>
              <w:spacing w:before="20" w:after="20"/>
              <w:jc w:val="left"/>
            </w:pPr>
            <w:r>
              <w:rPr>
                <w:b/>
                <w:sz w:val="17"/>
              </w:rPr>
              <w:t>Eligible pool</w:t>
            </w:r>
          </w:p>
        </w:tc>
        <w:tc>
          <w:tcPr>
            <w:tcW w:type="dxa" w:w="2880"/>
          </w:tcPr>
          <w:p>
            <w:pPr>
              <w:spacing w:before="20" w:after="20"/>
              <w:jc w:val="right"/>
            </w:pPr>
            <w:r>
              <w:rPr>
                <w:b/>
                <w:sz w:val="17"/>
              </w:rPr>
              <w:t>Net present value per purchaser</w:t>
            </w:r>
          </w:p>
        </w:tc>
      </w:tr>
      <w:tr>
        <w:tc>
          <w:tcPr>
            <w:tcW w:type="dxa" w:w="2880"/>
          </w:tcPr>
          <w:p>
            <w:pPr>
              <w:spacing w:before="20" w:after="20"/>
              <w:jc w:val="left"/>
            </w:pPr>
            <w:r>
              <w:rPr>
                <w:sz w:val="17"/>
              </w:rPr>
              <w:t>Plan 1</w:t>
            </w:r>
          </w:p>
        </w:tc>
        <w:tc>
          <w:tcPr>
            <w:tcW w:type="dxa" w:w="2880"/>
          </w:tcPr>
          <w:p>
            <w:pPr>
              <w:spacing w:before="20" w:after="20"/>
              <w:jc w:val="left"/>
            </w:pPr>
            <w:r>
              <w:rPr>
                <w:sz w:val="17"/>
              </w:rPr>
              <w:t>3,966 – 9,027</w:t>
            </w:r>
          </w:p>
        </w:tc>
        <w:tc>
          <w:tcPr>
            <w:tcW w:type="dxa" w:w="2880"/>
          </w:tcPr>
          <w:p>
            <w:pPr>
              <w:spacing w:before="20" w:after="20"/>
              <w:jc w:val="right"/>
            </w:pPr>
            <w:r>
              <w:rPr>
                <w:b/>
                <w:sz w:val="17"/>
              </w:rPr>
              <w:t>$47,967</w:t>
            </w:r>
          </w:p>
        </w:tc>
      </w:tr>
      <w:tr>
        <w:tc>
          <w:tcPr>
            <w:tcW w:type="dxa" w:w="2880"/>
          </w:tcPr>
          <w:p>
            <w:pPr>
              <w:spacing w:before="20" w:after="20"/>
              <w:jc w:val="left"/>
            </w:pPr>
            <w:r>
              <w:rPr>
                <w:sz w:val="17"/>
              </w:rPr>
              <w:t>Plan 2</w:t>
            </w:r>
          </w:p>
        </w:tc>
        <w:tc>
          <w:tcPr>
            <w:tcW w:type="dxa" w:w="2880"/>
          </w:tcPr>
          <w:p>
            <w:pPr>
              <w:spacing w:before="20" w:after="20"/>
              <w:jc w:val="left"/>
            </w:pPr>
            <w:r>
              <w:rPr>
                <w:sz w:val="17"/>
              </w:rPr>
              <w:t>2,417 – 5,502</w:t>
            </w:r>
          </w:p>
        </w:tc>
        <w:tc>
          <w:tcPr>
            <w:tcW w:type="dxa" w:w="2880"/>
          </w:tcPr>
          <w:p>
            <w:pPr>
              <w:spacing w:before="20" w:after="20"/>
              <w:jc w:val="right"/>
            </w:pPr>
            <w:r>
              <w:rPr>
                <w:b/>
                <w:sz w:val="17"/>
              </w:rPr>
              <w:t>$17,174</w:t>
            </w:r>
          </w:p>
        </w:tc>
      </w:tr>
      <w:tr>
        <w:tc>
          <w:tcPr>
            <w:tcW w:type="dxa" w:w="2880"/>
          </w:tcPr>
          <w:p>
            <w:pPr>
              <w:spacing w:before="20" w:after="20"/>
              <w:jc w:val="left"/>
            </w:pPr>
            <w:r>
              <w:rPr>
                <w:sz w:val="17"/>
              </w:rPr>
              <w:t>Hybrid</w:t>
            </w:r>
          </w:p>
        </w:tc>
        <w:tc>
          <w:tcPr>
            <w:tcW w:type="dxa" w:w="2880"/>
          </w:tcPr>
          <w:p>
            <w:pPr>
              <w:spacing w:before="20" w:after="20"/>
              <w:jc w:val="left"/>
            </w:pPr>
            <w:r>
              <w:rPr>
                <w:sz w:val="17"/>
              </w:rPr>
              <w:t>4,177 – 11,792</w:t>
            </w:r>
          </w:p>
        </w:tc>
        <w:tc>
          <w:tcPr>
            <w:tcW w:type="dxa" w:w="2880"/>
          </w:tcPr>
          <w:p>
            <w:pPr>
              <w:spacing w:before="20" w:after="20"/>
              <w:jc w:val="right"/>
            </w:pPr>
            <w:r>
              <w:rPr>
                <w:b/>
                <w:sz w:val="17"/>
              </w:rPr>
              <w:t>$6,779</w:t>
            </w:r>
          </w:p>
        </w:tc>
      </w:tr>
      <w:tr>
        <w:tc>
          <w:tcPr>
            <w:tcW w:type="dxa" w:w="2880"/>
          </w:tcPr>
          <w:p>
            <w:pPr>
              <w:spacing w:before="20" w:after="20"/>
              <w:jc w:val="left"/>
            </w:pPr>
            <w:r>
              <w:rPr>
                <w:b/>
                <w:sz w:val="17"/>
              </w:rPr>
              <w:t>Total pool</w:t>
            </w:r>
          </w:p>
        </w:tc>
        <w:tc>
          <w:tcPr>
            <w:tcW w:type="dxa" w:w="2880"/>
          </w:tcPr>
          <w:p>
            <w:pPr>
              <w:spacing w:before="20" w:after="20"/>
              <w:jc w:val="left"/>
            </w:pPr>
            <w:r>
              <w:rPr>
                <w:b/>
                <w:sz w:val="17"/>
              </w:rPr>
              <w:t>10,561 – 26,321</w:t>
            </w:r>
          </w:p>
        </w:tc>
        <w:tc>
          <w:tcPr>
            <w:tcW w:type="dxa" w:w="2880"/>
          </w:tcPr>
          <w:p>
            <w:pPr>
              <w:spacing w:before="20" w:after="20"/>
              <w:jc w:val="right"/>
            </w:pPr>
          </w:p>
        </w:tc>
      </w:tr>
    </w:tbl>
    <w:p>
      <w:pPr>
        <w:spacing w:before="0" w:after="0" w:line="80" w:lineRule="exact"/>
      </w:pPr>
      <w:r>
        <w:rPr>
          <w:sz w:val="8"/>
        </w:rPr>
      </w:r>
    </w:p>
    <w:p>
      <w:r>
        <w:t>Take-up is the swing factor, and nobody outside VRS knows it:</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right"/>
            </w:pPr>
            <w:r>
              <w:rPr>
                <w:b/>
                <w:sz w:val="17"/>
              </w:rPr>
              <w:t>Take-up over five years</w:t>
            </w:r>
          </w:p>
        </w:tc>
        <w:tc>
          <w:tcPr>
            <w:tcW w:type="dxa" w:w="2160"/>
          </w:tcPr>
          <w:p>
            <w:pPr>
              <w:spacing w:before="20" w:after="20"/>
              <w:jc w:val="left"/>
            </w:pPr>
            <w:r>
              <w:rPr>
                <w:b/>
                <w:sz w:val="17"/>
              </w:rPr>
              <w:t>Purchasers</w:t>
            </w:r>
          </w:p>
        </w:tc>
        <w:tc>
          <w:tcPr>
            <w:tcW w:type="dxa" w:w="2160"/>
          </w:tcPr>
          <w:p>
            <w:pPr>
              <w:spacing w:before="20" w:after="20"/>
              <w:jc w:val="left"/>
            </w:pPr>
            <w:r>
              <w:rPr>
                <w:b/>
                <w:sz w:val="17"/>
              </w:rPr>
              <w:t>One-time present value</w:t>
            </w:r>
          </w:p>
        </w:tc>
        <w:tc>
          <w:tcPr>
            <w:tcW w:type="dxa" w:w="2160"/>
          </w:tcPr>
          <w:p>
            <w:pPr>
              <w:spacing w:before="20" w:after="20"/>
              <w:jc w:val="left"/>
            </w:pPr>
            <w:r>
              <w:rPr>
                <w:b/>
                <w:sz w:val="17"/>
              </w:rPr>
              <w:t>As % of VRS covered payroll</w:t>
            </w:r>
          </w:p>
        </w:tc>
      </w:tr>
      <w:tr>
        <w:tc>
          <w:tcPr>
            <w:tcW w:type="dxa" w:w="2160"/>
          </w:tcPr>
          <w:p>
            <w:pPr>
              <w:spacing w:before="20" w:after="20"/>
              <w:jc w:val="right"/>
            </w:pPr>
            <w:r>
              <w:rPr>
                <w:sz w:val="17"/>
              </w:rPr>
              <w:t>5%</w:t>
            </w:r>
          </w:p>
        </w:tc>
        <w:tc>
          <w:tcPr>
            <w:tcW w:type="dxa" w:w="2160"/>
          </w:tcPr>
          <w:p>
            <w:pPr>
              <w:spacing w:before="20" w:after="20"/>
              <w:jc w:val="left"/>
            </w:pPr>
            <w:r>
              <w:rPr>
                <w:sz w:val="17"/>
              </w:rPr>
              <w:t>528 – 1,316</w:t>
            </w:r>
          </w:p>
        </w:tc>
        <w:tc>
          <w:tcPr>
            <w:tcW w:type="dxa" w:w="2160"/>
          </w:tcPr>
          <w:p>
            <w:pPr>
              <w:spacing w:before="20" w:after="20"/>
              <w:jc w:val="left"/>
            </w:pPr>
            <w:r>
              <w:rPr>
                <w:b/>
                <w:sz w:val="17"/>
              </w:rPr>
              <w:t>$13.0M – $30.4M</w:t>
            </w:r>
          </w:p>
        </w:tc>
        <w:tc>
          <w:tcPr>
            <w:tcW w:type="dxa" w:w="2160"/>
          </w:tcPr>
          <w:p>
            <w:pPr>
              <w:spacing w:before="20" w:after="20"/>
              <w:jc w:val="left"/>
            </w:pPr>
            <w:r>
              <w:rPr>
                <w:sz w:val="17"/>
              </w:rPr>
              <w:t>0.049% – 0.113%</w:t>
            </w:r>
          </w:p>
        </w:tc>
      </w:tr>
      <w:tr>
        <w:tc>
          <w:tcPr>
            <w:tcW w:type="dxa" w:w="2160"/>
          </w:tcPr>
          <w:p>
            <w:pPr>
              <w:spacing w:before="20" w:after="20"/>
              <w:jc w:val="right"/>
            </w:pPr>
            <w:r>
              <w:rPr>
                <w:sz w:val="17"/>
              </w:rPr>
              <w:t>10%</w:t>
            </w:r>
          </w:p>
        </w:tc>
        <w:tc>
          <w:tcPr>
            <w:tcW w:type="dxa" w:w="2160"/>
          </w:tcPr>
          <w:p>
            <w:pPr>
              <w:spacing w:before="20" w:after="20"/>
              <w:jc w:val="left"/>
            </w:pPr>
            <w:r>
              <w:rPr>
                <w:sz w:val="17"/>
              </w:rPr>
              <w:t>1,056 – 2,632</w:t>
            </w:r>
          </w:p>
        </w:tc>
        <w:tc>
          <w:tcPr>
            <w:tcW w:type="dxa" w:w="2160"/>
          </w:tcPr>
          <w:p>
            <w:pPr>
              <w:spacing w:before="20" w:after="20"/>
              <w:jc w:val="left"/>
            </w:pPr>
            <w:r>
              <w:rPr>
                <w:b/>
                <w:sz w:val="17"/>
              </w:rPr>
              <w:t>$26.0M – $60.7M</w:t>
            </w:r>
          </w:p>
        </w:tc>
        <w:tc>
          <w:tcPr>
            <w:tcW w:type="dxa" w:w="2160"/>
          </w:tcPr>
          <w:p>
            <w:pPr>
              <w:spacing w:before="20" w:after="20"/>
              <w:jc w:val="left"/>
            </w:pPr>
            <w:r>
              <w:rPr>
                <w:sz w:val="17"/>
              </w:rPr>
              <w:t>0.097% – 0.227%</w:t>
            </w:r>
          </w:p>
        </w:tc>
      </w:tr>
      <w:tr>
        <w:tc>
          <w:tcPr>
            <w:tcW w:type="dxa" w:w="2160"/>
          </w:tcPr>
          <w:p>
            <w:pPr>
              <w:spacing w:before="20" w:after="20"/>
              <w:jc w:val="right"/>
            </w:pPr>
            <w:r>
              <w:rPr>
                <w:sz w:val="17"/>
              </w:rPr>
              <w:t>15%</w:t>
            </w:r>
          </w:p>
        </w:tc>
        <w:tc>
          <w:tcPr>
            <w:tcW w:type="dxa" w:w="2160"/>
          </w:tcPr>
          <w:p>
            <w:pPr>
              <w:spacing w:before="20" w:after="20"/>
              <w:jc w:val="left"/>
            </w:pPr>
            <w:r>
              <w:rPr>
                <w:sz w:val="17"/>
              </w:rPr>
              <w:t>1,584 – 3,948</w:t>
            </w:r>
          </w:p>
        </w:tc>
        <w:tc>
          <w:tcPr>
            <w:tcW w:type="dxa" w:w="2160"/>
          </w:tcPr>
          <w:p>
            <w:pPr>
              <w:spacing w:before="20" w:after="20"/>
              <w:jc w:val="left"/>
            </w:pPr>
            <w:r>
              <w:rPr>
                <w:b/>
                <w:sz w:val="17"/>
              </w:rPr>
              <w:t>$39.0M – $91.1M</w:t>
            </w:r>
          </w:p>
        </w:tc>
        <w:tc>
          <w:tcPr>
            <w:tcW w:type="dxa" w:w="2160"/>
          </w:tcPr>
          <w:p>
            <w:pPr>
              <w:spacing w:before="20" w:after="20"/>
              <w:jc w:val="left"/>
            </w:pPr>
            <w:r>
              <w:rPr>
                <w:sz w:val="17"/>
              </w:rPr>
              <w:t>0.146% – 0.340%</w:t>
            </w:r>
          </w:p>
        </w:tc>
      </w:tr>
      <w:tr>
        <w:tc>
          <w:tcPr>
            <w:tcW w:type="dxa" w:w="2160"/>
          </w:tcPr>
          <w:p>
            <w:pPr>
              <w:spacing w:before="20" w:after="20"/>
              <w:jc w:val="right"/>
            </w:pPr>
            <w:r>
              <w:rPr>
                <w:sz w:val="17"/>
              </w:rPr>
              <w:t>20%</w:t>
            </w:r>
          </w:p>
        </w:tc>
        <w:tc>
          <w:tcPr>
            <w:tcW w:type="dxa" w:w="2160"/>
          </w:tcPr>
          <w:p>
            <w:pPr>
              <w:spacing w:before="20" w:after="20"/>
              <w:jc w:val="left"/>
            </w:pPr>
            <w:r>
              <w:rPr>
                <w:sz w:val="17"/>
              </w:rPr>
              <w:t>2,112 – 5,264</w:t>
            </w:r>
          </w:p>
        </w:tc>
        <w:tc>
          <w:tcPr>
            <w:tcW w:type="dxa" w:w="2160"/>
          </w:tcPr>
          <w:p>
            <w:pPr>
              <w:spacing w:before="20" w:after="20"/>
              <w:jc w:val="left"/>
            </w:pPr>
            <w:r>
              <w:rPr>
                <w:b/>
                <w:sz w:val="17"/>
              </w:rPr>
              <w:t>$52.0M – $121.5M</w:t>
            </w:r>
          </w:p>
        </w:tc>
        <w:tc>
          <w:tcPr>
            <w:tcW w:type="dxa" w:w="2160"/>
          </w:tcPr>
          <w:p>
            <w:pPr>
              <w:spacing w:before="20" w:after="20"/>
              <w:jc w:val="left"/>
            </w:pPr>
            <w:r>
              <w:rPr>
                <w:sz w:val="17"/>
              </w:rPr>
              <w:t>0.194% – 0.454%</w:t>
            </w:r>
          </w:p>
        </w:tc>
      </w:tr>
      <w:tr>
        <w:tc>
          <w:tcPr>
            <w:tcW w:type="dxa" w:w="2160"/>
          </w:tcPr>
          <w:p>
            <w:pPr>
              <w:spacing w:before="20" w:after="20"/>
              <w:jc w:val="right"/>
            </w:pPr>
            <w:r>
              <w:rPr>
                <w:sz w:val="17"/>
              </w:rPr>
              <w:t>30%</w:t>
            </w:r>
          </w:p>
        </w:tc>
        <w:tc>
          <w:tcPr>
            <w:tcW w:type="dxa" w:w="2160"/>
          </w:tcPr>
          <w:p>
            <w:pPr>
              <w:spacing w:before="20" w:after="20"/>
              <w:jc w:val="left"/>
            </w:pPr>
            <w:r>
              <w:rPr>
                <w:sz w:val="17"/>
              </w:rPr>
              <w:t>3,168 – 7,896</w:t>
            </w:r>
          </w:p>
        </w:tc>
        <w:tc>
          <w:tcPr>
            <w:tcW w:type="dxa" w:w="2160"/>
          </w:tcPr>
          <w:p>
            <w:pPr>
              <w:spacing w:before="20" w:after="20"/>
              <w:jc w:val="left"/>
            </w:pPr>
            <w:r>
              <w:rPr>
                <w:b/>
                <w:sz w:val="17"/>
              </w:rPr>
              <w:t>$78.0M – $182.2M</w:t>
            </w:r>
          </w:p>
        </w:tc>
        <w:tc>
          <w:tcPr>
            <w:tcW w:type="dxa" w:w="2160"/>
          </w:tcPr>
          <w:p>
            <w:pPr>
              <w:spacing w:before="20" w:after="20"/>
              <w:jc w:val="left"/>
            </w:pPr>
            <w:r>
              <w:rPr>
                <w:sz w:val="17"/>
              </w:rPr>
              <w:t>0.292% – 0.681%</w:t>
            </w:r>
          </w:p>
        </w:tc>
      </w:tr>
    </w:tbl>
    <w:p>
      <w:pPr>
        <w:spacing w:before="0" w:after="0" w:line="80" w:lineRule="exact"/>
      </w:pPr>
      <w:r>
        <w:rPr>
          <w:sz w:val="8"/>
        </w:rPr>
      </w:r>
    </w:p>
    <w:p>
      <w:r>
        <w:t xml:space="preserve">The payroll denominator is </w:t>
      </w:r>
      <w:r>
        <w:rPr>
          <w:b/>
        </w:rPr>
        <w:t>$26,762,817,000</w:t>
      </w:r>
      <w:r>
        <w:t xml:space="preserve"> — Annual Covered Payroll across all six VRS groups, June 30, 2025 valuation (teachers $11.73bn, political subdivisions $8.04bn, state employees $6.28bn, VaLORS $433m, SPORS $183m, JRS $99m). Brief v1.1 used the classified state payroll of roughly $4.0bn and quoted "about 5 cents out of every $100." That phrase survives only at the very bottom cell of this grid and understates the top by roughly fourteen times.</w:t>
      </w:r>
    </w:p>
    <w:p>
      <w:r>
        <w:rPr>
          <w:b/>
        </w:rPr>
        <w:t>The single input that would most narrow this range is historical take-up</w:t>
      </w:r>
      <w:r>
        <w:t>, which VRS holds and nobody else does. The grid spans a factor of 14, and roughly 6 of that 14 is take-up alone. Prior-service purchase take-up is generally low because members must fund it from pay; if VRS's actual § 51.1-142.2 experience is in the low single digits, the honest headline is the bottom row.</w:t>
      </w:r>
    </w:p>
    <w:p>
      <w:pPr>
        <w:pStyle w:val="Heading3"/>
      </w:pPr>
      <w:r>
        <w:t>Who bears it — three figures, never one</w:t>
      </w:r>
    </w:p>
    <w:p>
      <w:r>
        <w:t xml:space="preserve">Because JLCVSO decided against a local opt-in, the exposure splits across three sets of employers, and it should always be presented that way. </w:t>
      </w:r>
      <w:r>
        <w:rPr>
          <w:b/>
        </w:rPr>
        <w:t>Local exposure flows through political-subdivision employer rates under § 51.1-145 and never touches the general fund.</w:t>
      </w:r>
      <w:r>
        <w:t xml:space="preserve"> At 20% take-up:</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Who bears the employer-rate consequence</w:t>
            </w:r>
          </w:p>
        </w:tc>
        <w:tc>
          <w:tcPr>
            <w:tcW w:type="dxa" w:w="2880"/>
          </w:tcPr>
          <w:p>
            <w:pPr>
              <w:spacing w:before="20" w:after="20"/>
              <w:jc w:val="left"/>
            </w:pPr>
            <w:r>
              <w:rPr>
                <w:b/>
                <w:sz w:val="17"/>
              </w:rPr>
              <w:t>Eligible pool</w:t>
            </w:r>
          </w:p>
        </w:tc>
        <w:tc>
          <w:tcPr>
            <w:tcW w:type="dxa" w:w="2880"/>
          </w:tcPr>
          <w:p>
            <w:pPr>
              <w:spacing w:before="20" w:after="20"/>
              <w:jc w:val="left"/>
            </w:pPr>
            <w:r>
              <w:rPr>
                <w:b/>
                <w:sz w:val="17"/>
              </w:rPr>
              <w:t>Present value at 20% take-up</w:t>
            </w:r>
          </w:p>
        </w:tc>
      </w:tr>
      <w:tr>
        <w:tc>
          <w:tcPr>
            <w:tcW w:type="dxa" w:w="2880"/>
          </w:tcPr>
          <w:p>
            <w:pPr>
              <w:spacing w:before="20" w:after="20"/>
              <w:jc w:val="left"/>
            </w:pPr>
            <w:r>
              <w:rPr>
                <w:b/>
                <w:sz w:val="17"/>
              </w:rPr>
              <w:t>State agencies</w:t>
            </w:r>
            <w:r>
              <w:rPr>
                <w:sz w:val="17"/>
              </w:rPr>
              <w:t xml:space="preserve"> — state employees, SPORS, VaLORS, JRS</w:t>
            </w:r>
          </w:p>
        </w:tc>
        <w:tc>
          <w:tcPr>
            <w:tcW w:type="dxa" w:w="2880"/>
          </w:tcPr>
          <w:p>
            <w:pPr>
              <w:spacing w:before="20" w:after="20"/>
              <w:jc w:val="left"/>
            </w:pPr>
            <w:r>
              <w:rPr>
                <w:sz w:val="17"/>
              </w:rPr>
              <w:t>4,113 – 8,099</w:t>
            </w:r>
          </w:p>
        </w:tc>
        <w:tc>
          <w:tcPr>
            <w:tcW w:type="dxa" w:w="2880"/>
          </w:tcPr>
          <w:p>
            <w:pPr>
              <w:spacing w:before="20" w:after="20"/>
              <w:jc w:val="left"/>
            </w:pPr>
            <w:r>
              <w:rPr>
                <w:b/>
                <w:sz w:val="17"/>
              </w:rPr>
              <w:t>$20.3M – $39.9M</w:t>
            </w:r>
          </w:p>
        </w:tc>
      </w:tr>
      <w:tr>
        <w:tc>
          <w:tcPr>
            <w:tcW w:type="dxa" w:w="2880"/>
          </w:tcPr>
          <w:p>
            <w:pPr>
              <w:spacing w:before="20" w:after="20"/>
              <w:jc w:val="left"/>
            </w:pPr>
            <w:r>
              <w:rPr>
                <w:b/>
                <w:sz w:val="17"/>
              </w:rPr>
              <w:t>Teachers</w:t>
            </w:r>
            <w:r>
              <w:rPr>
                <w:sz w:val="17"/>
              </w:rPr>
              <w:t xml:space="preserve"> — school divisions, shared with the Commonwealth through the Standards of Quality</w:t>
            </w:r>
          </w:p>
        </w:tc>
        <w:tc>
          <w:tcPr>
            <w:tcW w:type="dxa" w:w="2880"/>
          </w:tcPr>
          <w:p>
            <w:pPr>
              <w:spacing w:before="20" w:after="20"/>
              <w:jc w:val="left"/>
            </w:pPr>
            <w:r>
              <w:rPr>
                <w:sz w:val="17"/>
              </w:rPr>
              <w:t>2,699 – 6,768</w:t>
            </w:r>
          </w:p>
        </w:tc>
        <w:tc>
          <w:tcPr>
            <w:tcW w:type="dxa" w:w="2880"/>
          </w:tcPr>
          <w:p>
            <w:pPr>
              <w:spacing w:before="20" w:after="20"/>
              <w:jc w:val="left"/>
            </w:pPr>
            <w:r>
              <w:rPr>
                <w:b/>
                <w:sz w:val="17"/>
              </w:rPr>
              <w:t>$13.3M – $33.3M</w:t>
            </w:r>
          </w:p>
        </w:tc>
      </w:tr>
      <w:tr>
        <w:tc>
          <w:tcPr>
            <w:tcW w:type="dxa" w:w="2880"/>
          </w:tcPr>
          <w:p>
            <w:pPr>
              <w:spacing w:before="20" w:after="20"/>
              <w:jc w:val="left"/>
            </w:pPr>
            <w:r>
              <w:rPr>
                <w:b/>
                <w:sz w:val="17"/>
              </w:rPr>
              <w:t>Political subdivisions</w:t>
            </w:r>
            <w:r>
              <w:rPr>
                <w:sz w:val="17"/>
              </w:rPr>
              <w:t xml:space="preserve"> — § 51.1-145 rates, </w:t>
            </w:r>
            <w:r>
              <w:rPr>
                <w:b/>
                <w:sz w:val="17"/>
              </w:rPr>
              <w:t>no general fund</w:t>
            </w:r>
          </w:p>
        </w:tc>
        <w:tc>
          <w:tcPr>
            <w:tcW w:type="dxa" w:w="2880"/>
          </w:tcPr>
          <w:p>
            <w:pPr>
              <w:spacing w:before="20" w:after="20"/>
              <w:jc w:val="left"/>
            </w:pPr>
            <w:r>
              <w:rPr>
                <w:sz w:val="17"/>
              </w:rPr>
              <w:t>4,753 – 9,169</w:t>
            </w:r>
          </w:p>
        </w:tc>
        <w:tc>
          <w:tcPr>
            <w:tcW w:type="dxa" w:w="2880"/>
          </w:tcPr>
          <w:p>
            <w:pPr>
              <w:spacing w:before="20" w:after="20"/>
              <w:jc w:val="left"/>
            </w:pPr>
            <w:r>
              <w:rPr>
                <w:b/>
                <w:sz w:val="17"/>
              </w:rPr>
              <w:t>$23.4M – $45.2M</w:t>
            </w:r>
          </w:p>
        </w:tc>
      </w:tr>
      <w:tr>
        <w:tc>
          <w:tcPr>
            <w:tcW w:type="dxa" w:w="2880"/>
          </w:tcPr>
          <w:p>
            <w:pPr>
              <w:spacing w:before="20" w:after="20"/>
              <w:jc w:val="left"/>
            </w:pPr>
            <w:r>
              <w:rPr>
                <w:b/>
                <w:sz w:val="17"/>
              </w:rPr>
              <w:t>Total</w:t>
            </w:r>
          </w:p>
        </w:tc>
        <w:tc>
          <w:tcPr>
            <w:tcW w:type="dxa" w:w="2880"/>
          </w:tcPr>
          <w:p>
            <w:pPr>
              <w:spacing w:before="20" w:after="20"/>
              <w:jc w:val="left"/>
            </w:pPr>
            <w:r>
              <w:rPr>
                <w:sz w:val="17"/>
              </w:rPr>
              <w:t>11,565 – 24,036</w:t>
            </w:r>
          </w:p>
        </w:tc>
        <w:tc>
          <w:tcPr>
            <w:tcW w:type="dxa" w:w="2880"/>
          </w:tcPr>
          <w:p>
            <w:pPr>
              <w:spacing w:before="20" w:after="20"/>
              <w:jc w:val="left"/>
            </w:pPr>
            <w:r>
              <w:rPr>
                <w:b/>
                <w:sz w:val="17"/>
              </w:rPr>
              <w:t>$57.0M – $118.4M</w:t>
            </w:r>
          </w:p>
        </w:tc>
      </w:tr>
    </w:tbl>
    <w:p>
      <w:pPr>
        <w:spacing w:before="0" w:after="0" w:line="80" w:lineRule="exact"/>
      </w:pPr>
      <w:r>
        <w:rPr>
          <w:sz w:val="8"/>
        </w:rPr>
      </w:r>
    </w:p>
    <w:p>
      <w:r>
        <w:t xml:space="preserve">Two things to be straightforward about. The teacher line is </w:t>
      </w:r>
      <w:r>
        <w:rPr>
          <w:b/>
        </w:rPr>
        <w:t>not</w:t>
      </w:r>
      <w:r>
        <w:t xml:space="preserve"> split between the Commonwealth and localities, because that requires the Standards of Quality composite share, which is a DPB budget input rather than a VRS one — JLCVSO should ask DPB for it rather than let anyone assume it. And the </w:t>
      </w:r>
      <w:r>
        <w:rPr>
          <w:b/>
        </w:rPr>
        <w:t>political-subdivision line is the largest of the three</w:t>
      </w:r>
      <w:r>
        <w:t>, arriving without a local opt-in. That is the number the Commission on Local Government will read first, and it is the most likely source of organised opposition. Brief them before filing, not after.</w:t>
      </w:r>
    </w:p>
    <w:p>
      <w:pPr>
        <w:pStyle w:val="Heading3"/>
      </w:pPr>
      <w:r>
        <w:t>The cross-check that matters most</w:t>
      </w:r>
    </w:p>
    <w:p>
      <w:r>
        <w:rPr>
          <w:b/>
        </w:rPr>
        <w:t>VRS has already priced a more generous version of this bill, and our figures come in below it.</w:t>
      </w:r>
    </w:p>
    <w:p>
      <w:r>
        <w:t xml:space="preserve">In 2023, VRS filed a § 30-19.1:7 fiscal impact statement on </w:t>
      </w:r>
      <w:r>
        <w:rPr>
          <w:b/>
        </w:rPr>
        <w:t>HB 1867</w:t>
      </w:r>
      <w:r>
        <w:t xml:space="preserve">, which would have granted active duty military service to teachers </w:t>
      </w:r>
      <w:r>
        <w:rPr>
          <w:b/>
        </w:rPr>
        <w:t>free of charge</w:t>
      </w:r>
      <w:r>
        <w:t xml:space="preserve">. VRS found </w:t>
      </w:r>
      <w:r>
        <w:rPr>
          <w:b/>
        </w:rPr>
        <w:t>$10,000 to $60,000 of unfunded liability per participating member.</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p>
        </w:tc>
        <w:tc>
          <w:tcPr>
            <w:tcW w:type="dxa" w:w="2880"/>
          </w:tcPr>
          <w:p>
            <w:pPr>
              <w:spacing w:before="20" w:after="20"/>
              <w:jc w:val="right"/>
            </w:pPr>
            <w:r>
              <w:rPr>
                <w:b/>
                <w:sz w:val="17"/>
              </w:rPr>
              <w:t>Net present value per member</w:t>
            </w:r>
          </w:p>
        </w:tc>
        <w:tc>
          <w:tcPr>
            <w:tcW w:type="dxa" w:w="2880"/>
          </w:tcPr>
          <w:p>
            <w:pPr>
              <w:spacing w:before="20" w:after="20"/>
              <w:jc w:val="left"/>
            </w:pPr>
            <w:r>
              <w:rPr>
                <w:b/>
                <w:sz w:val="17"/>
              </w:rPr>
              <w:t>Against VRS's own HB 1867 band</w:t>
            </w:r>
          </w:p>
        </w:tc>
      </w:tr>
      <w:tr>
        <w:tc>
          <w:tcPr>
            <w:tcW w:type="dxa" w:w="2880"/>
          </w:tcPr>
          <w:p>
            <w:pPr>
              <w:spacing w:before="20" w:after="20"/>
              <w:jc w:val="left"/>
            </w:pPr>
            <w:r>
              <w:rPr>
                <w:sz w:val="17"/>
              </w:rPr>
              <w:t>Plan 1</w:t>
            </w:r>
          </w:p>
        </w:tc>
        <w:tc>
          <w:tcPr>
            <w:tcW w:type="dxa" w:w="2880"/>
          </w:tcPr>
          <w:p>
            <w:pPr>
              <w:spacing w:before="20" w:after="20"/>
              <w:jc w:val="right"/>
            </w:pPr>
            <w:r>
              <w:rPr>
                <w:sz w:val="17"/>
              </w:rPr>
              <w:t>$47,967</w:t>
            </w:r>
          </w:p>
        </w:tc>
        <w:tc>
          <w:tcPr>
            <w:tcW w:type="dxa" w:w="2880"/>
          </w:tcPr>
          <w:p>
            <w:pPr>
              <w:spacing w:before="20" w:after="20"/>
              <w:jc w:val="left"/>
            </w:pPr>
            <w:r>
              <w:rPr>
                <w:b/>
                <w:sz w:val="17"/>
              </w:rPr>
              <w:t>inside the band</w:t>
            </w:r>
          </w:p>
        </w:tc>
      </w:tr>
      <w:tr>
        <w:tc>
          <w:tcPr>
            <w:tcW w:type="dxa" w:w="2880"/>
          </w:tcPr>
          <w:p>
            <w:pPr>
              <w:spacing w:before="20" w:after="20"/>
              <w:jc w:val="left"/>
            </w:pPr>
            <w:r>
              <w:rPr>
                <w:sz w:val="17"/>
              </w:rPr>
              <w:t>Plan 2</w:t>
            </w:r>
          </w:p>
        </w:tc>
        <w:tc>
          <w:tcPr>
            <w:tcW w:type="dxa" w:w="2880"/>
          </w:tcPr>
          <w:p>
            <w:pPr>
              <w:spacing w:before="20" w:after="20"/>
              <w:jc w:val="right"/>
            </w:pPr>
            <w:r>
              <w:rPr>
                <w:sz w:val="17"/>
              </w:rPr>
              <w:t>$17,174</w:t>
            </w:r>
          </w:p>
        </w:tc>
        <w:tc>
          <w:tcPr>
            <w:tcW w:type="dxa" w:w="2880"/>
          </w:tcPr>
          <w:p>
            <w:pPr>
              <w:spacing w:before="20" w:after="20"/>
              <w:jc w:val="left"/>
            </w:pPr>
            <w:r>
              <w:rPr>
                <w:b/>
                <w:sz w:val="17"/>
              </w:rPr>
              <w:t>inside the band</w:t>
            </w:r>
          </w:p>
        </w:tc>
      </w:tr>
      <w:tr>
        <w:tc>
          <w:tcPr>
            <w:tcW w:type="dxa" w:w="2880"/>
          </w:tcPr>
          <w:p>
            <w:pPr>
              <w:spacing w:before="20" w:after="20"/>
              <w:jc w:val="left"/>
            </w:pPr>
            <w:r>
              <w:rPr>
                <w:sz w:val="17"/>
              </w:rPr>
              <w:t>Hybrid</w:t>
            </w:r>
          </w:p>
        </w:tc>
        <w:tc>
          <w:tcPr>
            <w:tcW w:type="dxa" w:w="2880"/>
          </w:tcPr>
          <w:p>
            <w:pPr>
              <w:spacing w:before="20" w:after="20"/>
              <w:jc w:val="right"/>
            </w:pPr>
            <w:r>
              <w:rPr>
                <w:sz w:val="17"/>
              </w:rPr>
              <w:t>$6,779</w:t>
            </w:r>
          </w:p>
        </w:tc>
        <w:tc>
          <w:tcPr>
            <w:tcW w:type="dxa" w:w="2880"/>
          </w:tcPr>
          <w:p>
            <w:pPr>
              <w:spacing w:before="20" w:after="20"/>
              <w:jc w:val="left"/>
            </w:pPr>
            <w:r>
              <w:rPr>
                <w:sz w:val="17"/>
              </w:rPr>
              <w:t xml:space="preserve">below it — as a </w:t>
            </w:r>
            <w:r>
              <w:rPr>
                <w:i/>
                <w:sz w:val="17"/>
              </w:rPr>
              <w:t>priced</w:t>
            </w:r>
            <w:r>
              <w:rPr>
                <w:sz w:val="17"/>
              </w:rPr>
              <w:t xml:space="preserve"> purchase should be</w:t>
            </w:r>
          </w:p>
        </w:tc>
      </w:tr>
      <w:tr>
        <w:tc>
          <w:tcPr>
            <w:tcW w:type="dxa" w:w="2880"/>
          </w:tcPr>
          <w:p>
            <w:pPr>
              <w:spacing w:before="20" w:after="20"/>
              <w:jc w:val="left"/>
            </w:pPr>
            <w:r>
              <w:rPr>
                <w:i/>
                <w:sz w:val="17"/>
              </w:rPr>
              <w:t>Brief v1.1</w:t>
            </w:r>
          </w:p>
        </w:tc>
        <w:tc>
          <w:tcPr>
            <w:tcW w:type="dxa" w:w="2880"/>
          </w:tcPr>
          <w:p>
            <w:pPr>
              <w:spacing w:before="20" w:after="20"/>
              <w:jc w:val="right"/>
            </w:pPr>
            <w:r>
              <w:rPr>
                <w:i/>
                <w:sz w:val="17"/>
              </w:rPr>
              <w:t>~$3,750</w:t>
            </w:r>
          </w:p>
        </w:tc>
        <w:tc>
          <w:tcPr>
            <w:tcW w:type="dxa" w:w="2880"/>
          </w:tcPr>
          <w:p>
            <w:pPr>
              <w:spacing w:before="20" w:after="20"/>
              <w:jc w:val="left"/>
            </w:pPr>
            <w:r>
              <w:rPr>
                <w:i/>
                <w:sz w:val="17"/>
              </w:rPr>
              <w:t>an order of magnitude below the floor</w:t>
            </w:r>
          </w:p>
        </w:tc>
      </w:tr>
    </w:tbl>
    <w:p>
      <w:pPr>
        <w:spacing w:before="0" w:after="0" w:line="80" w:lineRule="exact"/>
      </w:pPr>
      <w:r>
        <w:rPr>
          <w:sz w:val="8"/>
        </w:rPr>
      </w:r>
    </w:p>
    <w:p>
      <w:r>
        <w:t xml:space="preserve">A purchase at which the member still pays must cost the Fund </w:t>
      </w:r>
      <w:r>
        <w:rPr>
          <w:b/>
        </w:rPr>
        <w:t>less</w:t>
      </w:r>
      <w:r>
        <w:t xml:space="preserve"> than a free grant of the same service. These figures do exactly that: two of three sit inside VRS's own band and the third sits just below it. That is the expected pattern, and it is the strongest available evidence that this estimate is in the right range rather than optimistic.</w:t>
      </w:r>
    </w:p>
    <w:p>
      <w:pPr>
        <w:pStyle w:val="Heading3"/>
      </w:pPr>
      <w:r>
        <w:t>Where the cost actually comes from</w:t>
      </w:r>
    </w:p>
    <w:p>
      <w:r>
        <w:t xml:space="preserve">A purchase does two separate things. It raises the pension </w:t>
      </w:r>
      <w:r>
        <w:rPr>
          <w:b/>
        </w:rPr>
        <w:t>amount</w:t>
      </w:r>
      <w:r>
        <w:t xml:space="preserve">, and because purchased military service is creditable service (§ 51.1-124.3), it also moves the retirement </w:t>
      </w:r>
      <w:r>
        <w:rPr>
          <w:b/>
        </w:rPr>
        <w:t>eligibility date</w:t>
      </w:r>
      <w:r>
        <w:t xml:space="preserve"> earlier. VRS's own definition of actuarial equivalent cost covers both — </w:t>
      </w:r>
      <w:r>
        <w:rPr>
          <w:i/>
        </w:rPr>
        <w:t xml:space="preserve">"the total value of the increase in the employee's future retirement benefit </w:t>
      </w:r>
      <w:r>
        <w:rPr>
          <w:i/>
        </w:rPr>
        <w:t>or earlier retirement eligibility date</w:t>
      </w:r>
      <w:r>
        <w:rPr>
          <w:i/>
        </w:rPr>
        <w:t>."</w:t>
      </w:r>
    </w:p>
    <w:p>
      <w:r>
        <w:t xml:space="preserve">Acceleration is </w:t>
      </w:r>
      <w:r>
        <w:rPr>
          <w:b/>
        </w:rPr>
        <w:t>20% to 49%</w:t>
      </w:r>
      <w:r>
        <w:t xml:space="preserve"> of the total cost, and that is a floor, not a ceiling: VRS's Senior Staff Actuary told the Benefits and Actuarial Committee on June 17, 2026 that VRS uses fixed-rate rather than truly actuarially equivalent early-retirement reductions, which "does provide a subsidy that varies by age and service." Reaching an unreduced date earlier also extinguishes that reduction. That second-order effect is not priced here and runs upward only.</w:t>
      </w:r>
    </w:p>
    <w:p>
      <w:r>
        <w:rPr>
          <w:b/>
        </w:rPr>
        <w:t>The mechanical asymmetry the JLC needs to understand, which appeared nowhere in v1.1:</w:t>
      </w:r>
    </w:p>
    <w:p>
      <w:pPr>
        <w:spacing w:before="120" w:after="120"/>
        <w:ind w:left="480"/>
      </w:pPr>
      <w:r>
        <w:rPr>
          <w:i/>
          <w:color w:val="444444"/>
          <w:sz w:val="20"/>
        </w:rPr>
        <w:t xml:space="preserve">Under Plan 1's </w:t>
      </w:r>
      <w:r>
        <w:rPr>
          <w:b/>
          <w:i/>
          <w:color w:val="444444"/>
          <w:sz w:val="20"/>
        </w:rPr>
        <w:t>age 50 with 30 years</w:t>
      </w:r>
      <w:r>
        <w:rPr>
          <w:i/>
          <w:color w:val="444444"/>
          <w:sz w:val="20"/>
        </w:rPr>
        <w:t xml:space="preserve"> threshold (§ 51.1-153 B 1), once a member is past 50 the service leg binds alone, so </w:t>
      </w:r>
      <w:r>
        <w:rPr>
          <w:b/>
          <w:i/>
          <w:color w:val="444444"/>
          <w:sz w:val="20"/>
        </w:rPr>
        <w:t>one purchased year advances retirement eligibility by one full year</w:t>
      </w:r>
      <w:r>
        <w:rPr>
          <w:i/>
          <w:color w:val="444444"/>
          <w:sz w:val="20"/>
        </w:rPr>
        <w:t>.</w:t>
      </w:r>
    </w:p>
    <w:p>
      <w:pPr>
        <w:spacing w:before="120" w:after="120"/>
        <w:ind w:left="480"/>
      </w:pPr>
      <w:r>
        <w:rPr>
          <w:i/>
          <w:color w:val="444444"/>
          <w:sz w:val="20"/>
        </w:rPr>
        <w:t xml:space="preserve">Under the </w:t>
      </w:r>
      <w:r>
        <w:rPr>
          <w:b/>
          <w:i/>
          <w:color w:val="444444"/>
          <w:sz w:val="20"/>
        </w:rPr>
        <w:t>Rule of 90</w:t>
      </w:r>
      <w:r>
        <w:rPr>
          <w:i/>
          <w:color w:val="444444"/>
          <w:sz w:val="20"/>
        </w:rPr>
        <w:t xml:space="preserve"> (§ 51.1-153 B 3, Plan 2 and Hybrid), a year actually worked adds two points — one of age and one of service. A purchased year adds only the service point, because purchased credit is creditable service but it is not time lived. So </w:t>
      </w:r>
      <w:r>
        <w:rPr>
          <w:b/>
          <w:i/>
          <w:color w:val="444444"/>
          <w:sz w:val="20"/>
        </w:rPr>
        <w:t>one purchased year advances Rule-of-90 eligibility by only half a year</w:t>
      </w:r>
      <w:r>
        <w:rPr>
          <w:i/>
          <w:color w:val="444444"/>
          <w:sz w:val="20"/>
        </w:rPr>
        <w:t>.</w:t>
      </w:r>
    </w:p>
    <w:p>
      <w:r>
        <w:t>That halving is why Plan 2 and Hybrid acceleration exposure is roughly a third of Plan 1's rather than equal to it, and it is the honest answer to the first question an actuary will ask.</w:t>
      </w:r>
    </w:p>
    <w:p>
      <w:pPr>
        <w:pStyle w:val="Heading3"/>
      </w:pPr>
      <w:r>
        <w:t>Why the per-member cost is far smaller for younger members</w:t>
      </w:r>
    </w:p>
    <w:p>
      <w:r>
        <w:t xml:space="preserve">VRS's approximate normal cost rate is defined as "the average cost of one year of VRS service credit" — by construction, the right actuarial price at the plan's </w:t>
      </w:r>
      <w:r>
        <w:rPr>
          <w:i/>
        </w:rPr>
        <w:t>average</w:t>
      </w:r>
      <w:r>
        <w:t xml:space="preserve"> member. Away from that average the price is wrong in a predictable direction, and for younger members it is wrong in the Commonwealth's favour. On the benefit-amount channel:</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Age at purchase</w:t>
            </w:r>
          </w:p>
        </w:tc>
        <w:tc>
          <w:tcPr>
            <w:tcW w:type="dxa" w:w="2160"/>
          </w:tcPr>
          <w:p>
            <w:pPr>
              <w:spacing w:before="20" w:after="20"/>
              <w:jc w:val="left"/>
            </w:pPr>
            <w:r>
              <w:rPr>
                <w:b/>
                <w:sz w:val="17"/>
              </w:rPr>
              <w:t>Plan 1 (ANC 12.50%)</w:t>
            </w:r>
          </w:p>
        </w:tc>
        <w:tc>
          <w:tcPr>
            <w:tcW w:type="dxa" w:w="2160"/>
          </w:tcPr>
          <w:p>
            <w:pPr>
              <w:spacing w:before="20" w:after="20"/>
              <w:jc w:val="left"/>
            </w:pPr>
            <w:r>
              <w:rPr>
                <w:b/>
                <w:sz w:val="17"/>
              </w:rPr>
              <w:t>Plan 2 (ANC 10.74%)</w:t>
            </w:r>
          </w:p>
        </w:tc>
        <w:tc>
          <w:tcPr>
            <w:tcW w:type="dxa" w:w="2160"/>
          </w:tcPr>
          <w:p>
            <w:pPr>
              <w:spacing w:before="20" w:after="20"/>
              <w:jc w:val="left"/>
            </w:pPr>
            <w:r>
              <w:rPr>
                <w:b/>
                <w:sz w:val="17"/>
              </w:rPr>
              <w:t>Hybrid (ANC 6.68%)</w:t>
            </w:r>
          </w:p>
        </w:tc>
      </w:tr>
      <w:tr>
        <w:tc>
          <w:tcPr>
            <w:tcW w:type="dxa" w:w="2160"/>
          </w:tcPr>
          <w:p>
            <w:pPr>
              <w:spacing w:before="20" w:after="20"/>
              <w:jc w:val="left"/>
            </w:pPr>
            <w:r>
              <w:rPr>
                <w:sz w:val="17"/>
              </w:rPr>
              <w:t>35</w:t>
            </w:r>
          </w:p>
        </w:tc>
        <w:tc>
          <w:tcPr>
            <w:tcW w:type="dxa" w:w="2160"/>
          </w:tcPr>
          <w:p>
            <w:pPr>
              <w:spacing w:before="20" w:after="20"/>
              <w:jc w:val="left"/>
            </w:pPr>
            <w:r>
              <w:rPr>
                <w:sz w:val="17"/>
              </w:rPr>
              <w:t>0.66×</w:t>
            </w:r>
          </w:p>
        </w:tc>
        <w:tc>
          <w:tcPr>
            <w:tcW w:type="dxa" w:w="2160"/>
          </w:tcPr>
          <w:p>
            <w:pPr>
              <w:spacing w:before="20" w:after="20"/>
              <w:jc w:val="left"/>
            </w:pPr>
            <w:r>
              <w:rPr>
                <w:sz w:val="17"/>
              </w:rPr>
              <w:t>0.64×</w:t>
            </w:r>
          </w:p>
        </w:tc>
        <w:tc>
          <w:tcPr>
            <w:tcW w:type="dxa" w:w="2160"/>
          </w:tcPr>
          <w:p>
            <w:pPr>
              <w:spacing w:before="20" w:after="20"/>
              <w:jc w:val="left"/>
            </w:pPr>
            <w:r>
              <w:rPr>
                <w:sz w:val="17"/>
              </w:rPr>
              <w:t>0.62×</w:t>
            </w:r>
          </w:p>
        </w:tc>
      </w:tr>
      <w:tr>
        <w:tc>
          <w:tcPr>
            <w:tcW w:type="dxa" w:w="2160"/>
          </w:tcPr>
          <w:p>
            <w:pPr>
              <w:spacing w:before="20" w:after="20"/>
              <w:jc w:val="left"/>
            </w:pPr>
            <w:r>
              <w:rPr>
                <w:sz w:val="17"/>
              </w:rPr>
              <w:t>45</w:t>
            </w:r>
          </w:p>
        </w:tc>
        <w:tc>
          <w:tcPr>
            <w:tcW w:type="dxa" w:w="2160"/>
          </w:tcPr>
          <w:p>
            <w:pPr>
              <w:spacing w:before="20" w:after="20"/>
              <w:jc w:val="left"/>
            </w:pPr>
            <w:r>
              <w:rPr>
                <w:sz w:val="17"/>
              </w:rPr>
              <w:t>0.94×</w:t>
            </w:r>
          </w:p>
        </w:tc>
        <w:tc>
          <w:tcPr>
            <w:tcW w:type="dxa" w:w="2160"/>
          </w:tcPr>
          <w:p>
            <w:pPr>
              <w:spacing w:before="20" w:after="20"/>
              <w:jc w:val="left"/>
            </w:pPr>
            <w:r>
              <w:rPr>
                <w:sz w:val="17"/>
              </w:rPr>
              <w:t>0.92×</w:t>
            </w:r>
          </w:p>
        </w:tc>
        <w:tc>
          <w:tcPr>
            <w:tcW w:type="dxa" w:w="2160"/>
          </w:tcPr>
          <w:p>
            <w:pPr>
              <w:spacing w:before="20" w:after="20"/>
              <w:jc w:val="left"/>
            </w:pPr>
            <w:r>
              <w:rPr>
                <w:sz w:val="17"/>
              </w:rPr>
              <w:t>0.89×</w:t>
            </w:r>
          </w:p>
        </w:tc>
      </w:tr>
      <w:tr>
        <w:tc>
          <w:tcPr>
            <w:tcW w:type="dxa" w:w="2160"/>
          </w:tcPr>
          <w:p>
            <w:pPr>
              <w:spacing w:before="20" w:after="20"/>
              <w:jc w:val="left"/>
            </w:pPr>
            <w:r>
              <w:rPr>
                <w:sz w:val="17"/>
              </w:rPr>
              <w:t>55</w:t>
            </w:r>
          </w:p>
        </w:tc>
        <w:tc>
          <w:tcPr>
            <w:tcW w:type="dxa" w:w="2160"/>
          </w:tcPr>
          <w:p>
            <w:pPr>
              <w:spacing w:before="20" w:after="20"/>
              <w:jc w:val="left"/>
            </w:pPr>
            <w:r>
              <w:rPr>
                <w:sz w:val="17"/>
              </w:rPr>
              <w:t>1.35×</w:t>
            </w:r>
          </w:p>
        </w:tc>
        <w:tc>
          <w:tcPr>
            <w:tcW w:type="dxa" w:w="2160"/>
          </w:tcPr>
          <w:p>
            <w:pPr>
              <w:spacing w:before="20" w:after="20"/>
              <w:jc w:val="left"/>
            </w:pPr>
            <w:r>
              <w:rPr>
                <w:sz w:val="17"/>
              </w:rPr>
              <w:t>1.31×</w:t>
            </w:r>
          </w:p>
        </w:tc>
        <w:tc>
          <w:tcPr>
            <w:tcW w:type="dxa" w:w="2160"/>
          </w:tcPr>
          <w:p>
            <w:pPr>
              <w:spacing w:before="20" w:after="20"/>
              <w:jc w:val="left"/>
            </w:pPr>
            <w:r>
              <w:rPr>
                <w:sz w:val="17"/>
              </w:rPr>
              <w:t>1.28×</w:t>
            </w:r>
          </w:p>
        </w:tc>
      </w:tr>
      <w:tr>
        <w:tc>
          <w:tcPr>
            <w:tcW w:type="dxa" w:w="2160"/>
          </w:tcPr>
          <w:p>
            <w:pPr>
              <w:spacing w:before="20" w:after="20"/>
              <w:jc w:val="left"/>
            </w:pPr>
            <w:r>
              <w:rPr>
                <w:b/>
                <w:sz w:val="17"/>
              </w:rPr>
              <w:t>Break-even age</w:t>
            </w:r>
          </w:p>
        </w:tc>
        <w:tc>
          <w:tcPr>
            <w:tcW w:type="dxa" w:w="2160"/>
          </w:tcPr>
          <w:p>
            <w:pPr>
              <w:spacing w:before="20" w:after="20"/>
              <w:jc w:val="left"/>
            </w:pPr>
            <w:r>
              <w:rPr>
                <w:b/>
                <w:sz w:val="17"/>
              </w:rPr>
              <w:t>46.6</w:t>
            </w:r>
          </w:p>
        </w:tc>
        <w:tc>
          <w:tcPr>
            <w:tcW w:type="dxa" w:w="2160"/>
          </w:tcPr>
          <w:p>
            <w:pPr>
              <w:spacing w:before="20" w:after="20"/>
              <w:jc w:val="left"/>
            </w:pPr>
            <w:r>
              <w:rPr>
                <w:b/>
                <w:sz w:val="17"/>
              </w:rPr>
              <w:t>47.4</w:t>
            </w:r>
          </w:p>
        </w:tc>
        <w:tc>
          <w:tcPr>
            <w:tcW w:type="dxa" w:w="2160"/>
          </w:tcPr>
          <w:p>
            <w:pPr>
              <w:spacing w:before="20" w:after="20"/>
              <w:jc w:val="left"/>
            </w:pPr>
            <w:r>
              <w:rPr>
                <w:b/>
                <w:sz w:val="17"/>
              </w:rPr>
              <w:t>48.2</w:t>
            </w:r>
          </w:p>
        </w:tc>
      </w:tr>
    </w:tbl>
    <w:p>
      <w:pPr>
        <w:spacing w:before="0" w:after="0" w:line="80" w:lineRule="exact"/>
      </w:pPr>
      <w:r>
        <w:rPr>
          <w:sz w:val="8"/>
        </w:rPr>
      </w:r>
    </w:p>
    <w:p>
      <w:r>
        <w:t xml:space="preserve">A multiple below 1.0× means the veteran is paying </w:t>
      </w:r>
      <w:r>
        <w:rPr>
          <w:b/>
        </w:rPr>
        <w:t>more</w:t>
      </w:r>
      <w:r>
        <w:t xml:space="preserve"> than the credit is actuarially worth. The break-even clusters tightly at </w:t>
      </w:r>
      <w:r>
        <w:rPr>
          <w:b/>
        </w:rPr>
        <w:t>age 47–48 in all three plans</w:t>
      </w:r>
      <w:r>
        <w:t>. Below that age the veteran subsidises the Fund. That is the strongest fiscal argument this proposal has, and it is why the Hybrid per-member figure is only $6,779.</w:t>
      </w:r>
    </w:p>
    <w:p>
      <w:r>
        <w:rPr>
          <w:b/>
        </w:rPr>
        <w:t>A caution about the Cliff Graph.</w:t>
      </w:r>
      <w:r>
        <w:t xml:space="preserve"> The 3.23× jump in the Cliff Graph is defensible — reproduced independently at 3.54× for Plan 1 at the chart's own illustrative profile (age 55, 25 years, $91,700) once eligibility acceleration is included. But that profile is a long-service member sitting just short of an eligibility threshold, which is the </w:t>
      </w:r>
      <w:r>
        <w:rPr>
          <w:b/>
        </w:rPr>
        <w:t>worst case, not the typical one</w:t>
      </w:r>
      <w:r>
        <w:t xml:space="preserve">. Across ages the multiple ranges from about </w:t>
      </w:r>
      <w:r>
        <w:rPr>
          <w:b/>
        </w:rPr>
        <w:t>0.5× to about 3.5×</w:t>
      </w:r>
      <w:r>
        <w:t xml:space="preserve">. A single-profile chart reads as universal, and it should not. </w:t>
      </w:r>
      <w:r>
        <w:rPr>
          <w:i/>
        </w:rPr>
        <w:t>The chart should be reissued with a second panel plotting the multiple against purchase age, with the 47–48 break-even line marked.</w:t>
      </w:r>
    </w:p>
    <w:p>
      <w:pPr>
        <w:pStyle w:val="Heading3"/>
      </w:pPr>
      <w:r>
        <w:t>What is not priced here</w:t>
      </w:r>
    </w:p>
    <w:p>
      <w:r>
        <w:t>All of these run upward, and all should be put to VRS:</w:t>
      </w:r>
    </w:p>
    <w:p>
      <w:pPr>
        <w:pStyle w:val="ListBullet"/>
      </w:pPr>
      <w:r>
        <w:t>the retiree health insurance credit, including its 15-year step function (§ 51.1-1400);</w:t>
      </w:r>
    </w:p>
    <w:p>
      <w:pPr>
        <w:pStyle w:val="ListBullet"/>
      </w:pPr>
      <w:r>
        <w:t>adverse selection, addressed by the guardrails below but not quantified;</w:t>
      </w:r>
    </w:p>
    <w:p>
      <w:pPr>
        <w:pStyle w:val="ListBullet"/>
      </w:pPr>
      <w:r>
        <w:t>the early-retirement reduction subsidy described above;</w:t>
      </w:r>
    </w:p>
    <w:p>
      <w:pPr>
        <w:pStyle w:val="ListBullet"/>
      </w:pPr>
      <w:r>
        <w:t>VRS administrative cost — HB 1867's analogue was about $78,000 one-time;</w:t>
      </w:r>
    </w:p>
    <w:p>
      <w:pPr>
        <w:pStyle w:val="ListBullet"/>
      </w:pPr>
      <w:r>
        <w:t xml:space="preserve">employer-side payroll and backfill consequences of earlier retirement. These are a cost to agencies and school divisions, not to the Fund, and </w:t>
      </w:r>
      <w:r>
        <w:rPr>
          <w:b/>
        </w:rPr>
        <w:t>must not be netted against the pension figures</w:t>
      </w:r>
      <w:r>
        <w:t>.</w:t>
      </w:r>
    </w:p>
    <w:p>
      <w:pPr>
        <w:spacing w:before="120" w:after="120"/>
        <w:ind w:left="480"/>
      </w:pPr>
      <w:r>
        <w:rPr>
          <w:b/>
          <w:i/>
          <w:color w:val="444444"/>
          <w:sz w:val="20"/>
        </w:rPr>
        <w:t>These figures are JLCVSO analyst estimates, not VRS numbers.</w:t>
      </w:r>
      <w:r>
        <w:rPr>
          <w:i/>
          <w:color w:val="444444"/>
          <w:sz w:val="20"/>
        </w:rPr>
        <w:t xml:space="preserve"> They use VRS's published normal-cost rates, VRS's 6.75% assumed return, the Board-adopted COLA assumptions (2.50% Plan 1, 2.25% Plan 2 and Hybrid), the 1.0% / 1.65% / 1.70% multipliers, and official VRS membership and payroll data. The full derivation, every input tagged OFFICIAL / DERIVED / ESTIMATE, is in </w:t>
      </w:r>
      <w:r>
        <w:rPr>
          <w:b/>
          <w:i/>
          <w:color w:val="444444"/>
          <w:sz w:val="20"/>
        </w:rPr>
        <w:t>Annex 2 Closure</w:t>
      </w:r>
      <w:r>
        <w:rPr>
          <w:i/>
          <w:color w:val="444444"/>
          <w:sz w:val="20"/>
        </w:rPr>
        <w:t xml:space="preserve">, and the model is reproducible at </w:t>
      </w:r>
      <w:r>
        <w:rPr>
          <w:rFonts w:ascii="Consolas" w:hAnsi="Consolas"/>
          <w:i/>
          <w:color w:val="303030"/>
          <w:sz w:val="18"/>
        </w:rPr>
        <w:t>models/fm_model.py</w:t>
      </w:r>
      <w:r>
        <w:rPr>
          <w:i/>
          <w:color w:val="444444"/>
          <w:sz w:val="20"/>
        </w:rPr>
        <w:t xml:space="preserve">. </w:t>
      </w:r>
      <w:r>
        <w:rPr>
          <w:b/>
          <w:i/>
          <w:color w:val="444444"/>
          <w:sz w:val="20"/>
        </w:rPr>
        <w:t>VRS actuaries will produce the official number</w:t>
      </w:r>
      <w:r>
        <w:rPr>
          <w:i/>
          <w:color w:val="444444"/>
          <w:sz w:val="20"/>
        </w:rPr>
        <w:t xml:space="preserve"> — under § 30-19.1:7 the VRS Board must file an impact statement on any VRS bill. JLCVSO should ask VRS for that estimate </w:t>
      </w:r>
      <w:r>
        <w:rPr>
          <w:i/>
          <w:color w:val="444444"/>
          <w:sz w:val="20"/>
        </w:rPr>
        <w:t>before</w:t>
      </w:r>
      <w:r>
        <w:rPr>
          <w:i/>
          <w:color w:val="444444"/>
          <w:sz w:val="20"/>
        </w:rPr>
        <w:t xml:space="preserve"> filing. Annex 2 Closure, FM-1 § 1.7, contains a drafted data request ready to send.</w:t>
      </w:r>
    </w:p>
    <w:p>
      <w:pPr>
        <w:pStyle w:val="Heading3"/>
      </w:pPr>
      <w:r>
        <w:t>The one real fiscal risk, and how the draft handles it</w:t>
      </w:r>
    </w:p>
    <w:p>
      <w:r>
        <w:t>If the price never expires, a member could wait until the eve of retirement and buy credit only when it is obviously profitable — for example, to cross the Rule of 90 or to reach the 15-year threshold for the retiree health insurance credit. That is called adverse selection and it is the objection VRS is most likely to raise.</w:t>
      </w:r>
    </w:p>
    <w:p>
      <w:r>
        <w:t xml:space="preserve">Because JLCVSO decided on </w:t>
      </w:r>
      <w:r>
        <w:rPr>
          <w:b/>
        </w:rPr>
        <w:t>immediate access on the effective date</w:t>
      </w:r>
      <w:r>
        <w:t>, the actuary will price an unbounded cohort — which puts the entire weight of adverse-selection control on the guardrails. The draft bill in Annex A offers two, and they do very different amounts of work:</w:t>
      </w:r>
    </w:p>
    <w:p>
      <w:pPr>
        <w:pStyle w:val="ListBullet"/>
      </w:pPr>
      <w:r>
        <w:rPr>
          <w:b/>
        </w:rPr>
        <w:t>The Board may require any military purchase to be completed at least 12 months before the member's effective date of retirement.</w:t>
      </w:r>
      <w:r>
        <w:t xml:space="preserve"> A clean anti-gaming rule that costs veterans almost nothing. But it caps the exposure by only about </w:t>
      </w:r>
      <w:r>
        <w:rPr>
          <w:b/>
        </w:rPr>
        <w:t>3%–4%</w:t>
      </w:r>
      <w:r>
        <w:t>, because the actuarial multiple is a smooth function of age — there is no cliff in it to cut off. Worth having; not a cost control.</w:t>
      </w:r>
    </w:p>
    <w:p>
      <w:pPr>
        <w:pStyle w:val="ListBullet"/>
      </w:pPr>
      <w:r>
        <w:rPr>
          <w:b/>
        </w:rPr>
        <w:t>The Board may set the normal-cost rate for military purchases as a schedule that varies by the member's age.</w:t>
      </w:r>
      <w:r>
        <w:t xml:space="preserve"> An older member pays a somewhat higher rate — still a published, predictable, affordable rate rather than a bespoke actuarial bill.</w:t>
      </w:r>
    </w:p>
    <w:p>
      <w:pPr>
        <w:spacing w:before="120" w:after="120"/>
        <w:ind w:left="480"/>
      </w:pPr>
      <w:r>
        <w:rPr>
          <w:b/>
          <w:i/>
          <w:color w:val="444444"/>
          <w:sz w:val="20"/>
        </w:rPr>
        <w:t>The most important drafting finding in this package, and it is one phrase long.</w:t>
      </w:r>
      <w:r>
        <w:rPr>
          <w:i/>
          <w:color w:val="444444"/>
          <w:sz w:val="20"/>
        </w:rPr>
        <w:t xml:space="preserve"> Priced as a dial, the </w:t>
      </w:r>
      <w:r>
        <w:rPr>
          <w:b/>
          <w:i/>
          <w:color w:val="444444"/>
          <w:sz w:val="20"/>
        </w:rPr>
        <w:t>age-graded</w:t>
      </w:r>
      <w:r>
        <w:rPr>
          <w:i/>
          <w:color w:val="444444"/>
          <w:sz w:val="20"/>
        </w:rPr>
        <w:t xml:space="preserve"> schedule removes only about </w:t>
      </w:r>
      <w:r>
        <w:rPr>
          <w:b/>
          <w:i/>
          <w:color w:val="444444"/>
          <w:sz w:val="20"/>
        </w:rPr>
        <w:t>15%</w:t>
      </w:r>
      <w:r>
        <w:rPr>
          <w:i/>
          <w:color w:val="444444"/>
          <w:sz w:val="20"/>
        </w:rPr>
        <w:t xml:space="preserve"> of the exposure even when turned all the way up. Grading on age recovers the benefit-</w:t>
      </w:r>
      <w:r>
        <w:rPr>
          <w:i/>
          <w:color w:val="444444"/>
          <w:sz w:val="20"/>
        </w:rPr>
        <w:t>amount</w:t>
      </w:r>
      <w:r>
        <w:rPr>
          <w:i/>
          <w:color w:val="444444"/>
          <w:sz w:val="20"/>
        </w:rPr>
        <w:t xml:space="preserve"> excess, but the dominant cost driver is retirement-date acceleration — and acceleration is driven by proximity to an eligibility </w:t>
      </w:r>
      <w:r>
        <w:rPr>
          <w:i/>
          <w:color w:val="444444"/>
          <w:sz w:val="20"/>
        </w:rPr>
        <w:t>threshold</w:t>
      </w:r>
      <w:r>
        <w:rPr>
          <w:i/>
          <w:color w:val="444444"/>
          <w:sz w:val="20"/>
        </w:rPr>
        <w:t xml:space="preserve">, which is age </w:t>
      </w:r>
      <w:r>
        <w:rPr>
          <w:b/>
          <w:i/>
          <w:color w:val="444444"/>
          <w:sz w:val="20"/>
        </w:rPr>
        <w:t>and service</w:t>
      </w:r>
      <w:r>
        <w:rPr>
          <w:i/>
          <w:color w:val="444444"/>
          <w:sz w:val="20"/>
        </w:rPr>
        <w:t xml:space="preserve"> together. A 55-year-old with 25 years of service and a 55-year-old with 8 years would pay the identical age-graded rate while costing the Fund very different amounts.</w:t>
      </w:r>
    </w:p>
    <w:p>
      <w:pPr>
        <w:spacing w:before="120" w:after="120"/>
        <w:ind w:left="480"/>
      </w:pPr>
      <w:r>
        <w:rPr>
          <w:i/>
          <w:color w:val="444444"/>
          <w:sz w:val="20"/>
        </w:rPr>
        <w:t xml:space="preserve">Express the same authority as varying by the member's </w:t>
      </w:r>
      <w:r>
        <w:rPr>
          <w:b/>
          <w:i/>
          <w:color w:val="444444"/>
          <w:sz w:val="20"/>
        </w:rPr>
        <w:t>age and creditable service</w:t>
      </w:r>
      <w:r>
        <w:rPr>
          <w:i/>
          <w:color w:val="444444"/>
          <w:sz w:val="20"/>
        </w:rPr>
        <w:t xml:space="preserve">, or by the member's </w:t>
      </w:r>
      <w:r>
        <w:rPr>
          <w:b/>
          <w:i/>
          <w:color w:val="444444"/>
          <w:sz w:val="20"/>
        </w:rPr>
        <w:t>distance from unreduced retirement eligibility</w:t>
      </w:r>
      <w:r>
        <w:rPr>
          <w:i/>
          <w:color w:val="444444"/>
          <w:sz w:val="20"/>
        </w:rPr>
        <w:t xml:space="preserve">, and the dial bites: at 50% recovery it </w:t>
      </w:r>
      <w:r>
        <w:rPr>
          <w:b/>
          <w:i/>
          <w:color w:val="444444"/>
          <w:sz w:val="20"/>
        </w:rPr>
        <w:t>halves</w:t>
      </w:r>
      <w:r>
        <w:rPr>
          <w:i/>
          <w:color w:val="444444"/>
          <w:sz w:val="20"/>
        </w:rPr>
        <w:t xml:space="preserve"> the exposure ($57.0M → $28.5M at 20% take-up); at 100% the bill is actuarially neutral by construction and the fiscal note is </w:t>
      </w:r>
      <w:r>
        <w:rPr>
          <w:b/>
          <w:i/>
          <w:color w:val="444444"/>
          <w:sz w:val="20"/>
        </w:rPr>
        <w:t>zero</w:t>
      </w:r>
      <w:r>
        <w:rPr>
          <w:i/>
          <w:color w:val="444444"/>
          <w:sz w:val="20"/>
        </w:rPr>
        <w:t>.</w:t>
      </w:r>
    </w:p>
    <w:p>
      <w:pPr>
        <w:spacing w:before="120" w:after="120"/>
        <w:ind w:left="480"/>
      </w:pPr>
      <w:r>
        <w:rPr>
          <w:i/>
          <w:color w:val="444444"/>
          <w:sz w:val="20"/>
        </w:rPr>
        <w:t xml:space="preserve">This is a drafting change, not a policy change — still a published schedule, still predictable, still no individualised actuarial bill handed to a veteran. </w:t>
      </w:r>
      <w:r>
        <w:rPr>
          <w:b/>
          <w:i/>
          <w:color w:val="444444"/>
          <w:sz w:val="20"/>
        </w:rPr>
        <w:t>It is the single most powerful cost control available, it should be in the bill as filed, and it is the first thing to offer the money committees.</w:t>
      </w:r>
      <w:r>
        <w:rPr>
          <w:i/>
          <w:color w:val="444444"/>
          <w:sz w:val="20"/>
        </w:rPr>
        <w:t xml:space="preserve"> If only one guardrail survives negotiation, it must be this one. (Annex 2 Closure, FM-4 § 4.8. </w:t>
      </w:r>
      <w:r>
        <w:rPr>
          <w:b/>
          <w:i/>
          <w:color w:val="444444"/>
          <w:sz w:val="20"/>
        </w:rPr>
        <w:t>Referred to VRS counsel and the Division of Legislative Services for the Annex A redraft.</w:t>
      </w:r>
      <w:r>
        <w:rPr>
          <w:i/>
          <w:color w:val="444444"/>
          <w:sz w:val="20"/>
        </w:rPr>
        <w:t>)</w:t>
      </w:r>
    </w:p>
    <w:p>
      <w:r>
        <w:rPr>
          <w:b/>
        </w:rPr>
        <w:t>A point of accuracy about the actuarial price.</w:t>
      </w:r>
      <w:r>
        <w:t xml:space="preserve"> VRS </w:t>
      </w:r>
      <w:r>
        <w:rPr>
          <w:b/>
        </w:rPr>
        <w:t>does not publish</w:t>
      </w:r>
      <w:r>
        <w:t xml:space="preserve"> the actuarial equivalent cost rate: the published </w:t>
      </w:r>
      <w:r>
        <w:rPr>
          <w:i/>
        </w:rPr>
        <w:t>Purchase of Prior Service Cost Rates</w:t>
      </w:r>
      <w:r>
        <w:t xml:space="preserve"> charts say only "Actuarial Cost" in every post-window cell, with no factor table, no age grading and no worked example. But the rate basis exists. The Board's own minutes of June 18, 2025 record that "the </w:t>
      </w:r>
      <w:r>
        <w:rPr>
          <w:b/>
        </w:rPr>
        <w:t>actuarial equivalent cost rates are developed by the Plan Actuary</w:t>
      </w:r>
      <w:r>
        <w:t xml:space="preserve"> based on the assumptions and demographic data from the prior year valuations" — rates, plural, refreshed annually by Gabriel, Roeder, Smith &amp; Company. So this is a </w:t>
      </w:r>
      <w:r>
        <w:rPr>
          <w:b/>
        </w:rPr>
        <w:t>requestable document</w:t>
      </w:r>
      <w:r>
        <w:t>, not a per-member computation that would have to be commissioned, and JLCVSO should ask for it by that description.</w:t>
      </w:r>
    </w:p>
    <w:p>
      <w:pPr>
        <w:jc w:val="center"/>
      </w:pPr>
      <w:r>
        <w:rPr>
          <w:color w:val="909090"/>
          <w:sz w:val="18"/>
        </w:rPr>
        <w:t>* * *</w:t>
      </w:r>
    </w:p>
    <w:p>
      <w:pPr>
        <w:pStyle w:val="Heading2"/>
      </w:pPr>
      <w:r>
        <w:t>RECOMMENDATION</w:t>
      </w:r>
    </w:p>
    <w:p>
      <w:r>
        <w:rPr>
          <w:b/>
        </w:rPr>
        <w:t>Amend and reenact § 51.1-142.2 of the Code of Virginia to do three things:</w:t>
      </w:r>
    </w:p>
    <w:p>
      <w:pPr>
        <w:spacing w:after="60"/>
        <w:ind w:left="432" w:hanging="432"/>
      </w:pPr>
      <w:r>
        <w:rPr>
          <w:b/>
        </w:rPr>
        <w:t>1.</w:t>
        <w:tab/>
      </w:r>
      <w:r>
        <w:rPr>
          <w:b/>
        </w:rPr>
        <w:t>Remove the 24-month cost deadline for prior active duty military service only.</w:t>
      </w:r>
      <w:r>
        <w:t xml:space="preserve"> A veteran may purchase up to four years of military service credit at the approximate normal cost at any time while in service. (Leave the 24-month rule in place for every other category of purchasable service — educational leave, FMLA leave, out-of-state service, and the rest. This keeps the bill narrow and the fiscal note small.)</w:t>
      </w:r>
    </w:p>
    <w:p>
      <w:pPr>
        <w:spacing w:after="60"/>
        <w:ind w:left="432" w:hanging="432"/>
      </w:pPr>
      <w:r>
        <w:rPr>
          <w:b/>
        </w:rPr>
        <w:t>2.</w:t>
        <w:tab/>
      </w:r>
      <w:r>
        <w:rPr>
          <w:b/>
        </w:rPr>
        <w:t>Let veterans pay over up to 60 months</w:t>
      </w:r>
      <w:r>
        <w:t xml:space="preserve"> through payroll deduction, instead of being capped at 12 months inside a closing window. This fixes the cash-flow problem that is the real barrier, and it costs the retirement system nothing.</w:t>
      </w:r>
    </w:p>
    <w:p>
      <w:pPr>
        <w:spacing w:after="60"/>
        <w:ind w:left="432" w:hanging="432"/>
      </w:pPr>
      <w:r>
        <w:rPr>
          <w:b/>
        </w:rPr>
        <w:t>3.</w:t>
        <w:tab/>
      </w:r>
      <w:r>
        <w:rPr>
          <w:b/>
        </w:rPr>
        <w:t>Give the VRS Board two guardrails</w:t>
      </w:r>
      <w:r>
        <w:t xml:space="preserve"> against eve-of-retirement purchases: authority to set a graded normal-cost schedule for military purchases </w:t>
      </w:r>
      <w:r>
        <w:rPr>
          <w:b/>
        </w:rPr>
        <w:t>varying by the member's age and creditable service — or equivalently by distance from unreduced retirement eligibility, not by age alone</w:t>
      </w:r>
      <w:r>
        <w:t xml:space="preserve"> — and authority to require that a purchase be completed at least 12 months before retirement. The wording of the first guardrail is the difference between removing 15% of the exposure and being able to remove all of it; see the fiscal risk discussion above. </w:t>
      </w:r>
      <w:r>
        <w:rPr>
          <w:b/>
        </w:rPr>
        <w:t>Applied in Annex A v1.1, § 2.2, with the counsel analysis at § 2.5.</w:t>
      </w:r>
    </w:p>
    <w:p>
      <w:r>
        <w:rPr>
          <w:b/>
        </w:rPr>
        <w:t>No regulatory change is required.</w:t>
      </w:r>
      <w:r>
        <w:t xml:space="preserve"> The pricing rule is in statute, so it takes a bill. Once the statute is amended, the VRS Board already has authority to set the applicable normal-cost rate "in its sole discretion," so VRS can implement the rate schedule administratively.</w:t>
      </w:r>
    </w:p>
    <w:p>
      <w:r>
        <w:t xml:space="preserve">Draft bill language is in </w:t>
      </w:r>
      <w:r>
        <w:rPr>
          <w:b/>
        </w:rPr>
        <w:t>Annex A</w:t>
      </w:r>
      <w:r>
        <w:t>, ready for the Division of Legislative Services.</w:t>
      </w:r>
    </w:p>
    <w:p>
      <w:pPr>
        <w:pStyle w:val="Heading3"/>
      </w:pPr>
      <w:r>
        <w:t>Which price should replace the cliff — a decision the JLC should take knowingly</w:t>
      </w:r>
    </w:p>
    <w:p>
      <w:r>
        <w:t xml:space="preserve">Removing the deadline leaves open what the veteran then pays. Three structures were modelled (Annex 2 Closure, FM-4 § 4.3). They differ </w:t>
      </w:r>
      <w:r>
        <w:rPr>
          <w:b/>
        </w:rPr>
        <w:t>only in the member's price</w:t>
      </w:r>
      <w:r>
        <w:t>, never in the value of the credit, so net cost to the Fund is simply benefit value minus member price.</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Structure</w:t>
            </w:r>
          </w:p>
        </w:tc>
        <w:tc>
          <w:tcPr>
            <w:tcW w:type="dxa" w:w="2880"/>
          </w:tcPr>
          <w:p>
            <w:pPr>
              <w:spacing w:before="20" w:after="20"/>
              <w:jc w:val="left"/>
            </w:pPr>
            <w:r>
              <w:rPr>
                <w:b/>
                <w:sz w:val="17"/>
              </w:rPr>
              <w:t>How the price is set</w:t>
            </w:r>
          </w:p>
        </w:tc>
        <w:tc>
          <w:tcPr>
            <w:tcW w:type="dxa" w:w="2880"/>
          </w:tcPr>
          <w:p>
            <w:pPr>
              <w:spacing w:before="20" w:after="20"/>
              <w:jc w:val="left"/>
            </w:pPr>
            <w:r>
              <w:rPr>
                <w:b/>
                <w:sz w:val="17"/>
              </w:rPr>
              <w:t>Where it comes from</w:t>
            </w:r>
          </w:p>
        </w:tc>
      </w:tr>
      <w:tr>
        <w:tc>
          <w:tcPr>
            <w:tcW w:type="dxa" w:w="2880"/>
          </w:tcPr>
          <w:p>
            <w:pPr>
              <w:spacing w:before="20" w:after="20"/>
              <w:jc w:val="left"/>
            </w:pPr>
            <w:r>
              <w:rPr>
                <w:b/>
                <w:sz w:val="17"/>
              </w:rPr>
              <w:t>A-1</w:t>
            </w:r>
          </w:p>
        </w:tc>
        <w:tc>
          <w:tcPr>
            <w:tcW w:type="dxa" w:w="2880"/>
          </w:tcPr>
          <w:p>
            <w:pPr>
              <w:spacing w:before="20" w:after="20"/>
              <w:jc w:val="left"/>
            </w:pPr>
            <w:r>
              <w:rPr>
                <w:sz w:val="17"/>
              </w:rPr>
              <w:t xml:space="preserve">Combined member + employer normal cost rate at entry, applied to early-career pay, carried forward at a </w:t>
            </w:r>
            <w:r>
              <w:rPr>
                <w:b/>
                <w:sz w:val="17"/>
              </w:rPr>
              <w:t>statutory interest rate</w:t>
            </w:r>
          </w:p>
        </w:tc>
        <w:tc>
          <w:tcPr>
            <w:tcW w:type="dxa" w:w="2880"/>
          </w:tcPr>
          <w:p>
            <w:pPr>
              <w:spacing w:before="20" w:after="20"/>
              <w:jc w:val="left"/>
            </w:pPr>
            <w:r>
              <w:rPr>
                <w:sz w:val="17"/>
              </w:rPr>
              <w:t>Pennsylvania model</w:t>
            </w:r>
          </w:p>
        </w:tc>
      </w:tr>
      <w:tr>
        <w:tc>
          <w:tcPr>
            <w:tcW w:type="dxa" w:w="2880"/>
          </w:tcPr>
          <w:p>
            <w:pPr>
              <w:spacing w:before="20" w:after="20"/>
              <w:jc w:val="left"/>
            </w:pPr>
            <w:r>
              <w:rPr>
                <w:b/>
                <w:sz w:val="17"/>
              </w:rPr>
              <w:t>A-2</w:t>
            </w:r>
          </w:p>
        </w:tc>
        <w:tc>
          <w:tcPr>
            <w:tcW w:type="dxa" w:w="2880"/>
          </w:tcPr>
          <w:p>
            <w:pPr>
              <w:spacing w:before="20" w:after="20"/>
              <w:jc w:val="left"/>
            </w:pPr>
            <w:r>
              <w:rPr>
                <w:sz w:val="17"/>
              </w:rPr>
              <w:t>A flat percentage of recent compensation — 6% in the source statute</w:t>
            </w:r>
          </w:p>
        </w:tc>
        <w:tc>
          <w:tcPr>
            <w:tcW w:type="dxa" w:w="2880"/>
          </w:tcPr>
          <w:p>
            <w:pPr>
              <w:spacing w:before="20" w:after="20"/>
              <w:jc w:val="left"/>
            </w:pPr>
            <w:r>
              <w:rPr>
                <w:sz w:val="17"/>
              </w:rPr>
              <w:t>New York model (N.Y. Ret. &amp; Soc. Sec. Law § 1000)</w:t>
            </w:r>
          </w:p>
        </w:tc>
      </w:tr>
      <w:tr>
        <w:tc>
          <w:tcPr>
            <w:tcW w:type="dxa" w:w="2880"/>
          </w:tcPr>
          <w:p>
            <w:pPr>
              <w:spacing w:before="20" w:after="20"/>
              <w:jc w:val="left"/>
            </w:pPr>
            <w:r>
              <w:rPr>
                <w:b/>
                <w:sz w:val="17"/>
              </w:rPr>
              <w:t>A-3</w:t>
            </w:r>
          </w:p>
        </w:tc>
        <w:tc>
          <w:tcPr>
            <w:tcW w:type="dxa" w:w="2880"/>
          </w:tcPr>
          <w:p>
            <w:pPr>
              <w:spacing w:before="20" w:after="20"/>
              <w:jc w:val="left"/>
            </w:pPr>
            <w:r>
              <w:rPr>
                <w:sz w:val="17"/>
              </w:rPr>
              <w:t xml:space="preserve">The published </w:t>
            </w:r>
            <w:r>
              <w:rPr>
                <w:b/>
                <w:sz w:val="17"/>
              </w:rPr>
              <w:t>approximate normal cost</w:t>
            </w:r>
            <w:r>
              <w:rPr>
                <w:sz w:val="17"/>
              </w:rPr>
              <w:t xml:space="preserve"> rate for the member's plan and rate group</w:t>
            </w:r>
          </w:p>
        </w:tc>
        <w:tc>
          <w:tcPr>
            <w:tcW w:type="dxa" w:w="2880"/>
          </w:tcPr>
          <w:p>
            <w:pPr>
              <w:spacing w:before="20" w:after="20"/>
              <w:jc w:val="left"/>
            </w:pPr>
            <w:r>
              <w:rPr>
                <w:sz w:val="17"/>
              </w:rPr>
              <w:t xml:space="preserve">Virginia's existing § 51.1-142.2 price. </w:t>
            </w:r>
            <w:r>
              <w:rPr>
                <w:b/>
                <w:sz w:val="17"/>
              </w:rPr>
              <w:t>This is what the draft bill does.</w:t>
            </w:r>
          </w:p>
        </w:tc>
      </w:tr>
    </w:tbl>
    <w:p>
      <w:pPr>
        <w:spacing w:before="0" w:after="0" w:line="80" w:lineRule="exact"/>
      </w:pPr>
      <w:r>
        <w:rPr>
          <w:sz w:val="8"/>
        </w:rPr>
      </w:r>
    </w:p>
    <w:p>
      <w:r>
        <w:rPr>
          <w:b/>
        </w:rPr>
        <w:t>A-1's entire character turns on the statutory interest rate, which is a drafting choice and not an actuarial one.</w:t>
      </w:r>
      <w:r>
        <w:t xml:space="preserve"> For the Plan 1 profile, at Pennsylvania's </w:t>
      </w:r>
      <w:r>
        <w:rPr>
          <w:b/>
        </w:rPr>
        <w:t>4%</w:t>
      </w:r>
      <w:r>
        <w:t xml:space="preserve"> rate A-1 costs the veteran </w:t>
      </w:r>
      <w:r>
        <w:rPr>
          <w:b/>
        </w:rPr>
        <w:t>$41,891</w:t>
      </w:r>
      <w:r>
        <w:t xml:space="preserve"> — </w:t>
      </w:r>
      <w:r>
        <w:rPr>
          <w:i/>
        </w:rPr>
        <w:t>cheaper</w:t>
      </w:r>
      <w:r>
        <w:t xml:space="preserve"> than A-3's $45,850. At VRS's </w:t>
      </w:r>
      <w:r>
        <w:rPr>
          <w:b/>
        </w:rPr>
        <w:t>6.75%</w:t>
      </w:r>
      <w:r>
        <w:t xml:space="preserve"> assumed return it costs </w:t>
      </w:r>
      <w:r>
        <w:rPr>
          <w:b/>
        </w:rPr>
        <w:t>$80,442</w:t>
      </w:r>
      <w:r>
        <w:t xml:space="preserve">, nearly double A-3. And for both Hybrid profiles at 6.75%, A-1's price </w:t>
      </w:r>
      <w:r>
        <w:rPr>
          <w:b/>
        </w:rPr>
        <w:t>exceeds the entire modelled value of the credit</w:t>
      </w:r>
      <w:r>
        <w:t xml:space="preserve"> — the net cost to the Fund goes negative, meaning the Commonwealth charges the veteran more than the benefit is worth.</w:t>
      </w:r>
    </w:p>
    <w:p>
      <w:r>
        <w:t xml:space="preserve">This matters because counsel ranked A-1 preferred on fiscal-note grounds. That ranking holds </w:t>
      </w:r>
      <w:r>
        <w:rPr>
          <w:b/>
        </w:rPr>
        <w:t>only at the high interest rate</w:t>
      </w:r>
      <w:r>
        <w:t xml:space="preserve"> — and the high interest rate is exactly what makes A-1 unaffordable to the long-service veterans this bill exists to help. The JLC should see that trade-off before it picks a structure, not after.</w:t>
      </w:r>
    </w:p>
    <w:p>
      <w:r>
        <w:rPr>
          <w:b/>
        </w:rPr>
        <w:t>A-2 is cheapest for the member in every case and therefore costliest to the Fund in every case</w:t>
      </w:r>
      <w:r>
        <w:t>, and its price is flat in age, which makes it the structure most exposed to adverse selection. New York puts the remainder expressly on participating employers (§ 1000(6)); any Virginia version would need the same sentence, and for political subdivisions that sentence is what the Commission on Local Government will read first.</w:t>
      </w:r>
    </w:p>
    <w:p>
      <w:r>
        <w:rPr>
          <w:b/>
        </w:rPr>
        <w:t>A-3 also has an administrative advantage worth quoting.</w:t>
      </w:r>
      <w:r>
        <w:t xml:space="preserve"> Every rate group — non-hazardous, hazardous duty, the alternate hazardous duty option, and judicial — </w:t>
      </w:r>
      <w:r>
        <w:rPr>
          <w:b/>
        </w:rPr>
        <w:t>already has a Board-adopted approximate normal cost rate</w:t>
      </w:r>
      <w:r>
        <w:t xml:space="preserve">. Striking the cliff for § 51.1-142.2 B 2 service simply extends an existing published rate in time. A-3 requires </w:t>
      </w:r>
      <w:r>
        <w:rPr>
          <w:b/>
        </w:rPr>
        <w:t>no new rate-setting by the Board and no new actuarial product</w:t>
      </w:r>
      <w:r>
        <w:t>. A-1 and A-2 both require the General Assembly to invent a price that does not currently exist in Virginia law.</w:t>
      </w:r>
    </w:p>
    <w:p>
      <w:pPr>
        <w:spacing w:before="120" w:after="120"/>
        <w:ind w:left="480"/>
      </w:pPr>
      <w:r>
        <w:rPr>
          <w:b/>
          <w:i/>
          <w:color w:val="444444"/>
          <w:sz w:val="20"/>
        </w:rPr>
        <w:t>Drafting note for the Division of Legislative Services.</w:t>
      </w:r>
      <w:r>
        <w:rPr>
          <w:i/>
          <w:color w:val="444444"/>
          <w:sz w:val="20"/>
        </w:rPr>
        <w:t xml:space="preserve"> The </w:t>
      </w:r>
      <w:r>
        <w:rPr>
          <w:b/>
          <w:i/>
          <w:color w:val="444444"/>
          <w:sz w:val="20"/>
        </w:rPr>
        <w:t>10.01%</w:t>
      </w:r>
      <w:r>
        <w:rPr>
          <w:i/>
          <w:color w:val="444444"/>
          <w:sz w:val="20"/>
        </w:rPr>
        <w:t xml:space="preserve"> alternate hazardous duty option is published as a stand-alone rate with </w:t>
      </w:r>
      <w:r>
        <w:rPr>
          <w:b/>
          <w:i/>
          <w:color w:val="444444"/>
          <w:sz w:val="20"/>
        </w:rPr>
        <w:t>no plan column at all</w:t>
      </w:r>
      <w:r>
        <w:rPr>
          <w:i/>
          <w:color w:val="444444"/>
          <w:sz w:val="20"/>
        </w:rPr>
        <w:t xml:space="preserve">, available only to localities that have elected the option. Drafting A-3 by reference to "the approximate normal cost of the retirement plan under which the member is covered" may therefore not cleanly reach it. See Annex 2 Closure, FM-3. </w:t>
      </w:r>
      <w:r>
        <w:rPr>
          <w:b/>
          <w:i/>
          <w:color w:val="444444"/>
          <w:sz w:val="20"/>
        </w:rPr>
        <w:t>Addressed in Annex A v1.1, § 2.6:</w:t>
      </w:r>
      <w:r>
        <w:rPr>
          <w:i/>
          <w:color w:val="444444"/>
          <w:sz w:val="20"/>
        </w:rPr>
        <w:t xml:space="preserve"> the graded rate schedule for military purchases may vary by the benefit coverage applicable to the member's position, including "the benefits permitted by § 51.1-138," which reaches the alternate option. The same pre-existing mismatch for the </w:t>
      </w:r>
      <w:r>
        <w:rPr>
          <w:i/>
          <w:color w:val="444444"/>
          <w:sz w:val="20"/>
        </w:rPr>
        <w:t>other</w:t>
      </w:r>
      <w:r>
        <w:rPr>
          <w:i/>
          <w:color w:val="444444"/>
          <w:sz w:val="20"/>
        </w:rPr>
        <w:t xml:space="preserve"> purchase categories is deliberately left unamended — curing it generally would widen the bill — and is flagged to Legislative Services as Annex A Q13.</w:t>
      </w:r>
    </w:p>
    <w:p>
      <w:pPr>
        <w:pStyle w:val="Heading3"/>
      </w:pPr>
      <w:r>
        <w:t>If the full fix cannot pass</w:t>
      </w:r>
    </w:p>
    <w:p>
      <w:r>
        <w:t>Two fallbacks, in order of preference:</w:t>
      </w:r>
    </w:p>
    <w:p>
      <w:pPr>
        <w:pStyle w:val="ListBullet"/>
      </w:pPr>
      <w:r>
        <w:rPr>
          <w:b/>
        </w:rPr>
        <w:t>Fallback 1 — payment flexibility only (item 2 alone). Zero actuarial cost.</w:t>
      </w:r>
      <w:r>
        <w:t xml:space="preserve"> Keep the actuarial price, but let veterans pay it over 60 months at any point in their career. This removes the cash-flow barrier with </w:t>
      </w:r>
      <w:r>
        <w:rPr>
          <w:i/>
        </w:rPr>
        <w:t>no</w:t>
      </w:r>
      <w:r>
        <w:t xml:space="preserve"> unfunded liability — only administrative cost. It is extremely hard to oppose on fiscal grounds and makes a good amendment if the price fix draws a negative impact statement.</w:t>
      </w:r>
    </w:p>
    <w:p>
      <w:pPr>
        <w:pStyle w:val="ListBullet"/>
      </w:pPr>
      <w:r>
        <w:rPr>
          <w:b/>
        </w:rPr>
        <w:t>Fallback 2 — a longer window instead of no window.</w:t>
      </w:r>
      <w:r>
        <w:t xml:space="preserve"> Extend the military window from 24 to 60 months, and give current employees a one-time 24-month open-enrollment window after the effective date. Caps the exposure while still reaching most veterans.</w:t>
      </w:r>
    </w:p>
    <w:p>
      <w:r>
        <w:rPr>
          <w:b/>
        </w:rPr>
        <w:t>Not recommended:</w:t>
      </w:r>
      <w:r>
        <w:t xml:space="preserve"> a free "eligibility-only" bridge credit that counts toward retirement eligibility but not the pension amount. It sounds cheaper, but it is not — the veteran pays nothing, so the plan absorbs the whole cost — and it requires inventing a new category of service credit, which multiplies the drafting risk and the chance of unintended spillover. Analysis in Annex A, § 6.</w:t>
      </w:r>
    </w:p>
    <w:p>
      <w:pPr>
        <w:pStyle w:val="Heading3"/>
      </w:pPr>
      <w:r>
        <w:t>Next steps for JLCVSO</w:t>
      </w:r>
    </w:p>
    <w:p>
      <w:pPr>
        <w:spacing w:after="60"/>
        <w:ind w:left="432" w:hanging="432"/>
      </w:pPr>
      <w:r>
        <w:rPr>
          <w:b/>
        </w:rPr>
        <w:t>1.</w:t>
        <w:tab/>
      </w:r>
      <w:r>
        <w:rPr>
          <w:strike/>
        </w:rPr>
        <w:t>Confirm the scope decision.</w:t>
      </w:r>
      <w:r>
        <w:t xml:space="preserve"> </w:t>
      </w:r>
      <w:r>
        <w:rPr>
          <w:b/>
        </w:rPr>
        <w:t>Decided October 24, 2026: all VRS members, no local opt-in, with immediate access on the effective date.</w:t>
      </w:r>
      <w:r>
        <w:t xml:space="preserve"> The draft already does both, so no redraft is needed. </w:t>
      </w:r>
      <w:r>
        <w:rPr>
          <w:strike/>
        </w:rPr>
        <w:t>The cost figures must be re-scoped before filing.</w:t>
      </w:r>
      <w:r>
        <w:t xml:space="preserve"> </w:t>
      </w:r>
      <w:r>
        <w:rPr>
          <w:b/>
        </w:rPr>
        <w:t>Done — the figures above are the re-scoped figures.</w:t>
      </w:r>
      <w:r>
        <w:t xml:space="preserve"> One consequence remains to prepare for: political subdivisions bear the cost through their own § 51.1-145 employer rates, so the Commission on Local Government will receive the § 30-19.1:7 impact statement and may comment adversely.</w:t>
      </w:r>
    </w:p>
    <w:p>
      <w:pPr>
        <w:spacing w:after="60"/>
        <w:ind w:left="432" w:hanging="432"/>
      </w:pPr>
      <w:r>
        <w:rPr>
          <w:b/>
        </w:rPr>
        <w:t>2.</w:t>
        <w:tab/>
      </w:r>
      <w:r>
        <w:rPr>
          <w:b/>
        </w:rPr>
        <w:t>Decide how the cost is presented to legislators.</w:t>
      </w:r>
      <w:r>
        <w:t xml:space="preserve"> The present-value liability is in the tens of millions while the general fund ask is, correctly, $0. Both statements are true; which one leads is a political judgment, not a modelling one. </w:t>
      </w:r>
      <w:r>
        <w:rPr>
          <w:b/>
        </w:rPr>
        <w:t>This is an open board decision and the printed one-page leave-behind is on hold until it is taken.</w:t>
      </w:r>
    </w:p>
    <w:p>
      <w:pPr>
        <w:spacing w:after="60"/>
        <w:ind w:left="432" w:hanging="432"/>
      </w:pPr>
      <w:r>
        <w:rPr>
          <w:b/>
        </w:rPr>
        <w:t>3.</w:t>
        <w:tab/>
      </w:r>
      <w:r>
        <w:rPr>
          <w:b/>
        </w:rPr>
        <w:t>Pick a price structure</w:t>
      </w:r>
      <w:r>
        <w:t xml:space="preserve"> — A-1, A-2 or A-3 — with the interest-rate trade-off above in view. The draft bill currently implements A-3.</w:t>
      </w:r>
    </w:p>
    <w:p>
      <w:pPr>
        <w:spacing w:after="60"/>
        <w:ind w:left="432" w:hanging="432"/>
      </w:pPr>
      <w:r>
        <w:rPr>
          <w:b/>
        </w:rPr>
        <w:t>4.</w:t>
        <w:tab/>
      </w:r>
      <w:r>
        <w:rPr>
          <w:b/>
        </w:rPr>
        <w:t>Pre-brief VRS staff</w:t>
      </w:r>
      <w:r>
        <w:t xml:space="preserve"> and request a preliminary cost estimate before filing. The Board's impact statement under § 30-19.1:7 will shape the bill's fate more than anything else. Annex 2 Closure, FM-1 § 1.7, contains a drafted eight-item data request ready to send; item 5 (historical take-up) is the single input that would most narrow the cost range.</w:t>
      </w:r>
    </w:p>
    <w:p>
      <w:pPr>
        <w:spacing w:after="60"/>
        <w:ind w:left="432" w:hanging="432"/>
      </w:pPr>
      <w:r>
        <w:rPr>
          <w:b/>
        </w:rPr>
        <w:t>5.</w:t>
        <w:tab/>
      </w:r>
      <w:r>
        <w:rPr>
          <w:b/>
        </w:rPr>
        <w:t>Ask DPB for the Standards of Quality composite share</w:t>
      </w:r>
      <w:r>
        <w:t xml:space="preserve"> so the teacher line of the exposure table can be split between the Commonwealth and localities. It is a budget input, not a VRS one, and this brief deliberately does not assume it.</w:t>
      </w:r>
    </w:p>
    <w:p>
      <w:pPr>
        <w:spacing w:after="60"/>
        <w:ind w:left="432" w:hanging="432"/>
      </w:pPr>
      <w:r>
        <w:rPr>
          <w:b/>
        </w:rPr>
        <w:t>6.</w:t>
        <w:tab/>
      </w:r>
      <w:r>
        <w:rPr>
          <w:b/>
        </w:rPr>
        <w:t>Brief the Commission on Local Government</w:t>
      </w:r>
      <w:r>
        <w:t xml:space="preserve"> before filing. The political-subdivision line is the largest of the three and arrives without a local opt-in.</w:t>
      </w:r>
    </w:p>
    <w:p>
      <w:pPr>
        <w:spacing w:after="60"/>
        <w:ind w:left="432" w:hanging="432"/>
      </w:pPr>
      <w:r>
        <w:rPr>
          <w:b/>
        </w:rPr>
        <w:t>7.</w:t>
        <w:tab/>
      </w:r>
      <w:r>
        <w:rPr>
          <w:b/>
        </w:rPr>
        <w:t>Identify patrons</w:t>
      </w:r>
      <w:r>
        <w:t xml:space="preserve"> on House Appropriations and Senate Finance &amp; Appropriations, plus the chair of the Military and Veterans Caucus.</w:t>
      </w:r>
    </w:p>
    <w:p>
      <w:pPr>
        <w:spacing w:after="60"/>
        <w:ind w:left="432" w:hanging="432"/>
      </w:pPr>
      <w:r>
        <w:rPr>
          <w:b/>
        </w:rPr>
        <w:t>8.</w:t>
        <w:tab/>
      </w:r>
      <w:r>
        <w:rPr>
          <w:b/>
        </w:rPr>
        <w:t>Send Annex A to the Division of Legislative Services</w:t>
      </w:r>
      <w:r>
        <w:t xml:space="preserve"> for formal drafting. The rate-schedule authority has been amended from "age" to "age and creditable service" — </w:t>
      </w:r>
      <w:r>
        <w:rPr>
          <w:b/>
        </w:rPr>
        <w:t>Annex A v1.1, § 2.2, with the counsel analysis at § 2.5</w:t>
      </w:r>
      <w:r>
        <w:t xml:space="preserve"> — and the 10.01% alternate hazardous duty note above is now addressed in the draft at § 2.6. Transmit </w:t>
      </w:r>
      <w:r>
        <w:rPr>
          <w:b/>
        </w:rPr>
        <w:t>v1.1</w:t>
      </w:r>
      <w:r>
        <w:t>; it does not need to wait for the VRS actuarial figures or the red-team review.</w:t>
      </w:r>
    </w:p>
    <w:p>
      <w:pPr>
        <w:jc w:val="center"/>
      </w:pPr>
      <w:r>
        <w:rPr>
          <w:color w:val="909090"/>
          <w:sz w:val="18"/>
        </w:rPr>
        <w:t>* * *</w:t>
      </w:r>
    </w:p>
    <w:p>
      <w:pPr>
        <w:pStyle w:val="Heading3"/>
      </w:pPr>
      <w:r>
        <w:t>Sources</w:t>
      </w:r>
    </w:p>
    <w:p>
      <w:r>
        <w:t>All legal citations verified against the Code of Virginia on October 24, 2026.</w:t>
      </w:r>
    </w:p>
    <w:p>
      <w:pPr>
        <w:pStyle w:val="ListBullet"/>
      </w:pPr>
      <w:hyperlink r:id="rId11">
        <w:r>
          <w:rPr>
            <w:rFonts w:ascii="Calibri" w:hAnsi="Calibri"/>
            <w:color w:val="1A4F8A"/>
            <w:u w:val="single"/>
          </w:rPr>
          <w:t xml:space="preserve">§ 51.1-142.2, Prior service or membership credit for certain members</w:t>
        </w:r>
      </w:hyperlink>
      <w:r>
        <w:t xml:space="preserve"> — military purchase right, 4-year cap, 180-day rule, 24-month cost window</w:t>
      </w:r>
    </w:p>
    <w:p>
      <w:pPr>
        <w:pStyle w:val="ListBullet"/>
      </w:pPr>
      <w:hyperlink r:id="rId12">
        <w:r>
          <w:rPr>
            <w:rFonts w:ascii="Calibri" w:hAnsi="Calibri"/>
            <w:color w:val="1A4F8A"/>
            <w:u w:val="single"/>
          </w:rPr>
          <w:t xml:space="preserve">§ 51.1-124.3, Definitions</w:t>
        </w:r>
      </w:hyperlink>
      <w:r>
        <w:t xml:space="preserve"> — "creditable service," "normal retirement date"</w:t>
      </w:r>
    </w:p>
    <w:p>
      <w:pPr>
        <w:pStyle w:val="ListBullet"/>
      </w:pPr>
      <w:hyperlink r:id="rId13">
        <w:r>
          <w:rPr>
            <w:rFonts w:ascii="Calibri" w:hAnsi="Calibri"/>
            <w:color w:val="1A4F8A"/>
            <w:u w:val="single"/>
          </w:rPr>
          <w:t xml:space="preserve">§ 51.1-153, Service retirement</w:t>
        </w:r>
      </w:hyperlink>
      <w:r>
        <w:t xml:space="preserve"> — retirement eligibility, Rule of 90</w:t>
      </w:r>
    </w:p>
    <w:p>
      <w:pPr>
        <w:pStyle w:val="ListBullet"/>
      </w:pPr>
      <w:hyperlink r:id="rId14">
        <w:r>
          <w:rPr>
            <w:rFonts w:ascii="Calibri" w:hAnsi="Calibri"/>
            <w:color w:val="1A4F8A"/>
            <w:u w:val="single"/>
          </w:rPr>
          <w:t xml:space="preserve">§ 51.1-155, Service retirement allowance</w:t>
        </w:r>
      </w:hyperlink>
      <w:r>
        <w:t xml:space="preserve"> — pension formula</w:t>
      </w:r>
    </w:p>
    <w:p>
      <w:pPr>
        <w:pStyle w:val="ListBullet"/>
      </w:pPr>
      <w:hyperlink r:id="rId15">
        <w:r>
          <w:rPr>
            <w:rFonts w:ascii="Calibri" w:hAnsi="Calibri"/>
            <w:color w:val="1A4F8A"/>
            <w:u w:val="single"/>
          </w:rPr>
          <w:t xml:space="preserve">§ 51.1-169, Hybrid retirement program</w:t>
        </w:r>
      </w:hyperlink>
      <w:r>
        <w:t xml:space="preserve"> — 1.0% multiplier</w:t>
      </w:r>
    </w:p>
    <w:p>
      <w:pPr>
        <w:pStyle w:val="ListBullet"/>
      </w:pPr>
      <w:hyperlink r:id="rId16">
        <w:r>
          <w:rPr>
            <w:rFonts w:ascii="Calibri" w:hAnsi="Calibri"/>
            <w:color w:val="1A4F8A"/>
            <w:u w:val="single"/>
          </w:rPr>
          <w:t xml:space="preserve">§ 51.1-166, Post-retirement supplements</w:t>
        </w:r>
      </w:hyperlink>
      <w:r>
        <w:t xml:space="preserve"> — COLA</w:t>
      </w:r>
    </w:p>
    <w:p>
      <w:pPr>
        <w:pStyle w:val="ListBullet"/>
      </w:pPr>
      <w:hyperlink r:id="rId17">
        <w:r>
          <w:rPr>
            <w:rFonts w:ascii="Calibri" w:hAnsi="Calibri"/>
            <w:color w:val="1A4F8A"/>
            <w:u w:val="single"/>
          </w:rPr>
          <w:t xml:space="preserve">§ 51.1-1400, Health insurance credits for retired state employees</w:t>
        </w:r>
      </w:hyperlink>
      <w:r>
        <w:t xml:space="preserve"> — 15-year threshold, $4.25/month per year</w:t>
      </w:r>
    </w:p>
    <w:p>
      <w:pPr>
        <w:pStyle w:val="ListBullet"/>
      </w:pPr>
      <w:hyperlink r:id="rId18">
        <w:r>
          <w:rPr>
            <w:rFonts w:ascii="Calibri" w:hAnsi="Calibri"/>
            <w:color w:val="1A4F8A"/>
            <w:u w:val="single"/>
          </w:rPr>
          <w:t xml:space="preserve">§ 51.1-165.01, Partial lump-sum option (PLOP)</w:t>
        </w:r>
      </w:hyperlink>
    </w:p>
    <w:p>
      <w:pPr>
        <w:pStyle w:val="ListBullet"/>
      </w:pPr>
      <w:hyperlink r:id="rId19">
        <w:r>
          <w:rPr>
            <w:rFonts w:ascii="Calibri" w:hAnsi="Calibri"/>
            <w:color w:val="1A4F8A"/>
            <w:u w:val="single"/>
          </w:rPr>
          <w:t xml:space="preserve">§ 2.2-2903, Preference in employment for veterans</w:t>
        </w:r>
      </w:hyperlink>
    </w:p>
    <w:p>
      <w:pPr>
        <w:pStyle w:val="ListBullet"/>
      </w:pPr>
      <w:hyperlink r:id="rId20">
        <w:r>
          <w:rPr>
            <w:rFonts w:ascii="Calibri" w:hAnsi="Calibri"/>
            <w:color w:val="1A4F8A"/>
            <w:u w:val="single"/>
          </w:rPr>
          <w:t xml:space="preserve">§ 30-19.1:7, Bills related to the Virginia Retirement System; impact statements</w:t>
        </w:r>
      </w:hyperlink>
    </w:p>
    <w:p>
      <w:pPr>
        <w:pStyle w:val="ListBullet"/>
      </w:pPr>
      <w:hyperlink r:id="rId21">
        <w:r>
          <w:rPr>
            <w:rFonts w:ascii="Calibri" w:hAnsi="Calibri"/>
            <w:color w:val="1A4F8A"/>
            <w:u w:val="single"/>
          </w:rPr>
          <w:t xml:space="preserve">VRS, </w:t>
        </w:r>
      </w:hyperlink>
      <w:hyperlink r:id="rId21">
        <w:r>
          <w:rPr>
            <w:rFonts w:ascii="Calibri" w:hAnsi="Calibri"/>
            <w:color w:val="1A4F8A"/>
            <w:u w:val="single"/>
            <w:i/>
          </w:rPr>
          <w:t xml:space="preserve">Purchase of Prior Service Cost Rates</w:t>
        </w:r>
      </w:hyperlink>
      <w:r>
        <w:t xml:space="preserve"> (rates effective July 1, 2025; chart updated July 1, 2026) — 6.68% / 10.74% / 12.50%</w:t>
      </w:r>
    </w:p>
    <w:p>
      <w:pPr>
        <w:pStyle w:val="ListBullet"/>
      </w:pPr>
      <w:hyperlink r:id="rId22">
        <w:r>
          <w:rPr>
            <w:rFonts w:ascii="Calibri" w:hAnsi="Calibri"/>
            <w:color w:val="1A4F8A"/>
            <w:u w:val="single"/>
          </w:rPr>
          <w:t xml:space="preserve">VRS Employer Manual, </w:t>
        </w:r>
      </w:hyperlink>
      <w:hyperlink r:id="rId22">
        <w:r>
          <w:rPr>
            <w:rFonts w:ascii="Calibri" w:hAnsi="Calibri"/>
            <w:color w:val="1A4F8A"/>
            <w:u w:val="single"/>
            <w:i/>
          </w:rPr>
          <w:t xml:space="preserve">Purchase of Prior Service Credit</w:t>
        </w:r>
      </w:hyperlink>
      <w:r>
        <w:t xml:space="preserve"> (July 2026), pp. 5–6, 11–12 — military purchase rules, cost window, definition of actuarial equivalent, payment agreement limits</w:t>
      </w:r>
    </w:p>
    <w:p>
      <w:pPr>
        <w:pStyle w:val="ListBullet"/>
      </w:pPr>
      <w:hyperlink r:id="rId23">
        <w:r>
          <w:rPr>
            <w:rFonts w:ascii="Calibri" w:hAnsi="Calibri"/>
            <w:color w:val="1A4F8A"/>
            <w:u w:val="single"/>
          </w:rPr>
          <w:t xml:space="preserve">DHRM, </w:t>
        </w:r>
      </w:hyperlink>
      <w:hyperlink r:id="rId23">
        <w:r>
          <w:rPr>
            <w:rFonts w:ascii="Calibri" w:hAnsi="Calibri"/>
            <w:color w:val="1A4F8A"/>
            <w:u w:val="single"/>
            <w:i/>
          </w:rPr>
          <w:t xml:space="preserve">State Employee Workforce, Compensation, Health Benefits</w:t>
        </w:r>
      </w:hyperlink>
      <w:r>
        <w:t>, presentation to the Senate Finance &amp; Appropriations Committee, January 21, 2025 — slide 6 (56,917 classified employees), slide 8 (6% veterans; average age 46.7; average service 10.3 years; average new-hire age 37.7), slide 10 (16,088 recruitments, 64% new hires/rehires), slide 14 ($69,865 mean salary)</w:t>
      </w:r>
    </w:p>
    <w:p>
      <w:r>
        <w:rPr>
          <w:b/>
        </w:rPr>
        <w:t>Added at v1.2 — the re-scoped cost basis.</w:t>
      </w:r>
      <w:r>
        <w:t xml:space="preserve"> Full citations, page and table references in </w:t>
      </w:r>
      <w:hyperlink r:id="rId10">
        <w:r>
          <w:rPr>
            <w:rFonts w:ascii="Calibri" w:hAnsi="Calibri"/>
            <w:color w:val="1A4F8A"/>
            <w:u w:val="single"/>
          </w:rPr>
          <w:t xml:space="preserve">Annex 2 Closure</w:t>
        </w:r>
      </w:hyperlink>
      <w:r>
        <w:t>, "Sources added by this annex."</w:t>
      </w:r>
    </w:p>
    <w:p>
      <w:pPr>
        <w:pStyle w:val="ListBullet"/>
      </w:pPr>
      <w:hyperlink r:id="rId24">
        <w:r>
          <w:rPr>
            <w:rFonts w:ascii="Calibri" w:hAnsi="Calibri"/>
            <w:color w:val="1A4F8A"/>
            <w:u w:val="single"/>
          </w:rPr>
          <w:t xml:space="preserve">VRS, </w:t>
        </w:r>
      </w:hyperlink>
      <w:hyperlink r:id="rId24">
        <w:r>
          <w:rPr>
            <w:rFonts w:ascii="Calibri" w:hAnsi="Calibri"/>
            <w:color w:val="1A4F8A"/>
            <w:u w:val="single"/>
            <w:i/>
          </w:rPr>
          <w:t xml:space="preserve">VRS 101 / Who We Serve</w:t>
        </w:r>
      </w:hyperlink>
      <w:r>
        <w:t>, 2025 ed. — active members by plan at 6/30/2025: Plan 1 110,474; Plan 2 67,333; Hybrid 200,253; total 378,060</w:t>
      </w:r>
    </w:p>
    <w:p>
      <w:pPr>
        <w:pStyle w:val="ListBullet"/>
      </w:pPr>
      <w:hyperlink r:id="rId25">
        <w:r>
          <w:rPr>
            <w:rFonts w:ascii="Calibri" w:hAnsi="Calibri"/>
            <w:color w:val="1A4F8A"/>
            <w:u w:val="single"/>
          </w:rPr>
          <w:t xml:space="preserve">VRS Annual Comprehensive Financial Report FY2025</w:t>
        </w:r>
      </w:hyperlink>
      <w:r>
        <w:t xml:space="preserve">, Figures 2.3, 2.9 and 2.10 — active members and vested / non-vested split by employer group; plan membership-date rules; </w:t>
      </w:r>
      <w:r>
        <w:rPr>
          <w:b/>
        </w:rPr>
        <w:t>Plan 2 remains open to VaLORS, SPORS and hazardous duty members hired after December 31, 2013</w:t>
      </w:r>
    </w:p>
    <w:p>
      <w:pPr>
        <w:pStyle w:val="ListBullet"/>
      </w:pPr>
      <w:hyperlink r:id="rId26">
        <w:r>
          <w:rPr>
            <w:rFonts w:ascii="Calibri" w:hAnsi="Calibri"/>
            <w:color w:val="1A4F8A"/>
            <w:u w:val="single"/>
          </w:rPr>
          <w:t xml:space="preserve">VRS Annual Actuarial Valuation, June 30, 2025</w:t>
        </w:r>
      </w:hyperlink>
      <w:r>
        <w:t xml:space="preserve"> — Annual Covered Payroll by group (total $26,762,817,000); 6.75% assumed return; COLA assumptions 2.50% / 2.25%; Total Normal Cost by group; Plan Actuary is Gabriel, Roeder, Smith &amp; Company</w:t>
      </w:r>
    </w:p>
    <w:p>
      <w:pPr>
        <w:pStyle w:val="ListBullet"/>
      </w:pPr>
      <w:hyperlink r:id="rId27">
        <w:r>
          <w:rPr>
            <w:rFonts w:ascii="Calibri" w:hAnsi="Calibri"/>
            <w:color w:val="1A4F8A"/>
            <w:u w:val="single"/>
          </w:rPr>
          <w:t xml:space="preserve">VRS Board of Trustees minutes, June 18, 2025</w:t>
        </w:r>
      </w:hyperlink>
      <w:r>
        <w:t xml:space="preserve"> — Request for Board Action 2025-06-10 adopting the July 1, 2025 ANC rates; ANC rates "updated every four years following the quadrennial experience study"; </w:t>
      </w:r>
      <w:r>
        <w:rPr>
          <w:b/>
        </w:rPr>
        <w:t>"the actuarial equivalent cost rates are developed by the Plan Actuary based on the assumptions and demographic data from the prior year valuations"</w:t>
      </w:r>
    </w:p>
    <w:p>
      <w:pPr>
        <w:pStyle w:val="ListBullet"/>
      </w:pPr>
      <w:hyperlink r:id="rId28">
        <w:r>
          <w:rPr>
            <w:rFonts w:ascii="Calibri" w:hAnsi="Calibri"/>
            <w:color w:val="1A4F8A"/>
            <w:u w:val="single"/>
          </w:rPr>
          <w:t xml:space="preserve">VRS Board of Trustees minutes, June 17, 2026</w:t>
        </w:r>
      </w:hyperlink>
      <w:r>
        <w:t xml:space="preserve"> — </w:t>
      </w:r>
      <w:r>
        <w:rPr>
          <w:b/>
        </w:rPr>
        <w:t>next quadrennial assumption review is 2029</w:t>
      </w:r>
      <w:r>
        <w:t>; fixed-rate early-retirement reductions "provide a subsidy that varies by age and service"</w:t>
      </w:r>
    </w:p>
    <w:p>
      <w:pPr>
        <w:pStyle w:val="ListBullet"/>
      </w:pPr>
      <w:hyperlink r:id="rId29">
        <w:r>
          <w:rPr>
            <w:rFonts w:ascii="Calibri" w:hAnsi="Calibri"/>
            <w:color w:val="1A4F8A"/>
            <w:u w:val="single"/>
          </w:rPr>
          <w:t xml:space="preserve">BLS, </w:t>
        </w:r>
      </w:hyperlink>
      <w:hyperlink r:id="rId29">
        <w:r>
          <w:rPr>
            <w:rFonts w:ascii="Calibri" w:hAnsi="Calibri"/>
            <w:color w:val="1A4F8A"/>
            <w:u w:val="single"/>
            <w:i/>
          </w:rPr>
          <w:t xml:space="preserve">Employment Situation of Veterans</w:t>
        </w:r>
      </w:hyperlink>
      <w:hyperlink r:id="rId29">
        <w:r>
          <w:rPr>
            <w:rFonts w:ascii="Calibri" w:hAnsi="Calibri"/>
            <w:color w:val="1A4F8A"/>
            <w:u w:val="single"/>
          </w:rPr>
          <w:t xml:space="preserve">, Table 8</w:t>
        </w:r>
      </w:hyperlink>
      <w:r>
        <w:t xml:space="preserve">, August 2025 — veteran share of U.S. state-and-local-government workers, derived at </w:t>
      </w:r>
      <w:r>
        <w:rPr>
          <w:b/>
        </w:rPr>
        <w:t>5.75%</w:t>
      </w:r>
    </w:p>
    <w:p>
      <w:pPr>
        <w:pStyle w:val="ListBullet"/>
      </w:pPr>
      <w:hyperlink r:id="rId30">
        <w:r>
          <w:rPr>
            <w:rFonts w:ascii="Calibri" w:hAnsi="Calibri"/>
            <w:color w:val="1A4F8A"/>
            <w:u w:val="single"/>
          </w:rPr>
          <w:t xml:space="preserve">NCES, </w:t>
        </w:r>
      </w:hyperlink>
      <w:hyperlink r:id="rId30">
        <w:r>
          <w:rPr>
            <w:rFonts w:ascii="Calibri" w:hAnsi="Calibri"/>
            <w:color w:val="1A4F8A"/>
            <w:u w:val="single"/>
            <w:i/>
          </w:rPr>
          <w:t xml:space="preserve">Digest of Education Statistics</w:t>
        </w:r>
      </w:hyperlink>
      <w:hyperlink r:id="rId30">
        <w:r>
          <w:rPr>
            <w:rFonts w:ascii="Calibri" w:hAnsi="Calibri"/>
            <w:color w:val="1A4F8A"/>
            <w:u w:val="single"/>
          </w:rPr>
          <w:t xml:space="preserve">, table 209.27</w:t>
        </w:r>
      </w:hyperlink>
      <w:r>
        <w:t xml:space="preserve"> — </w:t>
      </w:r>
      <w:r>
        <w:rPr>
          <w:b/>
        </w:rPr>
        <w:t>2.3% of U.S. public school teachers are military veterans; 3.1% in the South</w:t>
      </w:r>
    </w:p>
    <w:p>
      <w:pPr>
        <w:pStyle w:val="ListBullet"/>
      </w:pPr>
      <w:r>
        <w:rPr>
          <w:b/>
        </w:rPr>
        <w:t>VRS § 30-19.1:7 fiscal impact statement on HB 1867 (2023)</w:t>
      </w:r>
      <w:r>
        <w:t xml:space="preserve"> — $10,000 to $60,000 of unfunded liability per participating member for a </w:t>
      </w:r>
      <w:r>
        <w:rPr>
          <w:b/>
        </w:rPr>
        <w:t>free</w:t>
      </w:r>
      <w:r>
        <w:t xml:space="preserve"> grant of active duty military service to teachers</w:t>
      </w:r>
    </w:p>
    <w:p>
      <w:pPr>
        <w:pStyle w:val="ListBullet"/>
      </w:pPr>
      <w:r>
        <w:rPr>
          <w:b/>
        </w:rPr>
        <w:t>2026 Acts of Assembly, SB 950</w:t>
      </w:r>
      <w:r>
        <w:t xml:space="preserve"> — judges with an original term on or after July 1, 2026 are in VRS Plan 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pPr>
    <w:r>
      <w:rPr>
        <w:rFonts w:ascii="Calibri" w:hAnsi="Calibri"/>
        <w:sz w:val="16"/>
      </w:rPr>
      <w:t>JLCVSO 2027 session — military service credit purchase price deadline</w:t>
      <w:tab/>
    </w:r>
    <w:r>
      <w:rPr>
        <w:rFonts w:ascii="Calibri" w:hAnsi="Calibri"/>
        <w:sz w:val="16"/>
      </w:rPr>
      <w:fldChar w:fldCharType="begin"/>
      <w:instrText xml:space="preserve"> PAGE </w:instrText>
      <w:fldChar w:fldCharType="end"/>
    </w:r>
    <w:r>
      <w:rPr>
        <w:rFonts w:ascii="Calibri" w:hAnsi="Calibri"/>
        <w:sz w:val="16"/>
      </w:rPr>
      <w:t xml:space="preserve"> of </w:t>
    </w:r>
    <w:r>
      <w:rPr>
        <w:rFonts w:ascii="Calibri" w:hAnsi="Calibri"/>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04-Annex-2-Closure-FM1-FM5.md" TargetMode="External"/><Relationship Id="rId11" Type="http://schemas.openxmlformats.org/officeDocument/2006/relationships/hyperlink" Target="https://law.lis.virginia.gov/vacode/title51.1/chapter1/section51.1-142.2/" TargetMode="External"/><Relationship Id="rId12" Type="http://schemas.openxmlformats.org/officeDocument/2006/relationships/hyperlink" Target="https://law.lis.virginia.gov/vacode/title51.1/chapter1/section51.1-124.3/" TargetMode="External"/><Relationship Id="rId13" Type="http://schemas.openxmlformats.org/officeDocument/2006/relationships/hyperlink" Target="https://law.lis.virginia.gov/vacode/title51.1/chapter1/section51.1-153/" TargetMode="External"/><Relationship Id="rId14" Type="http://schemas.openxmlformats.org/officeDocument/2006/relationships/hyperlink" Target="https://law.lis.virginia.gov/vacode/title51.1/chapter1/section51.1-155/" TargetMode="External"/><Relationship Id="rId15" Type="http://schemas.openxmlformats.org/officeDocument/2006/relationships/hyperlink" Target="https://law.lis.virginia.gov/vacode/title51.1/chapter1/section51.1-169/" TargetMode="External"/><Relationship Id="rId16" Type="http://schemas.openxmlformats.org/officeDocument/2006/relationships/hyperlink" Target="https://law.lis.virginia.gov/vacode/title51.1/chapter1/section51.1-166/" TargetMode="External"/><Relationship Id="rId17" Type="http://schemas.openxmlformats.org/officeDocument/2006/relationships/hyperlink" Target="https://law.lis.virginia.gov/vacode/title51.1/chapter14/section51.1-1400/" TargetMode="External"/><Relationship Id="rId18" Type="http://schemas.openxmlformats.org/officeDocument/2006/relationships/hyperlink" Target="https://law.lis.virginia.gov/vacode/title51.1/chapter1/section51.1-165.01/" TargetMode="External"/><Relationship Id="rId19" Type="http://schemas.openxmlformats.org/officeDocument/2006/relationships/hyperlink" Target="https://law.lis.virginia.gov/vacode/title2.2/chapter29/section2.2-2903/" TargetMode="External"/><Relationship Id="rId20" Type="http://schemas.openxmlformats.org/officeDocument/2006/relationships/hyperlink" Target="https://law.lis.virginia.gov/vacode/title30/chapter1/section30-19.1:7/" TargetMode="External"/><Relationship Id="rId21" Type="http://schemas.openxmlformats.org/officeDocument/2006/relationships/hyperlink" Target="https://www.varetire.org/am/media/shared/pdf/publications/pps-rate-charts.pdf" TargetMode="External"/><Relationship Id="rId22" Type="http://schemas.openxmlformats.org/officeDocument/2006/relationships/hyperlink" Target="https://employers.varetire.org/media/shared/pdf/er-manual-purchase-of-prior-service-credit.pdf" TargetMode="External"/><Relationship Id="rId23" Type="http://schemas.openxmlformats.org/officeDocument/2006/relationships/hyperlink" Target="https://sfac.virginia.gov/pdf/General%20Gov/2025/01212025_No1_DHRM.pdf" TargetMode="External"/><Relationship Id="rId24" Type="http://schemas.openxmlformats.org/officeDocument/2006/relationships/hyperlink" Target="https://www.varetire.org/media/shared/pdf/publications/intro-to-vrs-brochure.pdf" TargetMode="External"/><Relationship Id="rId25" Type="http://schemas.openxmlformats.org/officeDocument/2006/relationships/hyperlink" Target="https://www.varetire.org/media/shared/pdf/publications/2025-annual-report.pdf" TargetMode="External"/><Relationship Id="rId26" Type="http://schemas.openxmlformats.org/officeDocument/2006/relationships/hyperlink" Target="https://employers.varetire.org/media/employers/pdf/financial-reporting/valuations/valuation-report-vrs.pdf" TargetMode="External"/><Relationship Id="rId27" Type="http://schemas.openxmlformats.org/officeDocument/2006/relationships/hyperlink" Target="https://www.varetire.org/media/members/pdf/board/minutes/2025/board-of-trustees-minutes-06-18-25.pdf" TargetMode="External"/><Relationship Id="rId28" Type="http://schemas.openxmlformats.org/officeDocument/2006/relationships/hyperlink" Target="https://www.varetire.org/media/members/pdf/board/minutes/2026/board-of-trustees-minutes-06-17-26.pdf" TargetMode="External"/><Relationship Id="rId29" Type="http://schemas.openxmlformats.org/officeDocument/2006/relationships/hyperlink" Target="https://www.bls.gov/news.release/vet.t08.htm" TargetMode="External"/><Relationship Id="rId30" Type="http://schemas.openxmlformats.org/officeDocument/2006/relationships/hyperlink" Target="https://nces.ed.gov/programs/digest/d17/tables/dt17_209.27.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JLC Legislative Change Brief</dc:title>
  <dc:subject>Virginia Retirement System § 51.1-142.2 military service credit purchase price deadline</dc:subject>
  <dc:creator>Policy Development Team</dc:creator>
  <cp:keywords/>
  <dc:description>Generated from the Markdown source of record by tools/md_to_docx.py. The .md file in the repository is authoritative; regenerate rather than hand-editing it.</dc:description>
  <cp:lastModifiedBy>Policy Development Team</cp:lastModifiedBy>
  <cp:revision>1</cp:revision>
  <dcterms:created xsi:type="dcterms:W3CDTF">2013-12-23T23:15:00Z</dcterms:created>
  <dcterms:modified xsi:type="dcterms:W3CDTF">2013-12-23T23:15:00Z</dcterms:modified>
  <cp:category>Legislative brief — 2027 Virginia General Assembly session</cp:category>
</cp:coreProperties>
</file>