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C — Stakeholder and Political Analysis</w:t>
      </w:r>
    </w:p>
    <w:p>
      <w:r>
        <w:rPr>
          <w:b/>
        </w:rPr>
        <w:t>Version 1.0 — 2026-10-25</w:t>
      </w:r>
      <w:r>
        <w:t xml:space="preserve"> </w:t>
      </w:r>
      <w:r>
        <w:rPr>
          <w:b/>
        </w:rPr>
        <w:t>Prepared by:</w:t>
      </w:r>
      <w:r>
        <w:t xml:space="preserve"> Stakeholder Analyst, Virginia Policy Lab </w:t>
      </w:r>
      <w:r>
        <w:rPr>
          <w:b/>
        </w:rPr>
        <w:t>Issue:</w:t>
      </w:r>
      <w:r>
        <w:t xml:space="preserve">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This annex is desk research on the public record only. No stakeholder, legislator, staffer, or association was contacted, and none will be. Every position below is labelled </w:t>
      </w:r>
      <w:r>
        <w:rPr>
          <w:b/>
          <w:i/>
          <w:color w:val="444444"/>
          <w:sz w:val="20"/>
        </w:rPr>
        <w:t>documented</w:t>
      </w:r>
      <w:r>
        <w:rPr>
          <w:i/>
          <w:color w:val="444444"/>
          <w:sz w:val="20"/>
        </w:rPr>
        <w:t xml:space="preserve"> (the actor has taken a public position on this or a closely adjacent question), </w:t>
      </w:r>
      <w:r>
        <w:rPr>
          <w:b/>
          <w:i/>
          <w:color w:val="444444"/>
          <w:sz w:val="20"/>
        </w:rPr>
        <w:t>inferred — pattern</w:t>
      </w:r>
      <w:r>
        <w:rPr>
          <w:i/>
          <w:color w:val="444444"/>
          <w:sz w:val="20"/>
        </w:rPr>
        <w:t xml:space="preserve"> (a consistent public record on analogous questions), or </w:t>
      </w:r>
      <w:r>
        <w:rPr>
          <w:b/>
          <w:i/>
          <w:color w:val="444444"/>
          <w:sz w:val="20"/>
        </w:rPr>
        <w:t>inferred — interest</w:t>
      </w:r>
      <w:r>
        <w:rPr>
          <w:i/>
          <w:color w:val="444444"/>
          <w:sz w:val="20"/>
        </w:rPr>
        <w:t xml:space="preserve"> (reasoning from who bears the cost, with no public record found). Confidence labels are </w:t>
      </w:r>
      <w:r>
        <w:rPr>
          <w:b/>
          <w:i/>
          <w:color w:val="444444"/>
          <w:sz w:val="20"/>
        </w:rPr>
        <w:t>High / Medium / Low</w:t>
      </w:r>
      <w:r>
        <w:rPr>
          <w:i/>
          <w:color w:val="444444"/>
          <w:sz w:val="20"/>
        </w:rPr>
        <w:t xml:space="preserve"> and mean exactly that distinction. Retrieval dates are given for every source in § 10.</w:t>
      </w:r>
    </w:p>
    <w:p>
      <w:pPr>
        <w:spacing w:before="120" w:after="120"/>
        <w:ind w:left="480"/>
      </w:pPr>
      <w:r>
        <w:rPr>
          <w:i/>
          <w:color w:val="444444"/>
          <w:sz w:val="20"/>
        </w:rPr>
        <w:t xml:space="preserve">Cost figures are the Fiscal &amp; Impact Modeler's (Annex 2 Closure). Where a stakeholder makes a cost claim, it is reported as </w:t>
      </w:r>
      <w:r>
        <w:rPr>
          <w:i/>
          <w:color w:val="444444"/>
          <w:sz w:val="20"/>
        </w:rPr>
        <w:t>their claim</w:t>
      </w:r>
      <w:r>
        <w:rPr>
          <w:i/>
          <w:color w:val="444444"/>
          <w:sz w:val="20"/>
        </w:rPr>
        <w:t xml:space="preserve"> and flagged. Legal risk belongs to Red Team / Counsel Reviewer. Bill text belongs to the Drafting Specialist.</w:t>
      </w:r>
    </w:p>
    <w:p>
      <w:pPr>
        <w:spacing w:before="120" w:after="120"/>
        <w:ind w:left="480"/>
      </w:pPr>
      <w:r>
        <w:rPr>
          <w:b/>
          <w:i/>
          <w:color w:val="444444"/>
          <w:sz w:val="20"/>
        </w:rPr>
        <w:t>Reconciled against the Red Team Review (05, 2026-10-25).</w:t>
      </w:r>
      <w:r>
        <w:rPr>
          <w:i/>
          <w:color w:val="444444"/>
          <w:sz w:val="20"/>
        </w:rPr>
        <w:t xml:space="preserve"> That review landed while this annex was being written, and two of its findings bear directly on the political analysis, so this annex adopts them rather than working around them: </w:t>
      </w:r>
      <w:r>
        <w:rPr>
          <w:b/>
          <w:i/>
          <w:color w:val="444444"/>
          <w:sz w:val="20"/>
        </w:rPr>
        <w:t>F-1</w:t>
      </w:r>
      <w:r>
        <w:rPr>
          <w:i/>
          <w:color w:val="444444"/>
          <w:sz w:val="20"/>
        </w:rPr>
        <w:t xml:space="preserve"> (the 100%-recovery guardrail cannot be built from the authority Annex A § 2.2 grants) changes what we can say to the money committees about cost control — see § 5, which now proposes a statutory recovery floor on the Ohio model instead. </w:t>
      </w:r>
      <w:r>
        <w:rPr>
          <w:b/>
          <w:i/>
          <w:color w:val="444444"/>
          <w:sz w:val="20"/>
        </w:rPr>
        <w:t>F-2</w:t>
      </w:r>
      <w:r>
        <w:rPr>
          <w:i/>
          <w:color w:val="444444"/>
          <w:sz w:val="20"/>
        </w:rPr>
        <w:t xml:space="preserve"> ("General fund cost: $0" is contradicted by the package's own who-bears table) changes the headline claim and raises the stakes on the Commission on Local Government — see § 2 and § 3.3. Neither finding weakens the political case; both narrow the claims it can be built from.</w:t>
      </w:r>
    </w:p>
    <w:p>
      <w:pPr>
        <w:jc w:val="center"/>
      </w:pPr>
      <w:r>
        <w:rPr>
          <w:color w:val="909090"/>
          <w:sz w:val="18"/>
        </w:rPr>
        <w:t>* * *</w:t>
      </w:r>
    </w:p>
    <w:p>
      <w:pPr>
        <w:pStyle w:val="Heading2"/>
      </w:pPr>
      <w:r>
        <w:t>1. The one-line political read</w:t>
      </w:r>
    </w:p>
    <w:p>
      <w:r>
        <w:rPr>
          <w:b/>
        </w:rPr>
        <w:t>This is not a veterans bill fight — it is a 2015 cost-neutrality bargain being reopened, and the House Appropriations Subcommittee on Compensation and Retirement is the only room that matters.</w:t>
      </w:r>
      <w:r>
        <w:t xml:space="preserve"> The 24-month window we are removing was created by Chapter 508 of the 2015 Acts of Assembly, patroned by the then-chair of House Appropriations, for the stated purpose of making purchase of service credit "more cost-neutral to the Retirement System fund" — and it passed 99–0 and 38–0. In 2026 that same subcommittee killed 27 of the 28 VRS bills before it. The single survivor was patroned by a member of the subcommittee and was described by VRS as codifying existing VRS policy. That is the shape of the win condition.</w:t>
      </w:r>
    </w:p>
    <w:p>
      <w:pPr>
        <w:jc w:val="center"/>
      </w:pPr>
      <w:r>
        <w:rPr>
          <w:color w:val="909090"/>
          <w:sz w:val="18"/>
        </w:rPr>
        <w:t>* * *</w:t>
      </w:r>
    </w:p>
    <w:p>
      <w:pPr>
        <w:pStyle w:val="Heading2"/>
      </w:pPr>
      <w:r>
        <w:t>2. The proposal's concrete effects</w:t>
      </w:r>
    </w:p>
    <w:p>
      <w:r>
        <w:t>Positions follow effects, so the effects come first. Under the scope decided by JLCVSO on 2026-10-24 (all VRS members, no local opt-in, immediate access):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Who</w:t>
            </w:r>
          </w:p>
        </w:tc>
        <w:tc>
          <w:tcPr>
            <w:tcW w:type="dxa" w:w="4320"/>
          </w:tcPr>
          <w:p>
            <w:pPr>
              <w:spacing w:before="20" w:after="20"/>
              <w:jc w:val="left"/>
            </w:pPr>
            <w:r>
              <w:rPr>
                <w:b/>
                <w:sz w:val="17"/>
              </w:rPr>
              <w:t>What they get</w:t>
            </w:r>
          </w:p>
        </w:tc>
      </w:tr>
      <w:tr>
        <w:tc>
          <w:tcPr>
            <w:tcW w:type="dxa" w:w="4320"/>
          </w:tcPr>
          <w:p>
            <w:pPr>
              <w:spacing w:before="20" w:after="20"/>
              <w:jc w:val="left"/>
            </w:pPr>
            <w:r>
              <w:rPr>
                <w:b/>
                <w:sz w:val="17"/>
              </w:rPr>
              <w:t>Veteran VRS members past 24 months of service</w:t>
            </w:r>
          </w:p>
        </w:tc>
        <w:tc>
          <w:tcPr>
            <w:tcW w:type="dxa" w:w="4320"/>
          </w:tcPr>
          <w:p>
            <w:pPr>
              <w:spacing w:before="20" w:after="20"/>
              <w:jc w:val="left"/>
            </w:pPr>
            <w:r>
              <w:rPr>
                <w:b/>
                <w:sz w:val="17"/>
              </w:rPr>
              <w:t>A benefit.</w:t>
            </w:r>
            <w:r>
              <w:rPr>
                <w:sz w:val="17"/>
              </w:rPr>
              <w:t xml:space="preserve"> Access to up to four years of military service credit at the published approximate normal cost instead of actuarial equivalent cost. The benefit is largest for long-service Plan 1 members near unreduced eligibility — precisely the cohort the pricing guardrail would charge most.</w:t>
            </w:r>
          </w:p>
        </w:tc>
      </w:tr>
      <w:tr>
        <w:tc>
          <w:tcPr>
            <w:tcW w:type="dxa" w:w="4320"/>
          </w:tcPr>
          <w:p>
            <w:pPr>
              <w:spacing w:before="20" w:after="20"/>
              <w:jc w:val="left"/>
            </w:pPr>
            <w:r>
              <w:rPr>
                <w:b/>
                <w:sz w:val="17"/>
              </w:rPr>
              <w:t>The VRS trust funds (state, teacher, political subdivision)</w:t>
            </w:r>
          </w:p>
        </w:tc>
        <w:tc>
          <w:tcPr>
            <w:tcW w:type="dxa" w:w="4320"/>
          </w:tcPr>
          <w:p>
            <w:pPr>
              <w:spacing w:before="20" w:after="20"/>
              <w:jc w:val="left"/>
            </w:pPr>
            <w:r>
              <w:rPr>
                <w:b/>
                <w:sz w:val="17"/>
              </w:rPr>
              <w:t>A cost.</w:t>
            </w:r>
            <w:r>
              <w:rPr>
                <w:sz w:val="17"/>
              </w:rPr>
              <w:t xml:space="preserve"> Unfunded liability from (i) the gap between approximate normal cost and actuarial equivalent cost, and (ii) retirement-date acceleration. Modelled one-time present value $13M–$182M depending on pool and take-up (Annex 2 Closure, FM-4 § 4.4).</w:t>
            </w:r>
          </w:p>
        </w:tc>
      </w:tr>
      <w:tr>
        <w:tc>
          <w:tcPr>
            <w:tcW w:type="dxa" w:w="4320"/>
          </w:tcPr>
          <w:p>
            <w:pPr>
              <w:spacing w:before="20" w:after="20"/>
              <w:jc w:val="left"/>
            </w:pPr>
            <w:r>
              <w:rPr>
                <w:b/>
                <w:sz w:val="17"/>
              </w:rPr>
              <w:t>All VRS-participating employers in each pooled plan</w:t>
            </w:r>
          </w:p>
        </w:tc>
        <w:tc>
          <w:tcPr>
            <w:tcW w:type="dxa" w:w="4320"/>
          </w:tcPr>
          <w:p>
            <w:pPr>
              <w:spacing w:before="20" w:after="20"/>
              <w:jc w:val="left"/>
            </w:pPr>
            <w:r>
              <w:rPr>
                <w:b/>
                <w:sz w:val="17"/>
              </w:rPr>
              <w:t>A cost, shared.</w:t>
            </w:r>
            <w:r>
              <w:rPr>
                <w:sz w:val="17"/>
              </w:rPr>
              <w:t xml:space="preserve"> Because the plans are pooled, cost lands on employer contribution rates, not on the employers whose own veterans purchase. VRS stated this mechanic itself in 2023: "Granting of service in a pooled plan will effectively spread the cost of each period of granted service over all of the employers in the Teacher plan."</w:t>
            </w:r>
          </w:p>
        </w:tc>
      </w:tr>
      <w:tr>
        <w:tc>
          <w:tcPr>
            <w:tcW w:type="dxa" w:w="4320"/>
          </w:tcPr>
          <w:p>
            <w:pPr>
              <w:spacing w:before="20" w:after="20"/>
              <w:jc w:val="left"/>
            </w:pPr>
            <w:r>
              <w:rPr>
                <w:b/>
                <w:sz w:val="17"/>
              </w:rPr>
              <w:t>School divisions and the localities that fund them</w:t>
            </w:r>
          </w:p>
        </w:tc>
        <w:tc>
          <w:tcPr>
            <w:tcW w:type="dxa" w:w="4320"/>
          </w:tcPr>
          <w:p>
            <w:pPr>
              <w:spacing w:before="20" w:after="20"/>
              <w:jc w:val="left"/>
            </w:pPr>
            <w:r>
              <w:rPr>
                <w:b/>
                <w:sz w:val="17"/>
              </w:rPr>
              <w:t>A cost they cannot decline.</w:t>
            </w:r>
            <w:r>
              <w:rPr>
                <w:sz w:val="17"/>
              </w:rPr>
              <w:t xml:space="preserve"> Teacher plan rates are set statewide; political subdivisions set their own rates under § 51.1-145 but cannot opt out of a statutory change to § 51.1-142.2.</w:t>
            </w:r>
          </w:p>
        </w:tc>
      </w:tr>
      <w:tr>
        <w:tc>
          <w:tcPr>
            <w:tcW w:type="dxa" w:w="4320"/>
          </w:tcPr>
          <w:p>
            <w:pPr>
              <w:spacing w:before="20" w:after="20"/>
              <w:jc w:val="left"/>
            </w:pPr>
            <w:r>
              <w:rPr>
                <w:b/>
                <w:sz w:val="17"/>
              </w:rPr>
              <w:t>The general fund</w:t>
            </w:r>
          </w:p>
        </w:tc>
        <w:tc>
          <w:tcPr>
            <w:tcW w:type="dxa" w:w="4320"/>
          </w:tcPr>
          <w:p>
            <w:pPr>
              <w:spacing w:before="20" w:after="20"/>
              <w:jc w:val="left"/>
            </w:pPr>
            <w:r>
              <w:rPr>
                <w:b/>
                <w:sz w:val="17"/>
              </w:rPr>
              <w:t>No appropriation ask — but not "no cost," and the distinction is now contested inside our own package.</w:t>
            </w:r>
            <w:r>
              <w:rPr>
                <w:sz w:val="17"/>
              </w:rPr>
              <w:t xml:space="preserve"> The bill contains no appropriation clause, and VRS recorded "GF budget impacts: No immediate impact" on the closest analogue (HB 1867, 2023). But Red Team </w:t>
            </w:r>
            <w:r>
              <w:rPr>
                <w:b/>
                <w:sz w:val="17"/>
              </w:rPr>
              <w:t>F-2</w:t>
            </w:r>
            <w:r>
              <w:rPr>
                <w:sz w:val="17"/>
              </w:rPr>
              <w:t xml:space="preserve"> finds that the one-pager's "General fund cost: $0 — that is structural, not a rounding" is contradicted by our own model, which assigns $20M–$40M of present value to state agencies (GF </w:t>
            </w:r>
            <w:r>
              <w:rPr>
                <w:b/>
                <w:sz w:val="17"/>
              </w:rPr>
              <w:t>and</w:t>
            </w:r>
            <w:r>
              <w:rPr>
                <w:sz w:val="17"/>
              </w:rPr>
              <w:t xml:space="preserve"> NGF) and $13M–$33M to school divisions through the Standards of Quality. </w:t>
            </w:r>
            <w:r>
              <w:rPr>
                <w:b/>
                <w:sz w:val="17"/>
              </w:rPr>
              <w:t>I adopt the Red Team's reading for political purposes</w:t>
            </w:r>
            <w:r>
              <w:rPr>
                <w:sz w:val="17"/>
              </w:rPr>
              <w:t>: the defensible sentence is "this bill requests no appropriation," not "this bill costs the general fund nothing." The political cost of the broader claim is asymmetric and severe — see § 3.3 (CLG) and § 5.</w:t>
            </w:r>
          </w:p>
        </w:tc>
      </w:tr>
      <w:tr>
        <w:tc>
          <w:tcPr>
            <w:tcW w:type="dxa" w:w="4320"/>
          </w:tcPr>
          <w:p>
            <w:pPr>
              <w:spacing w:before="20" w:after="20"/>
              <w:jc w:val="left"/>
            </w:pPr>
            <w:r>
              <w:rPr>
                <w:b/>
                <w:sz w:val="17"/>
              </w:rPr>
              <w:t>VRS as administrator</w:t>
            </w:r>
          </w:p>
        </w:tc>
        <w:tc>
          <w:tcPr>
            <w:tcW w:type="dxa" w:w="4320"/>
          </w:tcPr>
          <w:p>
            <w:pPr>
              <w:spacing w:before="20" w:after="20"/>
              <w:jc w:val="left"/>
            </w:pPr>
            <w:r>
              <w:rPr>
                <w:b/>
                <w:sz w:val="17"/>
              </w:rPr>
              <w:t>A duty, and a modest one.</w:t>
            </w:r>
            <w:r>
              <w:rPr>
                <w:sz w:val="17"/>
              </w:rPr>
              <w:t xml:space="preserve"> Every rate group already has a Board-adopted approximate normal cost rate (Annex 2 Closure FM-3). The analogue administrative cost VRS quoted in 2023 was approximately $78,000 one-time for handbook, manual, e-course, web and employer communications revisions.</w:t>
            </w:r>
          </w:p>
        </w:tc>
      </w:tr>
      <w:tr>
        <w:tc>
          <w:tcPr>
            <w:tcW w:type="dxa" w:w="4320"/>
          </w:tcPr>
          <w:p>
            <w:pPr>
              <w:spacing w:before="20" w:after="20"/>
              <w:jc w:val="left"/>
            </w:pPr>
            <w:r>
              <w:rPr>
                <w:b/>
                <w:sz w:val="17"/>
              </w:rPr>
              <w:t>The VRS Board of Trustees</w:t>
            </w:r>
          </w:p>
        </w:tc>
        <w:tc>
          <w:tcPr>
            <w:tcW w:type="dxa" w:w="4320"/>
          </w:tcPr>
          <w:p>
            <w:pPr>
              <w:spacing w:before="20" w:after="20"/>
              <w:jc w:val="left"/>
            </w:pPr>
            <w:r>
              <w:rPr>
                <w:b/>
                <w:sz w:val="17"/>
              </w:rPr>
              <w:t>A duty and new discretion.</w:t>
            </w:r>
            <w:r>
              <w:rPr>
                <w:sz w:val="17"/>
              </w:rPr>
              <w:t xml:space="preserve"> Must file the § 30-19.1:7 impact statement, and under the Annex A v1.1 schedule authority would gain a rate-setting dial graded on age, creditable service and amount purchased.</w:t>
            </w:r>
          </w:p>
        </w:tc>
      </w:tr>
      <w:tr>
        <w:tc>
          <w:tcPr>
            <w:tcW w:type="dxa" w:w="4320"/>
          </w:tcPr>
          <w:p>
            <w:pPr>
              <w:spacing w:before="20" w:after="20"/>
              <w:jc w:val="left"/>
            </w:pPr>
            <w:r>
              <w:rPr>
                <w:b/>
                <w:sz w:val="17"/>
              </w:rPr>
              <w:t>Employers who currently pay for purchases on behalf of employees</w:t>
            </w:r>
          </w:p>
        </w:tc>
        <w:tc>
          <w:tcPr>
            <w:tcW w:type="dxa" w:w="4320"/>
          </w:tcPr>
          <w:p>
            <w:pPr>
              <w:spacing w:before="20" w:after="20"/>
              <w:jc w:val="left"/>
            </w:pPr>
            <w:r>
              <w:rPr>
                <w:b/>
                <w:sz w:val="17"/>
              </w:rPr>
              <w:t>No change, but a talking point against us.</w:t>
            </w:r>
            <w:r>
              <w:rPr>
                <w:sz w:val="17"/>
              </w:rPr>
              <w:t xml:space="preserve"> VRS noted in 2023 that "Employers currently can choose to pay for purchase of this service credit on behalf of the employee" — the existing non-legislative path, which opponents will offer as the sufficient remedy.</w:t>
            </w:r>
          </w:p>
        </w:tc>
      </w:tr>
      <w:tr>
        <w:tc>
          <w:tcPr>
            <w:tcW w:type="dxa" w:w="4320"/>
          </w:tcPr>
          <w:p>
            <w:pPr>
              <w:spacing w:before="20" w:after="20"/>
              <w:jc w:val="left"/>
            </w:pPr>
            <w:r>
              <w:rPr>
                <w:b/>
                <w:sz w:val="17"/>
              </w:rPr>
              <w:t>Non-veteran members holding other purchasable categories under subdivision B 1</w:t>
            </w:r>
          </w:p>
        </w:tc>
        <w:tc>
          <w:tcPr>
            <w:tcW w:type="dxa" w:w="4320"/>
          </w:tcPr>
          <w:p>
            <w:pPr>
              <w:spacing w:before="20" w:after="20"/>
              <w:jc w:val="left"/>
            </w:pPr>
            <w:r>
              <w:rPr>
                <w:b/>
                <w:sz w:val="17"/>
              </w:rPr>
              <w:t>A new inequity.</w:t>
            </w:r>
            <w:r>
              <w:rPr>
                <w:sz w:val="17"/>
              </w:rPr>
              <w:t xml:space="preserve"> Educational leave, FMLA leave, refunded service and other B 1 categories keep the 24-month cliff. This is the pressure point employee associations will push on.</w:t>
            </w:r>
          </w:p>
        </w:tc>
      </w:tr>
    </w:tbl>
    <w:p>
      <w:pPr>
        <w:spacing w:before="0" w:after="0" w:line="80" w:lineRule="exact"/>
      </w:pPr>
      <w:r>
        <w:rPr>
          <w:sz w:val="8"/>
        </w:rPr>
      </w:r>
    </w:p>
    <w:p>
      <w:r>
        <w:rPr>
          <w:b/>
        </w:rPr>
        <w:t>The silent beneficiary.</w:t>
      </w:r>
      <w:r>
        <w:t xml:space="preserve"> The members who gain most — mid- and late-career veteran state employees, teachers and local employees — are unorganized as veterans. They are scattered across 100+ employers, they do not know they are a class, and they will not appear at a subcommittee docket. Their silence is not consent and must not be read as weak demand. The organised veteran community (§ 3.4) speaks for </w:t>
      </w:r>
      <w:r>
        <w:rPr>
          <w:i/>
        </w:rPr>
        <w:t>veterans</w:t>
      </w:r>
      <w:r>
        <w:t xml:space="preserve">, not for </w:t>
      </w:r>
      <w:r>
        <w:rPr>
          <w:i/>
        </w:rPr>
        <w:t>veteran public employees</w:t>
      </w:r>
      <w:r>
        <w:t>, and those are different constituencies with different asks.</w:t>
      </w:r>
    </w:p>
    <w:p>
      <w:pPr>
        <w:jc w:val="center"/>
      </w:pPr>
      <w:r>
        <w:rPr>
          <w:color w:val="909090"/>
          <w:sz w:val="18"/>
        </w:rPr>
        <w:t>* * *</w:t>
      </w:r>
    </w:p>
    <w:p>
      <w:pPr>
        <w:pStyle w:val="Heading2"/>
      </w:pPr>
      <w:r>
        <w:t>3. Stakeholder map</w:t>
      </w:r>
    </w:p>
    <w:p>
      <w:pPr>
        <w:pStyle w:val="Heading3"/>
      </w:pPr>
      <w:r>
        <w:t>3.1 The administering agency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Retirement System (staff / Policy, Planning &amp; Compliance)</w:t>
            </w:r>
          </w:p>
        </w:tc>
        <w:tc>
          <w:tcPr>
            <w:tcW w:type="dxa" w:w="1440"/>
          </w:tcPr>
          <w:p>
            <w:pPr>
              <w:spacing w:before="20" w:after="20"/>
              <w:jc w:val="left"/>
            </w:pPr>
            <w:r>
              <w:rPr>
                <w:sz w:val="17"/>
              </w:rPr>
              <w:t>State agency</w:t>
            </w:r>
          </w:p>
        </w:tc>
        <w:tc>
          <w:tcPr>
            <w:tcW w:type="dxa" w:w="1440"/>
          </w:tcPr>
          <w:p>
            <w:pPr>
              <w:spacing w:before="20" w:after="20"/>
              <w:jc w:val="left"/>
            </w:pPr>
            <w:r>
              <w:rPr>
                <w:b/>
                <w:sz w:val="17"/>
              </w:rPr>
              <w:t>Not supportive. Will file a § 30-19.1:7 statement that is formally neutral and substantively cautionary</w:t>
            </w:r>
            <w:r>
              <w:rPr>
                <w:sz w:val="17"/>
              </w:rPr>
              <w:t>, emphasising unquantifiable take-up, pooled-plan cost spreading, and erosion of the 2015 cost-neutrality design. Will not actively lobby against.</w:t>
            </w:r>
          </w:p>
        </w:tc>
        <w:tc>
          <w:tcPr>
            <w:tcW w:type="dxa" w:w="1440"/>
          </w:tcPr>
          <w:p>
            <w:pPr>
              <w:spacing w:before="20" w:after="20"/>
              <w:jc w:val="left"/>
            </w:pPr>
            <w:r>
              <w:rPr>
                <w:sz w:val="17"/>
              </w:rPr>
              <w:t xml:space="preserve">VRS's filed statement on the closest analogue (HB 1867, 2023, free grant of up to four years of active duty military service to teachers) is a template for what we will receive: it put per-member unfunded liability at </w:t>
            </w:r>
            <w:r>
              <w:rPr>
                <w:b/>
                <w:sz w:val="17"/>
              </w:rPr>
              <w:t>$10,000–$60,000</w:t>
            </w:r>
            <w:r>
              <w:rPr>
                <w:sz w:val="17"/>
              </w:rPr>
              <w:t xml:space="preserve">, said "VRS is not able to determine the number of current teachers or future teachers who would have prior active military service to purchase," then </w:t>
            </w:r>
            <w:r>
              <w:rPr>
                <w:i/>
                <w:sz w:val="17"/>
              </w:rPr>
              <w:t>constructed its own illustrative scenario</w:t>
            </w:r>
            <w:r>
              <w:rPr>
                <w:sz w:val="17"/>
              </w:rPr>
              <w:t xml:space="preserve"> — 1% take-up × $35,000 average = </w:t>
            </w:r>
            <w:r>
              <w:rPr>
                <w:b/>
                <w:sz w:val="17"/>
              </w:rPr>
              <w:t>$50 million</w:t>
            </w:r>
            <w:r>
              <w:rPr>
                <w:sz w:val="17"/>
              </w:rPr>
              <w:t xml:space="preserve"> — and set it against the Teacher Plan's then-$11.8 billion unfunded liability. It also observed that "</w:t>
            </w:r>
            <w:r>
              <w:rPr>
                <w:b/>
                <w:sz w:val="17"/>
              </w:rPr>
              <w:t>As initiatives to recruit veterans as teachers increase, correspondingly the number of those who have qualifying service will also increase</w:t>
            </w:r>
            <w:r>
              <w:rPr>
                <w:sz w:val="17"/>
              </w:rPr>
              <w:t>," i.e. VRS treats growth in the eligible pool as a cost risk rather than a policy success.</w:t>
            </w:r>
          </w:p>
        </w:tc>
        <w:tc>
          <w:tcPr>
            <w:tcW w:type="dxa" w:w="1440"/>
          </w:tcPr>
          <w:p>
            <w:pPr>
              <w:spacing w:before="20" w:after="20"/>
              <w:jc w:val="left"/>
            </w:pPr>
            <w:r>
              <w:rPr>
                <w:b/>
                <w:sz w:val="17"/>
              </w:rPr>
              <w:t>High</w:t>
            </w:r>
            <w:r>
              <w:rPr>
                <w:sz w:val="17"/>
              </w:rPr>
              <w:t xml:space="preserve"> (for the characterization pattern and the arithmetic method VRS will use). </w:t>
            </w:r>
            <w:r>
              <w:rPr>
                <w:b/>
                <w:sz w:val="17"/>
              </w:rPr>
              <w:t>Medium</w:t>
            </w:r>
            <w:r>
              <w:rPr>
                <w:sz w:val="17"/>
              </w:rPr>
              <w:t xml:space="preserve"> (for the ultimate position — HB 1867 was a </w:t>
            </w:r>
            <w:r>
              <w:rPr>
                <w:i/>
                <w:sz w:val="17"/>
              </w:rPr>
              <w:t>free grant</w:t>
            </w:r>
            <w:r>
              <w:rPr>
                <w:sz w:val="17"/>
              </w:rPr>
              <w:t>; ours is a priced purchase, which is a materially better fact for us and VRS has not spoken to it).</w:t>
            </w:r>
          </w:p>
        </w:tc>
        <w:tc>
          <w:tcPr>
            <w:tcW w:type="dxa" w:w="1440"/>
          </w:tcPr>
          <w:p>
            <w:pPr>
              <w:spacing w:before="20" w:after="20"/>
              <w:jc w:val="left"/>
            </w:pPr>
            <w:r>
              <w:rPr>
                <w:sz w:val="17"/>
              </w:rPr>
              <w:t xml:space="preserve">VRS, </w:t>
            </w:r>
            <w:r>
              <w:rPr>
                <w:i/>
                <w:sz w:val="17"/>
              </w:rPr>
              <w:t>2023 Fiscal Impact Statement, HB 1867</w:t>
            </w:r>
            <w:r>
              <w:rPr>
                <w:sz w:val="17"/>
              </w:rPr>
              <w:t xml:space="preserve">, dated 1/16/2023 (document HB1867.DOC/VRS), LIS doc </w:t>
            </w:r>
            <w:r>
              <w:rPr>
                <w:rFonts w:ascii="Consolas" w:hAnsi="Consolas"/>
                <w:color w:val="303030"/>
                <w:sz w:val="18"/>
              </w:rPr>
              <w:t>231+oth+HB1867F158</w:t>
            </w:r>
            <w:r>
              <w:rPr>
                <w:sz w:val="17"/>
              </w:rPr>
              <w:t>.</w:t>
            </w:r>
          </w:p>
        </w:tc>
      </w:tr>
      <w:tr>
        <w:tc>
          <w:tcPr>
            <w:tcW w:type="dxa" w:w="1440"/>
          </w:tcPr>
          <w:p>
            <w:pPr>
              <w:spacing w:before="20" w:after="20"/>
              <w:jc w:val="left"/>
            </w:pPr>
            <w:r>
              <w:rPr>
                <w:b/>
                <w:sz w:val="17"/>
              </w:rPr>
              <w:t>VRS Board of Trustees</w:t>
            </w:r>
          </w:p>
        </w:tc>
        <w:tc>
          <w:tcPr>
            <w:tcW w:type="dxa" w:w="1440"/>
          </w:tcPr>
          <w:p>
            <w:pPr>
              <w:spacing w:before="20" w:after="20"/>
              <w:jc w:val="left"/>
            </w:pPr>
            <w:r>
              <w:rPr>
                <w:sz w:val="17"/>
              </w:rPr>
              <w:t>State board</w:t>
            </w:r>
          </w:p>
        </w:tc>
        <w:tc>
          <w:tcPr>
            <w:tcW w:type="dxa" w:w="1440"/>
          </w:tcPr>
          <w:p>
            <w:pPr>
              <w:spacing w:before="20" w:after="20"/>
              <w:jc w:val="left"/>
            </w:pPr>
            <w:r>
              <w:rPr>
                <w:b/>
                <w:sz w:val="17"/>
              </w:rPr>
              <w:t>Will accept an administrable bill; will resist a bill that changes VRS procedure.</w:t>
            </w:r>
          </w:p>
        </w:tc>
        <w:tc>
          <w:tcPr>
            <w:tcW w:type="dxa" w:w="1440"/>
          </w:tcPr>
          <w:p>
            <w:pPr>
              <w:spacing w:before="20" w:after="20"/>
              <w:jc w:val="left"/>
            </w:pPr>
            <w:r>
              <w:rPr>
                <w:sz w:val="17"/>
              </w:rPr>
              <w:t xml:space="preserve">VRS's own stated acceptance criterion is visible in the Board's April 2026 materials. Of the </w:t>
            </w:r>
            <w:r>
              <w:rPr>
                <w:b/>
                <w:sz w:val="17"/>
              </w:rPr>
              <w:t>28 VRS-specific bills VRS tracked in the 2026 session, exactly one survived</w:t>
            </w:r>
            <w:r>
              <w:rPr>
                <w:sz w:val="17"/>
              </w:rPr>
              <w:t xml:space="preserve"> — HB 139 — and VRS described it as a bill where "the bill and substitute </w:t>
            </w:r>
            <w:r>
              <w:rPr>
                <w:b/>
                <w:sz w:val="17"/>
              </w:rPr>
              <w:t>codify for school board employees the existing VRS PPS policy</w:t>
            </w:r>
            <w:r>
              <w:rPr>
                <w:sz w:val="17"/>
              </w:rPr>
              <w:t xml:space="preserve"> regarding unpaid educational leave," and the DC Plans Advisory Committee minutes record it as "a purchase of prior service provision that </w:t>
            </w:r>
            <w:r>
              <w:rPr>
                <w:b/>
                <w:sz w:val="17"/>
              </w:rPr>
              <w:t>would not change VRS current procedures</w:t>
            </w:r>
            <w:r>
              <w:rPr>
                <w:sz w:val="17"/>
              </w:rPr>
              <w:t>." "The remainder of the bills were unsuccessful."</w:t>
            </w:r>
          </w:p>
        </w:tc>
        <w:tc>
          <w:tcPr>
            <w:tcW w:type="dxa" w:w="1440"/>
          </w:tcPr>
          <w:p>
            <w:pPr>
              <w:spacing w:before="20" w:after="20"/>
              <w:jc w:val="left"/>
            </w:pPr>
            <w:r>
              <w:rPr>
                <w:b/>
                <w:sz w:val="17"/>
              </w:rPr>
              <w:t>High</w:t>
            </w:r>
          </w:p>
        </w:tc>
        <w:tc>
          <w:tcPr>
            <w:tcW w:type="dxa" w:w="1440"/>
          </w:tcPr>
          <w:p>
            <w:pPr>
              <w:spacing w:before="20" w:after="20"/>
              <w:jc w:val="left"/>
            </w:pPr>
            <w:r>
              <w:rPr>
                <w:sz w:val="17"/>
              </w:rPr>
              <w:t>VRS Board of Trustees meeting materials, 2026-04-23, pp. 184–208 (2026 Legislation) and committee minutes at pp. 110–120.</w:t>
            </w:r>
          </w:p>
        </w:tc>
      </w:tr>
    </w:tbl>
    <w:p>
      <w:pPr>
        <w:spacing w:before="0" w:after="0" w:line="80" w:lineRule="exact"/>
      </w:pPr>
      <w:r>
        <w:rPr>
          <w:sz w:val="8"/>
        </w:rPr>
      </w:r>
    </w:p>
    <w:p>
      <w:r>
        <w:rPr>
          <w:b/>
        </w:rPr>
        <w:t>Why this matters more than any other row.</w:t>
      </w:r>
      <w:r>
        <w:t xml:space="preserve"> VRS's filter is procedural, not ideological. The drafting implication is direct and should go to the Drafting Specialist: </w:t>
      </w:r>
      <w:r>
        <w:rPr>
          <w:b/>
        </w:rPr>
        <w:t>the bill must be presentable as "same published rate, same 60-month payment term, same VNAV workflow, one deleted deadline."</w:t>
      </w:r>
      <w:r>
        <w:t xml:space="preserve"> Every feature that requires VRS to build something new — a bespoke rate table, a new actuarial product, a new eligibility certification — converts a Medium position into a High-confidence objection. Annex A v1.1's wide schedule authority is the live risk here: counsel's preference for drafting the authority wide and arguing the dial at the Board is legally sound but politically costs us the "no new rate-setting" claim that A-3 was chosen to preserve (brief § A-3, "A-3 requires no new rate-setting by the Board and no new actuarial product"). </w:t>
      </w:r>
      <w:r>
        <w:rPr>
          <w:b/>
        </w:rPr>
        <w:t>Flagged to Policy Director and Red Team as a genuine tension inside our own package.</w:t>
      </w:r>
    </w:p>
    <w:p>
      <w:pPr>
        <w:pStyle w:val="Heading3"/>
      </w:pPr>
      <w:r>
        <w:t>3.2 The employing agency with the policy interest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Department of Human Resource Management (DHRM)</w:t>
            </w:r>
          </w:p>
        </w:tc>
        <w:tc>
          <w:tcPr>
            <w:tcW w:type="dxa" w:w="1440"/>
          </w:tcPr>
          <w:p>
            <w:pPr>
              <w:spacing w:before="20" w:after="20"/>
              <w:jc w:val="left"/>
            </w:pPr>
            <w:r>
              <w:rPr>
                <w:sz w:val="17"/>
              </w:rPr>
              <w:t>State agency</w:t>
            </w:r>
          </w:p>
        </w:tc>
        <w:tc>
          <w:tcPr>
            <w:tcW w:type="dxa" w:w="1440"/>
          </w:tcPr>
          <w:p>
            <w:pPr>
              <w:spacing w:before="20" w:after="20"/>
              <w:jc w:val="left"/>
            </w:pPr>
            <w:r>
              <w:rPr>
                <w:b/>
                <w:sz w:val="17"/>
              </w:rPr>
              <w:t>Quietly favourable, publicly silent unless asked.</w:t>
            </w:r>
            <w:r>
              <w:rPr>
                <w:sz w:val="17"/>
              </w:rPr>
              <w:t xml:space="preserve"> Will not patron, will not testify unprompted, will supply supportive workforce data if the Secretary of Administration clears it.</w:t>
            </w:r>
          </w:p>
        </w:tc>
        <w:tc>
          <w:tcPr>
            <w:tcW w:type="dxa" w:w="1440"/>
          </w:tcPr>
          <w:p>
            <w:pPr>
              <w:spacing w:before="20" w:after="20"/>
              <w:jc w:val="left"/>
            </w:pPr>
            <w:r>
              <w:rPr>
                <w:sz w:val="17"/>
              </w:rPr>
              <w:t xml:space="preserve">DHRM's own February 2026 presentation to the Senate Finance &amp; Appropriations General Government Subcommittee frames its problem as recruitment and retention: FY25 vacancy rate </w:t>
            </w:r>
            <w:r>
              <w:rPr>
                <w:b/>
                <w:sz w:val="17"/>
              </w:rPr>
              <w:t>13.0%</w:t>
            </w:r>
            <w:r>
              <w:rPr>
                <w:sz w:val="17"/>
              </w:rPr>
              <w:t xml:space="preserve">, turnover </w:t>
            </w:r>
            <w:r>
              <w:rPr>
                <w:b/>
                <w:sz w:val="17"/>
              </w:rPr>
              <w:t>12.8%</w:t>
            </w:r>
            <w:r>
              <w:rPr>
                <w:sz w:val="17"/>
              </w:rPr>
              <w:t xml:space="preserve">, probationary turnover </w:t>
            </w:r>
            <w:r>
              <w:rPr>
                <w:b/>
                <w:sz w:val="17"/>
              </w:rPr>
              <w:t>25.6%</w:t>
            </w:r>
            <w:r>
              <w:rPr>
                <w:sz w:val="17"/>
              </w:rPr>
              <w:t xml:space="preserve">, average time to hire </w:t>
            </w:r>
            <w:r>
              <w:rPr>
                <w:b/>
                <w:sz w:val="17"/>
              </w:rPr>
              <w:t>68 days</w:t>
            </w:r>
            <w:r>
              <w:rPr>
                <w:sz w:val="17"/>
              </w:rPr>
              <w:t xml:space="preserve">, and the key message that "voluntary resignations in </w:t>
            </w:r>
            <w:r>
              <w:rPr>
                <w:b/>
                <w:sz w:val="17"/>
              </w:rPr>
              <w:t>first 5 years</w:t>
            </w:r>
            <w:r>
              <w:rPr>
                <w:sz w:val="17"/>
              </w:rPr>
              <w:t xml:space="preserve"> remain significant." The </w:t>
            </w:r>
            <w:r>
              <w:rPr>
                <w:b/>
                <w:sz w:val="17"/>
              </w:rPr>
              <w:t>average age of new hires is 39.1 years</w:t>
            </w:r>
            <w:r>
              <w:rPr>
                <w:sz w:val="17"/>
              </w:rPr>
              <w:t xml:space="preserve"> against an average workforce age of 46.1 — the Commonwealth hires mid-career, which is the structural fact our bill is responding to. DHRM administers the § 2.2-2903 veteran preference and executive-branch agencies are charged with achieving V3 certification, so veteran recruitment is an assigned objective.</w:t>
            </w:r>
          </w:p>
        </w:tc>
        <w:tc>
          <w:tcPr>
            <w:tcW w:type="dxa" w:w="1440"/>
          </w:tcPr>
          <w:p>
            <w:pPr>
              <w:spacing w:before="20" w:after="20"/>
              <w:jc w:val="left"/>
            </w:pPr>
            <w:r>
              <w:rPr>
                <w:b/>
                <w:sz w:val="17"/>
              </w:rPr>
              <w:t>Medium</w:t>
            </w:r>
            <w:r>
              <w:rPr>
                <w:sz w:val="17"/>
              </w:rPr>
              <w:t xml:space="preserve"> (inferred from a consistent public record on the adjacent question; no DHRM position on VRS purchase-of-service found).</w:t>
            </w:r>
          </w:p>
        </w:tc>
        <w:tc>
          <w:tcPr>
            <w:tcW w:type="dxa" w:w="1440"/>
          </w:tcPr>
          <w:p>
            <w:pPr>
              <w:spacing w:before="20" w:after="20"/>
              <w:jc w:val="left"/>
            </w:pPr>
            <w:r>
              <w:rPr>
                <w:sz w:val="17"/>
              </w:rPr>
              <w:t xml:space="preserve">DHRM, </w:t>
            </w:r>
            <w:r>
              <w:rPr>
                <w:i/>
                <w:sz w:val="17"/>
              </w:rPr>
              <w:t>State Employee Workforce, Compensation, Health Benefits Update</w:t>
            </w:r>
            <w:r>
              <w:rPr>
                <w:sz w:val="17"/>
              </w:rPr>
              <w:t>, presented to SFAC General Government Subcommittee, 2026-02-03, slides 10–13, 48–52; § 2.2-2903; DHRM Policy 2.10 (Hiring).</w:t>
            </w:r>
          </w:p>
        </w:tc>
      </w:tr>
    </w:tbl>
    <w:p>
      <w:pPr>
        <w:spacing w:before="0" w:after="0" w:line="80" w:lineRule="exact"/>
      </w:pPr>
      <w:r>
        <w:rPr>
          <w:sz w:val="8"/>
        </w:rPr>
      </w:r>
    </w:p>
    <w:p>
      <w:r>
        <w:rPr>
          <w:b/>
        </w:rPr>
        <w:t>Two honest problems with the DHRM argument, which the subcommittee will find if we do not state them first.</w:t>
      </w:r>
    </w:p>
    <w:p>
      <w:pPr>
        <w:spacing w:after="60"/>
        <w:ind w:left="432" w:hanging="432"/>
      </w:pPr>
      <w:r>
        <w:rPr>
          <w:b/>
        </w:rPr>
        <w:t>1.</w:t>
        <w:tab/>
      </w:r>
      <w:r>
        <w:rPr>
          <w:b/>
        </w:rPr>
        <w:t>The retention case points the wrong way in time.</w:t>
      </w:r>
      <w:r>
        <w:t xml:space="preserve"> DHRM's attrition problem is concentrated in years 0–5 — which is </w:t>
      </w:r>
      <w:r>
        <w:rPr>
          <w:i/>
        </w:rPr>
        <w:t>inside</w:t>
      </w:r>
      <w:r>
        <w:t xml:space="preserve"> the existing 24-month window. A veteran who leaves in year three was always able to buy at the discounted price. Our bill helps retention in years 5–25. That is a real benefit (it gives a mid-career veteran a reason to stay for a milestone) but it is </w:t>
      </w:r>
      <w:r>
        <w:rPr>
          <w:b/>
        </w:rPr>
        <w:t>not</w:t>
      </w:r>
      <w:r>
        <w:t xml:space="preserve"> the problem DHRM told Senate Finance it has, and claiming otherwise is how we lose credibility with Michael Jay and Mike Tweedy.</w:t>
      </w:r>
    </w:p>
    <w:p>
      <w:pPr>
        <w:spacing w:after="60"/>
        <w:ind w:left="432" w:hanging="432"/>
      </w:pPr>
      <w:r>
        <w:rPr>
          <w:b/>
        </w:rPr>
        <w:t>2.</w:t>
        <w:tab/>
      </w:r>
      <w:r>
        <w:rPr>
          <w:b/>
        </w:rPr>
        <w:t>DHRM cannot count veterans.</w:t>
      </w:r>
      <w:r>
        <w:t xml:space="preserve"> Its own slide reports classified employees as </w:t>
      </w:r>
      <w:r>
        <w:rPr>
          <w:b/>
        </w:rPr>
        <w:t>6% veteran, 25% not a veteran, 69% unknown</w:t>
      </w:r>
      <w:r>
        <w:t xml:space="preserve">. The denominator for any take-up estimate does not exist in DHRM's data, and VRS said the same of teachers in 2023. </w:t>
      </w:r>
      <w:r>
        <w:rPr>
          <w:b/>
        </w:rPr>
        <w:t>This is the single most consequential operational fact in the whole political analysis</w:t>
      </w:r>
      <w:r>
        <w:t xml:space="preserve"> and it is addressed in § 5.</w:t>
      </w:r>
    </w:p>
    <w:p>
      <w:pPr>
        <w:pStyle w:val="Heading3"/>
      </w:pPr>
      <w:r>
        <w:t>3.3 Local government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Association of Counties (VACo)</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Oppose as drafted; negotiable.</w:t>
            </w:r>
            <w:r>
              <w:rPr>
                <w:sz w:val="17"/>
              </w:rPr>
              <w:t xml:space="preserve"> The objection will be categorical ("unfunded mandate, state-imposed cost on localities") rather than specific to pensions, and the amendment they ask for is already written in their program.</w:t>
            </w:r>
          </w:p>
        </w:tc>
        <w:tc>
          <w:tcPr>
            <w:tcW w:type="dxa" w:w="1440"/>
          </w:tcPr>
          <w:p>
            <w:pPr>
              <w:spacing w:before="20" w:after="20"/>
              <w:jc w:val="left"/>
            </w:pPr>
            <w:r>
              <w:rPr>
                <w:sz w:val="17"/>
              </w:rPr>
              <w:t xml:space="preserve">VACo's </w:t>
            </w:r>
            <w:r>
              <w:rPr>
                <w:b/>
                <w:sz w:val="17"/>
              </w:rPr>
              <w:t>2027 Preliminary Legislative Program</w:t>
            </w:r>
            <w:r>
              <w:rPr>
                <w:sz w:val="17"/>
              </w:rPr>
              <w:t xml:space="preserve"> (released 2026-10-09) contains </w:t>
            </w:r>
            <w:r>
              <w:rPr>
                <w:b/>
                <w:sz w:val="17"/>
              </w:rPr>
              <w:t>no</w:t>
            </w:r>
            <w:r>
              <w:rPr>
                <w:sz w:val="17"/>
              </w:rPr>
              <w:t xml:space="preserve"> position on retirement, VRS, pensions or veterans — searched; zero occurrences. What it does contain, as a </w:t>
            </w:r>
            <w:r>
              <w:rPr>
                <w:i/>
                <w:sz w:val="17"/>
              </w:rPr>
              <w:t>Priority</w:t>
            </w:r>
            <w:r>
              <w:rPr>
                <w:sz w:val="17"/>
              </w:rPr>
              <w:t xml:space="preserve"> under General Government, is: "</w:t>
            </w:r>
            <w:r>
              <w:rPr>
                <w:b/>
                <w:sz w:val="17"/>
              </w:rPr>
              <w:t>Unfunded Mandates</w:t>
            </w:r>
            <w:r>
              <w:rPr>
                <w:sz w:val="17"/>
              </w:rPr>
              <w:t xml:space="preserve"> — VACo opposes unfunded mandates and shifting fiscal responsibility for existing and new programs by the Commonwealth from the state to localities… </w:t>
            </w:r>
            <w:r>
              <w:rPr>
                <w:b/>
                <w:sz w:val="17"/>
              </w:rPr>
              <w:t>When legislation with a cost to localities is passed by the General Assembly, the cost should be borne by the Commonwealth, and the legislation should contain a sunset clause providing that the mandate is not binding on localities until funding by the Commonwealth is provided</w:t>
            </w:r>
            <w:r>
              <w:rPr>
                <w:sz w:val="17"/>
              </w:rPr>
              <w:t xml:space="preserve">" (lines 740–748). Separately, under Finance: VACo "supports… </w:t>
            </w:r>
            <w:r>
              <w:rPr>
                <w:b/>
                <w:sz w:val="17"/>
              </w:rPr>
              <w:t>improvements to the process of local mandate review at the Commission on Local Government</w:t>
            </w:r>
            <w:r>
              <w:rPr>
                <w:sz w:val="17"/>
              </w:rPr>
              <w:t xml:space="preserve"> to capture the effects of mandates on localities more accurately" (lines 671–677).</w:t>
            </w:r>
          </w:p>
        </w:tc>
        <w:tc>
          <w:tcPr>
            <w:tcW w:type="dxa" w:w="1440"/>
          </w:tcPr>
          <w:p>
            <w:pPr>
              <w:spacing w:before="20" w:after="20"/>
              <w:jc w:val="left"/>
            </w:pPr>
            <w:r>
              <w:rPr>
                <w:b/>
                <w:sz w:val="17"/>
              </w:rPr>
              <w:t>High</w:t>
            </w:r>
            <w:r>
              <w:rPr>
                <w:sz w:val="17"/>
              </w:rPr>
              <w:t xml:space="preserve"> for the categorical position and for the </w:t>
            </w:r>
            <w:r>
              <w:rPr>
                <w:i/>
                <w:sz w:val="17"/>
              </w:rPr>
              <w:t>form</w:t>
            </w:r>
            <w:r>
              <w:rPr>
                <w:sz w:val="17"/>
              </w:rPr>
              <w:t xml:space="preserve"> of the amendment they will seek (that final sentence is a drafted template). </w:t>
            </w:r>
            <w:r>
              <w:rPr>
                <w:b/>
                <w:sz w:val="17"/>
              </w:rPr>
              <w:t>Medium</w:t>
            </w:r>
            <w:r>
              <w:rPr>
                <w:sz w:val="17"/>
              </w:rPr>
              <w:t xml:space="preserve"> for intensity — with no retirement plank, no VACo staff member owns this fight.</w:t>
            </w:r>
          </w:p>
        </w:tc>
        <w:tc>
          <w:tcPr>
            <w:tcW w:type="dxa" w:w="1440"/>
          </w:tcPr>
          <w:p>
            <w:pPr>
              <w:spacing w:before="20" w:after="20"/>
              <w:jc w:val="left"/>
            </w:pPr>
            <w:r>
              <w:rPr>
                <w:sz w:val="17"/>
              </w:rPr>
              <w:t xml:space="preserve">VACo, </w:t>
            </w:r>
            <w:r>
              <w:rPr>
                <w:i/>
                <w:sz w:val="17"/>
              </w:rPr>
              <w:t>2027 Preliminary Legislative Program</w:t>
            </w:r>
            <w:r>
              <w:rPr>
                <w:sz w:val="17"/>
              </w:rPr>
              <w:t>, 2026-10-09. Final adoption scheduled 2026-11-10 (steering committees 11/08, Resolutions Committee 11/09).</w:t>
            </w:r>
          </w:p>
        </w:tc>
      </w:tr>
      <w:tr>
        <w:tc>
          <w:tcPr>
            <w:tcW w:type="dxa" w:w="1440"/>
          </w:tcPr>
          <w:p>
            <w:pPr>
              <w:spacing w:before="20" w:after="20"/>
              <w:jc w:val="left"/>
            </w:pPr>
            <w:r>
              <w:rPr>
                <w:b/>
                <w:sz w:val="17"/>
              </w:rPr>
              <w:t>Virginia Municipal League (VML)</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Same as VACo, lower intensity.</w:t>
            </w:r>
          </w:p>
        </w:tc>
        <w:tc>
          <w:tcPr>
            <w:tcW w:type="dxa" w:w="1440"/>
          </w:tcPr>
          <w:p>
            <w:pPr>
              <w:spacing w:before="20" w:after="20"/>
              <w:jc w:val="left"/>
            </w:pPr>
            <w:r>
              <w:rPr>
                <w:sz w:val="17"/>
              </w:rPr>
              <w:t xml:space="preserve">VML's </w:t>
            </w:r>
            <w:r>
              <w:rPr>
                <w:b/>
                <w:sz w:val="17"/>
              </w:rPr>
              <w:t>2027 Legislative Program, approved 2026-10-12</w:t>
            </w:r>
            <w:r>
              <w:rPr>
                <w:sz w:val="17"/>
              </w:rPr>
              <w:t xml:space="preserve">, likewise contains </w:t>
            </w:r>
            <w:r>
              <w:rPr>
                <w:b/>
                <w:sz w:val="17"/>
              </w:rPr>
              <w:t>no</w:t>
            </w:r>
            <w:r>
              <w:rPr>
                <w:sz w:val="17"/>
              </w:rPr>
              <w:t xml:space="preserve"> retirement, VRS, pension or veteran position — searched; zero occurrences. Its applicable language is general: "Any mandate from the state should include full funding for the locality," plus repeated opposition to shifting state funding responsibility onto localities. VML's identified VRS interest in the 2026–27 cycle has been in the </w:t>
            </w:r>
            <w:r>
              <w:rPr>
                <w:i/>
                <w:sz w:val="17"/>
              </w:rPr>
              <w:t>opposite</w:t>
            </w:r>
            <w:r>
              <w:rPr>
                <w:sz w:val="17"/>
              </w:rPr>
              <w:t xml:space="preserve"> direction: seeking state </w:t>
            </w:r>
            <w:r>
              <w:rPr>
                <w:b/>
                <w:sz w:val="17"/>
              </w:rPr>
              <w:t>funding</w:t>
            </w:r>
            <w:r>
              <w:rPr>
                <w:sz w:val="17"/>
              </w:rPr>
              <w:t xml:space="preserve"> for enhanced hazardous-duty benefits for dispatchers and animal control officers.</w:t>
            </w:r>
          </w:p>
        </w:tc>
        <w:tc>
          <w:tcPr>
            <w:tcW w:type="dxa" w:w="1440"/>
          </w:tcPr>
          <w:p>
            <w:pPr>
              <w:spacing w:before="20" w:after="20"/>
              <w:jc w:val="left"/>
            </w:pPr>
            <w:r>
              <w:rPr>
                <w:b/>
                <w:sz w:val="17"/>
              </w:rPr>
              <w:t>Medium</w:t>
            </w:r>
            <w:r>
              <w:rPr>
                <w:sz w:val="17"/>
              </w:rPr>
              <w:t xml:space="preserve"> (inferred — pattern; the program is silent on the specific question).</w:t>
            </w:r>
          </w:p>
        </w:tc>
        <w:tc>
          <w:tcPr>
            <w:tcW w:type="dxa" w:w="1440"/>
          </w:tcPr>
          <w:p>
            <w:pPr>
              <w:spacing w:before="20" w:after="20"/>
              <w:jc w:val="left"/>
            </w:pPr>
            <w:r>
              <w:rPr>
                <w:sz w:val="17"/>
              </w:rPr>
              <w:t xml:space="preserve">VML, </w:t>
            </w:r>
            <w:r>
              <w:rPr>
                <w:i/>
                <w:sz w:val="17"/>
              </w:rPr>
              <w:t>2027 Legislative Program</w:t>
            </w:r>
            <w:r>
              <w:rPr>
                <w:sz w:val="17"/>
              </w:rPr>
              <w:t>, approved 2026-10-12.</w:t>
            </w:r>
          </w:p>
        </w:tc>
      </w:tr>
      <w:tr>
        <w:tc>
          <w:tcPr>
            <w:tcW w:type="dxa" w:w="1440"/>
          </w:tcPr>
          <w:p>
            <w:pPr>
              <w:spacing w:before="20" w:after="20"/>
              <w:jc w:val="left"/>
            </w:pPr>
            <w:r>
              <w:rPr>
                <w:b/>
                <w:sz w:val="17"/>
              </w:rPr>
              <w:t>Commission on Local Government (CLG)</w:t>
            </w:r>
          </w:p>
        </w:tc>
        <w:tc>
          <w:tcPr>
            <w:tcW w:type="dxa" w:w="1440"/>
          </w:tcPr>
          <w:p>
            <w:pPr>
              <w:spacing w:before="20" w:after="20"/>
              <w:jc w:val="left"/>
            </w:pPr>
            <w:r>
              <w:rPr>
                <w:sz w:val="17"/>
              </w:rPr>
              <w:t>State commission (within DHCD)</w:t>
            </w:r>
          </w:p>
        </w:tc>
        <w:tc>
          <w:tcPr>
            <w:tcW w:type="dxa" w:w="1440"/>
          </w:tcPr>
          <w:p>
            <w:pPr>
              <w:spacing w:before="20" w:after="20"/>
              <w:jc w:val="left"/>
            </w:pPr>
            <w:r>
              <w:rPr>
                <w:b/>
                <w:sz w:val="17"/>
              </w:rPr>
              <w:t>Will transmit, and will very likely file its own local fiscal impact statement that reads as adverse. Takes no policy side, but the document will not be neutral in effect.</w:t>
            </w:r>
          </w:p>
        </w:tc>
        <w:tc>
          <w:tcPr>
            <w:tcW w:type="dxa" w:w="1440"/>
          </w:tcPr>
          <w:p>
            <w:pPr>
              <w:spacing w:before="20" w:after="20"/>
              <w:jc w:val="left"/>
            </w:pPr>
            <w:r>
              <w:rPr>
                <w:sz w:val="17"/>
              </w:rPr>
              <w:t xml:space="preserve">CLG is a named recipient of the VRS impact statement under § 30-19.1:7. Separately, under § 30-19.03 CLG must file a local fiscal impact statement for each bill identified by the Division of Legislative Services, DPB and others as likely to impose a net additional expenditure on one or more localities — and those statements are </w:t>
            </w:r>
            <w:r>
              <w:rPr>
                <w:b/>
                <w:sz w:val="17"/>
              </w:rPr>
              <w:t>built from the analyses of local officials in a cross-section of roughly 40 localities</w:t>
            </w:r>
            <w:r>
              <w:rPr>
                <w:sz w:val="17"/>
              </w:rPr>
              <w:t xml:space="preserve">. That is the channel through which diffuse local opposition becomes a document in the bill file. </w:t>
            </w:r>
            <w:r>
              <w:rPr>
                <w:b/>
                <w:sz w:val="17"/>
              </w:rPr>
              <w:t>Red Team F-2 sharpens this row</w:t>
            </w:r>
            <w:r>
              <w:rPr>
                <w:sz w:val="17"/>
              </w:rPr>
              <w:t>: because our own model assigns $23M–$45M to localities through rates they never vote on, a § 30-19.03 statement is close to unavoidable, and it will be the document that contradicts a "$0" headline.</w:t>
            </w:r>
          </w:p>
        </w:tc>
        <w:tc>
          <w:tcPr>
            <w:tcW w:type="dxa" w:w="1440"/>
          </w:tcPr>
          <w:p>
            <w:pPr>
              <w:spacing w:before="20" w:after="20"/>
              <w:jc w:val="left"/>
            </w:pPr>
            <w:r>
              <w:rPr>
                <w:b/>
                <w:sz w:val="17"/>
              </w:rPr>
              <w:t>High</w:t>
            </w:r>
            <w:r>
              <w:rPr>
                <w:sz w:val="17"/>
              </w:rPr>
              <w:t xml:space="preserve"> for the institutional role and for the likelihood of a filing; </w:t>
            </w:r>
            <w:r>
              <w:rPr>
                <w:b/>
                <w:sz w:val="17"/>
              </w:rPr>
              <w:t>Low</w:t>
            </w:r>
            <w:r>
              <w:rPr>
                <w:sz w:val="17"/>
              </w:rPr>
              <w:t xml:space="preserve"> for the specific content.</w:t>
            </w:r>
          </w:p>
        </w:tc>
        <w:tc>
          <w:tcPr>
            <w:tcW w:type="dxa" w:w="1440"/>
          </w:tcPr>
          <w:p>
            <w:pPr>
              <w:spacing w:before="20" w:after="20"/>
              <w:jc w:val="left"/>
            </w:pPr>
            <w:r>
              <w:rPr>
                <w:sz w:val="17"/>
              </w:rPr>
              <w:t xml:space="preserve">§ 30-19.1:7; § 30-19.03; § 15.2-2903; DHCD/CLG, </w:t>
            </w:r>
            <w:r>
              <w:rPr>
                <w:i/>
                <w:sz w:val="17"/>
              </w:rPr>
              <w:t>Fiscal Impact Review</w:t>
            </w:r>
            <w:r>
              <w:rPr>
                <w:sz w:val="17"/>
              </w:rPr>
              <w:t xml:space="preserve">; CLG </w:t>
            </w:r>
            <w:r>
              <w:rPr>
                <w:i/>
                <w:sz w:val="17"/>
              </w:rPr>
              <w:t>Catalog of State and Federal Mandates on Local Governments</w:t>
            </w:r>
            <w:r>
              <w:rPr>
                <w:sz w:val="17"/>
              </w:rPr>
              <w:t xml:space="preserve"> (RD336, published 2026); Red Team Review F-2.</w:t>
            </w:r>
          </w:p>
        </w:tc>
      </w:tr>
      <w:tr>
        <w:tc>
          <w:tcPr>
            <w:tcW w:type="dxa" w:w="1440"/>
          </w:tcPr>
          <w:p>
            <w:pPr>
              <w:spacing w:before="20" w:after="20"/>
              <w:jc w:val="left"/>
            </w:pPr>
            <w:r>
              <w:rPr>
                <w:b/>
                <w:sz w:val="17"/>
              </w:rPr>
              <w:t>Individual large localities (e.g. Fairfax County)</w:t>
            </w:r>
          </w:p>
        </w:tc>
        <w:tc>
          <w:tcPr>
            <w:tcW w:type="dxa" w:w="1440"/>
          </w:tcPr>
          <w:p>
            <w:pPr>
              <w:spacing w:before="20" w:after="20"/>
              <w:jc w:val="left"/>
            </w:pPr>
            <w:r>
              <w:rPr>
                <w:sz w:val="17"/>
              </w:rPr>
              <w:t>Locality</w:t>
            </w:r>
          </w:p>
        </w:tc>
        <w:tc>
          <w:tcPr>
            <w:tcW w:type="dxa" w:w="1440"/>
          </w:tcPr>
          <w:p>
            <w:pPr>
              <w:spacing w:before="20" w:after="20"/>
              <w:jc w:val="left"/>
            </w:pPr>
            <w:r>
              <w:rPr>
                <w:b/>
                <w:sz w:val="17"/>
              </w:rPr>
              <w:t>Will not lead on this.</w:t>
            </w:r>
            <w:r>
              <w:rPr>
                <w:sz w:val="17"/>
              </w:rPr>
              <w:t xml:space="preserve"> Several publish their own legislative programs; Fairfax's 2027 draft went to its Board of Supervisors on 2026-10-06 and the surrounding coverage frames 2027 programs around state mandates and local cost impacts.</w:t>
            </w:r>
          </w:p>
        </w:tc>
        <w:tc>
          <w:tcPr>
            <w:tcW w:type="dxa" w:w="1440"/>
          </w:tcPr>
          <w:p>
            <w:pPr>
              <w:spacing w:before="20" w:after="20"/>
              <w:jc w:val="left"/>
            </w:pPr>
            <w:r>
              <w:rPr>
                <w:b/>
                <w:sz w:val="17"/>
              </w:rPr>
              <w:t>Low</w:t>
            </w:r>
            <w:r>
              <w:rPr>
                <w:sz w:val="17"/>
              </w:rPr>
              <w:t xml:space="preserve"> (inferred — interest; no locality-specific position on this bill found).</w:t>
            </w:r>
          </w:p>
        </w:tc>
        <w:tc>
          <w:tcPr>
            <w:tcW w:type="dxa" w:w="1440"/>
          </w:tcPr>
          <w:p>
            <w:pPr>
              <w:spacing w:before="20" w:after="20"/>
              <w:jc w:val="left"/>
            </w:pPr>
            <w:r>
              <w:rPr>
                <w:sz w:val="17"/>
              </w:rPr>
              <w:t xml:space="preserve">Fairfax County, </w:t>
            </w:r>
            <w:r>
              <w:rPr>
                <w:i/>
                <w:sz w:val="17"/>
              </w:rPr>
              <w:t>2027 Draft Legislative Program</w:t>
            </w:r>
            <w:r>
              <w:rPr>
                <w:sz w:val="17"/>
              </w:rPr>
              <w:t>, Board of Supervisors 2026-10-06.</w:t>
            </w:r>
          </w:p>
        </w:tc>
        <w:tc>
          <w:tcPr>
            <w:tcW w:type="dxa" w:w="1440"/>
          </w:tcPr>
          <w:p>
            <w:pPr>
              <w:spacing w:before="20" w:after="20"/>
              <w:jc w:val="left"/>
            </w:pPr>
          </w:p>
        </w:tc>
      </w:tr>
    </w:tbl>
    <w:p>
      <w:pPr>
        <w:spacing w:before="0" w:after="0" w:line="80" w:lineRule="exact"/>
      </w:pPr>
      <w:r>
        <w:rPr>
          <w:sz w:val="8"/>
        </w:rPr>
      </w:r>
    </w:p>
    <w:p>
      <w:r>
        <w:rPr>
          <w:b/>
        </w:rPr>
        <w:t>The Dillon's Rule reading.</w:t>
      </w:r>
      <w:r>
        <w:t xml:space="preserve"> Virginia localities oppose preemption and unfunded mandates as a </w:t>
      </w:r>
      <w:r>
        <w:rPr>
          <w:i/>
        </w:rPr>
        <w:t>category</w:t>
      </w:r>
      <w:r>
        <w:t xml:space="preserve">, nearly independent of the policy. The useful consequence is that the objection is not about veterans and is therefore purchasable. The two things VACo's own program says it wants are (a) the Commonwealth bearing the cost, or (b) the provision not binding localities until funded. </w:t>
      </w:r>
      <w:r>
        <w:rPr>
          <w:b/>
        </w:rPr>
        <w:t>Option (b) is functionally the opt-in-by-resolution structure modelled on § 51.1-153 B 4</w:t>
      </w:r>
      <w:r>
        <w:t xml:space="preserve"> that JLCVSO rejected on 2026-10-24. See § 6.</w:t>
      </w:r>
    </w:p>
    <w:p>
      <w:r>
        <w:rPr>
          <w:b/>
        </w:rPr>
        <w:t>Conflict to flag to the Fiscal &amp; Impact Modeler.</w:t>
      </w:r>
      <w:r>
        <w:t xml:space="preserve"> VACo and VML will characterise this as an unfunded mandate with a cost to localities. Our model says $0 general fund and a $13M–$182M one-time present value borne through employer contribution rates. Both statements can be true at once, and the package already says so. But </w:t>
      </w:r>
      <w:r>
        <w:rPr>
          <w:b/>
        </w:rPr>
        <w:t>present value is the wrong unit for this audience.</w:t>
      </w:r>
      <w:r>
        <w:t xml:space="preserve"> A county administrator responds to "this adds N basis points to your FY29 employer rate," not to a statewide PV range. The political analysis needs a per-employer rate-impact figure for the political subdivision pool and for the Teacher plan, at low and high take-up. </w:t>
      </w:r>
      <w:r>
        <w:rPr>
          <w:b/>
        </w:rPr>
        <w:t>Requested of Fiscal &amp; Impact Modeler as a discrete deliverable.</w:t>
      </w:r>
      <w:r>
        <w:t xml:space="preserve"> For scale, the Board-certified FY27/FY28 rates are: public school teachers 12.20%, state employees 11.07%, SPORS 31.67%, VaLORS 22.60%, JRS 30.49%; VACo reports the average actuarially determined political-subdivision DB rate at 4.98% without enhanced hazardous duty and 12.32% with it.</w:t>
      </w:r>
    </w:p>
    <w:p>
      <w:pPr>
        <w:pStyle w:val="Heading3"/>
      </w:pPr>
      <w:r>
        <w:t>3.4 Veterans organisations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Joint Leadership Council of Veterans Service Organizations (JLC/JLCVSO)</w:t>
            </w:r>
            <w:r>
              <w:rPr>
                <w:sz w:val="17"/>
              </w:rPr>
              <w:t xml:space="preserve"> — 27 member VSOs</w:t>
            </w:r>
          </w:p>
        </w:tc>
        <w:tc>
          <w:tcPr>
            <w:tcW w:type="dxa" w:w="1440"/>
          </w:tcPr>
          <w:p>
            <w:pPr>
              <w:spacing w:before="20" w:after="20"/>
              <w:jc w:val="left"/>
            </w:pPr>
            <w:r>
              <w:rPr>
                <w:sz w:val="17"/>
              </w:rPr>
              <w:t>Statutory advisory council (§ 2.2-2681)</w:t>
            </w:r>
          </w:p>
        </w:tc>
        <w:tc>
          <w:tcPr>
            <w:tcW w:type="dxa" w:w="1440"/>
          </w:tcPr>
          <w:p>
            <w:pPr>
              <w:spacing w:before="20" w:after="20"/>
              <w:jc w:val="left"/>
            </w:pPr>
            <w:r>
              <w:rPr>
                <w:b/>
                <w:sz w:val="17"/>
              </w:rPr>
              <w:t>Supportive — but this proposal is not on its adopted legislative slate, and that is the first problem to solve.</w:t>
            </w:r>
          </w:p>
        </w:tc>
        <w:tc>
          <w:tcPr>
            <w:tcW w:type="dxa" w:w="1440"/>
          </w:tcPr>
          <w:p>
            <w:pPr>
              <w:spacing w:before="20" w:after="20"/>
              <w:jc w:val="left"/>
            </w:pPr>
            <w:r>
              <w:rPr>
                <w:sz w:val="17"/>
              </w:rPr>
              <w:t xml:space="preserve">The JLC's process is documented: the Legislative Committee screens suggestions in the spring, forwards a short list to the full JLC in June, and the full Council adopts the numbered initiatives that members then carry to legislators during session. At the 2025-04-23 Legislative Committee meeting, </w:t>
            </w:r>
            <w:r>
              <w:rPr>
                <w:b/>
                <w:sz w:val="17"/>
              </w:rPr>
              <w:t>seventeen</w:t>
            </w:r>
            <w:r>
              <w:rPr>
                <w:sz w:val="17"/>
              </w:rPr>
              <w:t xml:space="preserve"> suggested initiatives were cut to </w:t>
            </w:r>
            <w:r>
              <w:rPr>
                <w:b/>
                <w:sz w:val="17"/>
              </w:rPr>
              <w:t>nine</w:t>
            </w:r>
            <w:r>
              <w:rPr>
                <w:sz w:val="17"/>
              </w:rPr>
              <w:t xml:space="preserve"> forwarded; the full Council then adopted </w:t>
            </w:r>
            <w:r>
              <w:rPr>
                <w:b/>
                <w:sz w:val="17"/>
              </w:rPr>
              <w:t>six</w:t>
            </w:r>
            <w:r>
              <w:rPr>
                <w:sz w:val="17"/>
              </w:rPr>
              <w:t xml:space="preserve"> (JLC 2026-01 through 2026-06). </w:t>
            </w:r>
            <w:r>
              <w:rPr>
                <w:b/>
                <w:sz w:val="17"/>
              </w:rPr>
              <w:t>None of the nine forwarded, and none of the six adopted, concerned VRS, pensions or service credit.</w:t>
            </w:r>
            <w:r>
              <w:rPr>
                <w:sz w:val="17"/>
              </w:rPr>
              <w:t xml:space="preserve"> Every forwarded item was a tax, fee, tuition, education-program or consumer-protection item.</w:t>
            </w:r>
          </w:p>
        </w:tc>
        <w:tc>
          <w:tcPr>
            <w:tcW w:type="dxa" w:w="1440"/>
          </w:tcPr>
          <w:p>
            <w:pPr>
              <w:spacing w:before="20" w:after="20"/>
              <w:jc w:val="left"/>
            </w:pPr>
            <w:r>
              <w:rPr>
                <w:b/>
                <w:sz w:val="17"/>
              </w:rPr>
              <w:t>High</w:t>
            </w:r>
            <w:r>
              <w:rPr>
                <w:sz w:val="17"/>
              </w:rPr>
              <w:t xml:space="preserve"> that the 2026 slate contained no VRS item and that the process runs spring→June. </w:t>
            </w:r>
            <w:r>
              <w:rPr>
                <w:b/>
                <w:sz w:val="17"/>
              </w:rPr>
              <w:t>Low</w:t>
            </w:r>
            <w:r>
              <w:rPr>
                <w:sz w:val="17"/>
              </w:rPr>
              <w:t xml:space="preserve"> on the composition of the 2027 slate — I could not retrieve it (see § 9, U-1).</w:t>
            </w:r>
          </w:p>
        </w:tc>
        <w:tc>
          <w:tcPr>
            <w:tcW w:type="dxa" w:w="1440"/>
          </w:tcPr>
          <w:p>
            <w:pPr>
              <w:spacing w:before="20" w:after="20"/>
              <w:jc w:val="left"/>
            </w:pPr>
            <w:r>
              <w:rPr>
                <w:sz w:val="17"/>
              </w:rPr>
              <w:t xml:space="preserve">JLC Legislative Committee </w:t>
            </w:r>
            <w:r>
              <w:rPr>
                <w:i/>
                <w:sz w:val="17"/>
              </w:rPr>
              <w:t>Draft Meeting Minutes</w:t>
            </w:r>
            <w:r>
              <w:rPr>
                <w:sz w:val="17"/>
              </w:rPr>
              <w:t>, 2025-04-23 (Virginia War Memorial), Items VII–IX; § 2.2-2681; DVS JLC page (returned HTTP 403 — not retrieved).</w:t>
            </w:r>
          </w:p>
        </w:tc>
      </w:tr>
      <w:tr>
        <w:tc>
          <w:tcPr>
            <w:tcW w:type="dxa" w:w="1440"/>
          </w:tcPr>
          <w:p>
            <w:pPr>
              <w:spacing w:before="20" w:after="20"/>
              <w:jc w:val="left"/>
            </w:pPr>
            <w:r>
              <w:rPr>
                <w:b/>
                <w:sz w:val="17"/>
              </w:rPr>
              <w:t>Individual JLC member organisations</w:t>
            </w:r>
            <w:r>
              <w:rPr>
                <w:sz w:val="17"/>
              </w:rPr>
              <w:t xml:space="preserve"> — American Legion, VFW, DAV, MOAA (Virginia Council of Chapters), AUSA, Fleet Reserve Association, National Guard Association of Virginia, Reserve Organization of America, Student Veterans of America, IAVA, Northern Virginia Veterans Association, HOPE for the Warriors, Military Order of the World Wars, Navy League, Missing in America Project</w:t>
            </w:r>
          </w:p>
        </w:tc>
        <w:tc>
          <w:tcPr>
            <w:tcW w:type="dxa" w:w="1440"/>
          </w:tcPr>
          <w:p>
            <w:pPr>
              <w:spacing w:before="20" w:after="20"/>
              <w:jc w:val="left"/>
            </w:pPr>
            <w:r>
              <w:rPr>
                <w:sz w:val="17"/>
              </w:rPr>
              <w:t>Advocacy organisations</w:t>
            </w:r>
          </w:p>
        </w:tc>
        <w:tc>
          <w:tcPr>
            <w:tcW w:type="dxa" w:w="1440"/>
          </w:tcPr>
          <w:p>
            <w:pPr>
              <w:spacing w:before="20" w:after="20"/>
              <w:jc w:val="left"/>
            </w:pPr>
            <w:r>
              <w:rPr>
                <w:b/>
                <w:sz w:val="17"/>
              </w:rPr>
              <w:t>Supportive if asked; unlikely to prioritise.</w:t>
            </w:r>
            <w:r>
              <w:rPr>
                <w:sz w:val="17"/>
              </w:rPr>
              <w:t xml:space="preserve"> MOAA's Virginia chapters and AUSA are the most likely to supply a credible witness on the mid-career-hire mechanic, because their members </w:t>
            </w:r>
            <w:r>
              <w:rPr>
                <w:i/>
                <w:sz w:val="17"/>
              </w:rPr>
              <w:t>are</w:t>
            </w:r>
            <w:r>
              <w:rPr>
                <w:sz w:val="17"/>
              </w:rPr>
              <w:t xml:space="preserve"> retired officers who entered public employment after a military career.</w:t>
            </w:r>
          </w:p>
        </w:tc>
        <w:tc>
          <w:tcPr>
            <w:tcW w:type="dxa" w:w="1440"/>
          </w:tcPr>
          <w:p>
            <w:pPr>
              <w:spacing w:before="20" w:after="20"/>
              <w:jc w:val="left"/>
            </w:pPr>
            <w:r>
              <w:rPr>
                <w:sz w:val="17"/>
              </w:rPr>
              <w:t>Member organisations and their representatives are named in the JLC Legislative Committee minutes. No member organisation was found to have taken a public position on VRS purchase of service credit, in either direction.</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JLC Legislative Committee minutes, 2025-04-23, attendance list.</w:t>
            </w:r>
          </w:p>
        </w:tc>
      </w:tr>
      <w:tr>
        <w:tc>
          <w:tcPr>
            <w:tcW w:type="dxa" w:w="1440"/>
          </w:tcPr>
          <w:p>
            <w:pPr>
              <w:spacing w:before="20" w:after="20"/>
              <w:jc w:val="left"/>
            </w:pPr>
            <w:r>
              <w:rPr>
                <w:b/>
                <w:sz w:val="17"/>
              </w:rPr>
              <w:t>Department of Veterans Services (DVS) / Secretary of Veterans and Defense Affairs</w:t>
            </w:r>
          </w:p>
        </w:tc>
        <w:tc>
          <w:tcPr>
            <w:tcW w:type="dxa" w:w="1440"/>
          </w:tcPr>
          <w:p>
            <w:pPr>
              <w:spacing w:before="20" w:after="20"/>
              <w:jc w:val="left"/>
            </w:pPr>
            <w:r>
              <w:rPr>
                <w:sz w:val="17"/>
              </w:rPr>
              <w:t>State agency / cabinet</w:t>
            </w:r>
          </w:p>
        </w:tc>
        <w:tc>
          <w:tcPr>
            <w:tcW w:type="dxa" w:w="1440"/>
          </w:tcPr>
          <w:p>
            <w:pPr>
              <w:spacing w:before="20" w:after="20"/>
              <w:jc w:val="left"/>
            </w:pPr>
            <w:r>
              <w:rPr>
                <w:b/>
                <w:sz w:val="17"/>
              </w:rPr>
              <w:t>Will not lead and may actively steer away.</w:t>
            </w:r>
          </w:p>
        </w:tc>
        <w:tc>
          <w:tcPr>
            <w:tcW w:type="dxa" w:w="1440"/>
          </w:tcPr>
          <w:p>
            <w:pPr>
              <w:spacing w:before="20" w:after="20"/>
              <w:jc w:val="left"/>
            </w:pPr>
            <w:r>
              <w:rPr>
                <w:sz w:val="17"/>
              </w:rPr>
              <w:t xml:space="preserve">DVS Commissioner Zingler's recorded remarks to the JLC Legislative Committee twice pressed members to tie initiatives to the Virginia Veterans strategic plan and emphasised "the importance of </w:t>
            </w:r>
            <w:r>
              <w:rPr>
                <w:b/>
                <w:sz w:val="17"/>
              </w:rPr>
              <w:t>investing in transitioning service members whose needs are very different than older retirees</w:t>
            </w:r>
            <w:r>
              <w:rPr>
                <w:sz w:val="17"/>
              </w:rPr>
              <w:t>." A late-career pension purchase window is, on its face, the older-retiree end of that spectrum.</w:t>
            </w:r>
          </w:p>
        </w:tc>
        <w:tc>
          <w:tcPr>
            <w:tcW w:type="dxa" w:w="1440"/>
          </w:tcPr>
          <w:p>
            <w:pPr>
              <w:spacing w:before="20" w:after="20"/>
              <w:jc w:val="left"/>
            </w:pPr>
            <w:r>
              <w:rPr>
                <w:b/>
                <w:sz w:val="17"/>
              </w:rPr>
              <w:t>Medium</w:t>
            </w:r>
            <w:r>
              <w:rPr>
                <w:sz w:val="17"/>
              </w:rPr>
              <w:t xml:space="preserve"> (documented remarks on a closely adjacent framing question, not on this bill).</w:t>
            </w:r>
          </w:p>
        </w:tc>
        <w:tc>
          <w:tcPr>
            <w:tcW w:type="dxa" w:w="1440"/>
          </w:tcPr>
          <w:p>
            <w:pPr>
              <w:spacing w:before="20" w:after="20"/>
              <w:jc w:val="left"/>
            </w:pPr>
            <w:r>
              <w:rPr>
                <w:sz w:val="17"/>
              </w:rPr>
              <w:t>JLC Legislative Committee minutes, 2025-04-23, Item VII and Item XI.</w:t>
            </w:r>
          </w:p>
        </w:tc>
      </w:tr>
    </w:tbl>
    <w:p>
      <w:pPr>
        <w:spacing w:before="0" w:after="0" w:line="80" w:lineRule="exact"/>
      </w:pPr>
      <w:r>
        <w:rPr>
          <w:sz w:val="8"/>
        </w:rPr>
      </w:r>
    </w:p>
    <w:p>
      <w:r>
        <w:rPr>
          <w:b/>
        </w:rPr>
        <w:t>The competing-ask question the task asked me to answer.</w:t>
      </w:r>
      <w:r>
        <w:t xml:space="preserve"> I found </w:t>
      </w:r>
      <w:r>
        <w:rPr>
          <w:b/>
        </w:rPr>
        <w:t>no</w:t>
      </w:r>
      <w:r>
        <w:t xml:space="preserve"> JLC member organisation with a </w:t>
      </w:r>
      <w:r>
        <w:rPr>
          <w:i/>
        </w:rPr>
        <w:t>conflicting</w:t>
      </w:r>
      <w:r>
        <w:t xml:space="preserve"> VRS ask. But the JLC's adopted slate is crowded with items that compete for the same thing this bill needs — fiscal headroom and the Council's limited floor time. The 2026-cycle forwarded list included eliminating state income tax for resident active-duty personnel, removing the $40,000 cap on the military benefits subtraction, a $1,500 income tax credit for all Virginia veterans, and two National Guard appropriation increases. Those are large, visible, general-fund asks. </w:t>
      </w:r>
      <w:r>
        <w:rPr>
          <w:b/>
        </w:rPr>
        <w:t>A $0-general-fund, tens-of-millions-of-present-value pension bill is easy for a JLC floor vote to rank tenth.</w:t>
      </w:r>
      <w:r>
        <w:t xml:space="preserve"> That is a coalition problem inside our own client, and Policy Director should see it as one.</w:t>
      </w:r>
    </w:p>
    <w:p>
      <w:pPr>
        <w:pStyle w:val="Heading3"/>
      </w:pPr>
      <w:r>
        <w:t>3.5 Employee associations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Education Association (VEA)</w:t>
            </w:r>
          </w:p>
        </w:tc>
        <w:tc>
          <w:tcPr>
            <w:tcW w:type="dxa" w:w="1440"/>
          </w:tcPr>
          <w:p>
            <w:pPr>
              <w:spacing w:before="20" w:after="20"/>
              <w:jc w:val="left"/>
            </w:pPr>
            <w:r>
              <w:rPr>
                <w:sz w:val="17"/>
              </w:rPr>
              <w:t>Teacher association</w:t>
            </w:r>
          </w:p>
        </w:tc>
        <w:tc>
          <w:tcPr>
            <w:tcW w:type="dxa" w:w="1440"/>
          </w:tcPr>
          <w:p>
            <w:pPr>
              <w:spacing w:before="20" w:after="20"/>
              <w:jc w:val="left"/>
            </w:pPr>
            <w:r>
              <w:rPr>
                <w:b/>
                <w:sz w:val="17"/>
              </w:rPr>
              <w:t>Supportive, and a genuine new ally created by the no-opt-in scope decision — but with a real risk of pressing to extend the relief to all of subdivision B 1.</w:t>
            </w:r>
          </w:p>
        </w:tc>
        <w:tc>
          <w:tcPr>
            <w:tcW w:type="dxa" w:w="1440"/>
          </w:tcPr>
          <w:p>
            <w:pPr>
              <w:spacing w:before="20" w:after="20"/>
              <w:jc w:val="left"/>
            </w:pPr>
            <w:r>
              <w:rPr>
                <w:sz w:val="17"/>
              </w:rPr>
              <w:t xml:space="preserve">Two documented facts. (1) VEA's published legislative agenda states that VEA </w:t>
            </w:r>
            <w:r>
              <w:rPr>
                <w:b/>
                <w:sz w:val="17"/>
              </w:rPr>
              <w:t>opposes</w:t>
            </w:r>
            <w:r>
              <w:rPr>
                <w:sz w:val="17"/>
              </w:rPr>
              <w:t xml:space="preserve"> measures that "undermine or reduce the health or retirement benefits of school personnel." That is a defensive plank: it commits VEA against retrenchment, not for expansion — it is not a position on this bill. (2) VEA is the </w:t>
            </w:r>
            <w:r>
              <w:rPr>
                <w:b/>
                <w:sz w:val="17"/>
              </w:rPr>
              <w:t>direct beneficiary of the only § 51.1-142.2 amendment enacted in 2026.</w:t>
            </w:r>
            <w:r>
              <w:rPr>
                <w:sz w:val="17"/>
              </w:rPr>
              <w:t xml:space="preserve"> HB 139 (Simonds), Chapter 563, approved 2026-04-13, requires school boards to grant unpaid educational leave to state and local employee association officers and permits those officers to purchase service credit for the leave under § 51.1-142.2. VEA also has a standing presence with the VRS Board: Carol Bauer, Virginia Education Association, is recorded as a guest at both days of the 2026 VRS Board of Trustees retreat.</w:t>
            </w:r>
          </w:p>
        </w:tc>
        <w:tc>
          <w:tcPr>
            <w:tcW w:type="dxa" w:w="1440"/>
          </w:tcPr>
          <w:p>
            <w:pPr>
              <w:spacing w:before="20" w:after="20"/>
              <w:jc w:val="left"/>
            </w:pPr>
            <w:r>
              <w:rPr>
                <w:b/>
                <w:sz w:val="17"/>
              </w:rPr>
              <w:t>Medium</w:t>
            </w:r>
            <w:r>
              <w:rPr>
                <w:sz w:val="17"/>
              </w:rPr>
              <w:t xml:space="preserve"> for support (inferred — pattern, plus a fresh demonstrated interest in this exact statute). </w:t>
            </w:r>
            <w:r>
              <w:rPr>
                <w:b/>
                <w:sz w:val="17"/>
              </w:rPr>
              <w:t>Medium</w:t>
            </w:r>
            <w:r>
              <w:rPr>
                <w:sz w:val="17"/>
              </w:rPr>
              <w:t xml:space="preserve"> for the extension risk.</w:t>
            </w:r>
          </w:p>
        </w:tc>
        <w:tc>
          <w:tcPr>
            <w:tcW w:type="dxa" w:w="1440"/>
          </w:tcPr>
          <w:p>
            <w:pPr>
              <w:spacing w:before="20" w:after="20"/>
              <w:jc w:val="left"/>
            </w:pPr>
            <w:r>
              <w:rPr>
                <w:sz w:val="17"/>
              </w:rPr>
              <w:t xml:space="preserve">VEA </w:t>
            </w:r>
            <w:r>
              <w:rPr>
                <w:i/>
                <w:sz w:val="17"/>
              </w:rPr>
              <w:t>Legislative Agenda</w:t>
            </w:r>
            <w:r>
              <w:rPr>
                <w:sz w:val="17"/>
              </w:rPr>
              <w:t xml:space="preserve"> (most recent published version located is 2024); HB 139 (2026), Chapter 563; VRS Board materials 2026-04-23, retreat attendance lists.</w:t>
            </w:r>
          </w:p>
        </w:tc>
      </w:tr>
      <w:tr>
        <w:tc>
          <w:tcPr>
            <w:tcW w:type="dxa" w:w="1440"/>
          </w:tcPr>
          <w:p>
            <w:pPr>
              <w:spacing w:before="20" w:after="20"/>
              <w:jc w:val="left"/>
            </w:pPr>
            <w:r>
              <w:rPr>
                <w:b/>
                <w:sz w:val="17"/>
              </w:rPr>
              <w:t>Virginia Governmental Employees Association (VGEA)</w:t>
            </w:r>
          </w:p>
        </w:tc>
        <w:tc>
          <w:tcPr>
            <w:tcW w:type="dxa" w:w="1440"/>
          </w:tcPr>
          <w:p>
            <w:pPr>
              <w:spacing w:before="20" w:after="20"/>
              <w:jc w:val="left"/>
            </w:pPr>
            <w:r>
              <w:rPr>
                <w:sz w:val="17"/>
              </w:rPr>
              <w:t>State employee association</w:t>
            </w:r>
          </w:p>
        </w:tc>
        <w:tc>
          <w:tcPr>
            <w:tcW w:type="dxa" w:w="1440"/>
          </w:tcPr>
          <w:p>
            <w:pPr>
              <w:spacing w:before="20" w:after="20"/>
              <w:jc w:val="left"/>
            </w:pPr>
            <w:r>
              <w:rPr>
                <w:b/>
                <w:sz w:val="17"/>
              </w:rPr>
              <w:t>Supportive in principle; will not spend capital on it. Will press for the broader ask.</w:t>
            </w:r>
          </w:p>
        </w:tc>
        <w:tc>
          <w:tcPr>
            <w:tcW w:type="dxa" w:w="1440"/>
          </w:tcPr>
          <w:p>
            <w:pPr>
              <w:spacing w:before="20" w:after="20"/>
              <w:jc w:val="left"/>
            </w:pPr>
            <w:r>
              <w:rPr>
                <w:sz w:val="17"/>
              </w:rPr>
              <w:t xml:space="preserve">VGEA's published VRS priorities are </w:t>
            </w:r>
            <w:r>
              <w:rPr>
                <w:b/>
                <w:sz w:val="17"/>
              </w:rPr>
              <w:t>retiree COLA adequacy</w:t>
            </w:r>
            <w:r>
              <w:rPr>
                <w:sz w:val="17"/>
              </w:rPr>
              <w:t xml:space="preserve"> and </w:t>
            </w:r>
            <w:r>
              <w:rPr>
                <w:b/>
                <w:sz w:val="17"/>
              </w:rPr>
              <w:t>Hybrid Retirement Plan adequacy</w:t>
            </w:r>
            <w:r>
              <w:rPr>
                <w:sz w:val="17"/>
              </w:rPr>
              <w:t>, including a stated partnership with JLARC to study whether Hybrid members can save enough and whether the plan is navigable. Its historic signature achievement is the annual VRS retiree COLA. Purchase of service credit does not appear in VGEA's published priorities.</w:t>
            </w:r>
          </w:p>
        </w:tc>
        <w:tc>
          <w:tcPr>
            <w:tcW w:type="dxa" w:w="1440"/>
          </w:tcPr>
          <w:p>
            <w:pPr>
              <w:spacing w:before="20" w:after="20"/>
              <w:jc w:val="left"/>
            </w:pPr>
            <w:r>
              <w:rPr>
                <w:b/>
                <w:sz w:val="17"/>
              </w:rPr>
              <w:t>Medium</w:t>
            </w:r>
            <w:r>
              <w:rPr>
                <w:sz w:val="17"/>
              </w:rPr>
              <w:t xml:space="preserve"> (documented priorities on adjacent questions; no position on purchase of service).</w:t>
            </w:r>
          </w:p>
        </w:tc>
        <w:tc>
          <w:tcPr>
            <w:tcW w:type="dxa" w:w="1440"/>
          </w:tcPr>
          <w:p>
            <w:pPr>
              <w:spacing w:before="20" w:after="20"/>
              <w:jc w:val="left"/>
            </w:pPr>
            <w:r>
              <w:rPr>
                <w:sz w:val="17"/>
              </w:rPr>
              <w:t xml:space="preserve">VGEA, </w:t>
            </w:r>
            <w:r>
              <w:rPr>
                <w:i/>
                <w:sz w:val="17"/>
              </w:rPr>
              <w:t>Advocacy</w:t>
            </w:r>
            <w:r>
              <w:rPr>
                <w:sz w:val="17"/>
              </w:rPr>
              <w:t xml:space="preserve"> and </w:t>
            </w:r>
            <w:r>
              <w:rPr>
                <w:i/>
                <w:sz w:val="17"/>
              </w:rPr>
              <w:t>Commitment to Retirees</w:t>
            </w:r>
            <w:r>
              <w:rPr>
                <w:sz w:val="17"/>
              </w:rPr>
              <w:t xml:space="preserve"> pages; VGEA 2025 Legislative Priorities Survey summary; VGEA Legislation Tracker.</w:t>
            </w:r>
          </w:p>
        </w:tc>
      </w:tr>
      <w:tr>
        <w:tc>
          <w:tcPr>
            <w:tcW w:type="dxa" w:w="1440"/>
          </w:tcPr>
          <w:p>
            <w:pPr>
              <w:spacing w:before="20" w:after="20"/>
              <w:jc w:val="left"/>
            </w:pPr>
            <w:r>
              <w:rPr>
                <w:b/>
                <w:sz w:val="17"/>
              </w:rPr>
              <w:t>Local police and fire associations / hazardous-duty employee groups</w:t>
            </w:r>
          </w:p>
        </w:tc>
        <w:tc>
          <w:tcPr>
            <w:tcW w:type="dxa" w:w="1440"/>
          </w:tcPr>
          <w:p>
            <w:pPr>
              <w:spacing w:before="20" w:after="20"/>
              <w:jc w:val="left"/>
            </w:pPr>
            <w:r>
              <w:rPr>
                <w:sz w:val="17"/>
              </w:rPr>
              <w:t>Labour / professional</w:t>
            </w:r>
          </w:p>
        </w:tc>
        <w:tc>
          <w:tcPr>
            <w:tcW w:type="dxa" w:w="1440"/>
          </w:tcPr>
          <w:p>
            <w:pPr>
              <w:spacing w:before="20" w:after="20"/>
              <w:jc w:val="left"/>
            </w:pPr>
            <w:r>
              <w:rPr>
                <w:b/>
                <w:sz w:val="17"/>
              </w:rPr>
              <w:t>Supportive; and the most natural source of a sympathetic witness.</w:t>
            </w:r>
            <w:r>
              <w:rPr>
                <w:sz w:val="17"/>
              </w:rPr>
              <w:t xml:space="preserve"> Hazardous-duty members are disproportionately veterans, and every rate group including the 10.01% alternate hazardous duty option already has a Board-adopted approximate normal cost rate (Annex 2 Closure FM-3), so the bill reaches them.</w:t>
            </w:r>
          </w:p>
        </w:tc>
        <w:tc>
          <w:tcPr>
            <w:tcW w:type="dxa" w:w="1440"/>
          </w:tcPr>
          <w:p>
            <w:pPr>
              <w:spacing w:before="20" w:after="20"/>
              <w:jc w:val="left"/>
            </w:pPr>
            <w:r>
              <w:rPr>
                <w:sz w:val="17"/>
              </w:rPr>
              <w:t>No public position on this question found.</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w:t>
            </w:r>
          </w:p>
        </w:tc>
      </w:tr>
    </w:tbl>
    <w:p>
      <w:pPr>
        <w:spacing w:before="0" w:after="0" w:line="80" w:lineRule="exact"/>
      </w:pPr>
      <w:r>
        <w:rPr>
          <w:sz w:val="8"/>
        </w:rPr>
      </w:r>
    </w:p>
    <w:p>
      <w:r>
        <w:rPr>
          <w:b/>
        </w:rPr>
        <w:t>The extension risk, assessed.</w:t>
      </w:r>
      <w:r>
        <w:t xml:space="preserve"> The task asked whether VGEA or VEA will press to extend relief to all purchase categories under subdivision B 1. My read is </w:t>
      </w:r>
      <w:r>
        <w:rPr>
          <w:b/>
        </w:rPr>
        <w:t>yes, and it will be raised, but not as a condition of their support</w:t>
      </w:r>
      <w:r>
        <w:t xml:space="preserve"> — confidence </w:t>
      </w:r>
      <w:r>
        <w:rPr>
          <w:b/>
        </w:rPr>
        <w:t>Medium</w:t>
      </w:r>
      <w:r>
        <w:t xml:space="preserve">. The reason is that neither association's published priorities include purchase of service, so neither has pre-committed membership to the broader ask. The amendment is far more likely to come from a </w:t>
      </w:r>
      <w:r>
        <w:rPr>
          <w:i/>
        </w:rPr>
        <w:t>legislator</w:t>
      </w:r>
      <w:r>
        <w:t xml:space="preserve"> who sees the equity gap than from an association. Either way the fiscal consequence is severe: subdivision B 1 covers educational leave, FMLA leave, prior public employment, refunded service and more, and extending the removal of the cliff across all of it would multiply the fiscal note by an unknown but large factor. </w:t>
      </w:r>
      <w:r>
        <w:rPr>
          <w:b/>
        </w:rPr>
        <w:t>Recommendation to Drafting Specialist:</w:t>
      </w:r>
      <w:r>
        <w:t xml:space="preserve"> keep the amendment surgically confined to subdivision B 2 and make the no-spillover sentence (Annex A v1.1 § 2.2) load-bearing and conspicuous, so that the bill's own text is the answer to the first floor amendment.</w:t>
      </w:r>
    </w:p>
    <w:p>
      <w:pPr>
        <w:pStyle w:val="Heading3"/>
      </w:pPr>
      <w:r>
        <w:t>3.6 The status quo coalition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The authors and inheritors of Chapter 508 (2015)</w:t>
            </w:r>
            <w:r>
              <w:rPr>
                <w:sz w:val="17"/>
              </w:rPr>
              <w:t xml:space="preserve"> — House Appropriations institutional memory and its retirement staff</w:t>
            </w:r>
          </w:p>
        </w:tc>
        <w:tc>
          <w:tcPr>
            <w:tcW w:type="dxa" w:w="1440"/>
          </w:tcPr>
          <w:p>
            <w:pPr>
              <w:spacing w:before="20" w:after="20"/>
              <w:jc w:val="left"/>
            </w:pPr>
            <w:r>
              <w:rPr>
                <w:sz w:val="17"/>
              </w:rPr>
              <w:t>Legislative institution</w:t>
            </w:r>
          </w:p>
        </w:tc>
        <w:tc>
          <w:tcPr>
            <w:tcW w:type="dxa" w:w="1440"/>
          </w:tcPr>
          <w:p>
            <w:pPr>
              <w:spacing w:before="20" w:after="20"/>
              <w:jc w:val="left"/>
            </w:pPr>
            <w:r>
              <w:rPr>
                <w:b/>
                <w:sz w:val="17"/>
              </w:rPr>
              <w:t>The real opposition.</w:t>
            </w:r>
          </w:p>
        </w:tc>
        <w:tc>
          <w:tcPr>
            <w:tcW w:type="dxa" w:w="1440"/>
          </w:tcPr>
          <w:p>
            <w:pPr>
              <w:spacing w:before="20" w:after="20"/>
              <w:jc w:val="left"/>
            </w:pPr>
            <w:r>
              <w:rPr>
                <w:sz w:val="17"/>
              </w:rPr>
              <w:t xml:space="preserve">HB 1890 (2015) was patroned by </w:t>
            </w:r>
            <w:r>
              <w:rPr>
                <w:b/>
                <w:sz w:val="17"/>
              </w:rPr>
              <w:t>Delegate S. Chris Jones</w:t>
            </w:r>
            <w:r>
              <w:rPr>
                <w:sz w:val="17"/>
              </w:rPr>
              <w:t xml:space="preserve">, then chair of House Appropriations, and its summary states its purpose plainly: it "makes numerous changes to the purchase of service credit program to </w:t>
            </w:r>
            <w:r>
              <w:rPr>
                <w:b/>
                <w:sz w:val="17"/>
              </w:rPr>
              <w:t>simplify it and make it more cost-neutral to the Retirement System fund</w:t>
            </w:r>
            <w:r>
              <w:rPr>
                <w:sz w:val="17"/>
              </w:rPr>
              <w:t xml:space="preserve"> and more in line with other states' programs." It created the 24-month approximate-normal-cost window with actuarial equivalent cost thereafter, with a delayed effective date of January 1, 2017, and it passed </w:t>
            </w:r>
            <w:r>
              <w:rPr>
                <w:b/>
                <w:sz w:val="17"/>
              </w:rPr>
              <w:t>5-0</w:t>
            </w:r>
            <w:r>
              <w:rPr>
                <w:sz w:val="17"/>
              </w:rPr>
              <w:t xml:space="preserve"> in subcommittee, </w:t>
            </w:r>
            <w:r>
              <w:rPr>
                <w:b/>
                <w:sz w:val="17"/>
              </w:rPr>
              <w:t>22-0</w:t>
            </w:r>
            <w:r>
              <w:rPr>
                <w:sz w:val="17"/>
              </w:rPr>
              <w:t xml:space="preserve"> in Appropriations, </w:t>
            </w:r>
            <w:r>
              <w:rPr>
                <w:b/>
                <w:sz w:val="17"/>
              </w:rPr>
              <w:t>99-0</w:t>
            </w:r>
            <w:r>
              <w:rPr>
                <w:sz w:val="17"/>
              </w:rPr>
              <w:t xml:space="preserve"> on the House floor and </w:t>
            </w:r>
            <w:r>
              <w:rPr>
                <w:b/>
                <w:sz w:val="17"/>
              </w:rPr>
              <w:t>38-0</w:t>
            </w:r>
            <w:r>
              <w:rPr>
                <w:sz w:val="17"/>
              </w:rPr>
              <w:t xml:space="preserve"> in the Senate, becoming </w:t>
            </w:r>
            <w:r>
              <w:rPr>
                <w:b/>
                <w:sz w:val="17"/>
              </w:rPr>
              <w:t>Chapter 508</w:t>
            </w:r>
            <w:r>
              <w:rPr>
                <w:sz w:val="17"/>
              </w:rPr>
              <w:t xml:space="preserve">. Before it, VRS administered a </w:t>
            </w:r>
            <w:r>
              <w:rPr>
                <w:b/>
                <w:sz w:val="17"/>
              </w:rPr>
              <w:t>one-year</w:t>
            </w:r>
            <w:r>
              <w:rPr>
                <w:sz w:val="17"/>
              </w:rPr>
              <w:t xml:space="preserve"> window for Plan 2 and Hybrid members and a </w:t>
            </w:r>
            <w:r>
              <w:rPr>
                <w:b/>
                <w:sz w:val="17"/>
              </w:rPr>
              <w:t>three-year</w:t>
            </w:r>
            <w:r>
              <w:rPr>
                <w:sz w:val="17"/>
              </w:rPr>
              <w:t xml:space="preserve"> window for Plan 1 members; Chapter 508 standardised them at 24 months.</w:t>
            </w:r>
          </w:p>
        </w:tc>
        <w:tc>
          <w:tcPr>
            <w:tcW w:type="dxa" w:w="1440"/>
          </w:tcPr>
          <w:p>
            <w:pPr>
              <w:spacing w:before="20" w:after="20"/>
              <w:jc w:val="left"/>
            </w:pPr>
            <w:r>
              <w:rPr>
                <w:b/>
                <w:sz w:val="17"/>
              </w:rPr>
              <w:t>High</w:t>
            </w:r>
          </w:p>
        </w:tc>
        <w:tc>
          <w:tcPr>
            <w:tcW w:type="dxa" w:w="1440"/>
          </w:tcPr>
          <w:p>
            <w:pPr>
              <w:spacing w:before="20" w:after="20"/>
              <w:jc w:val="left"/>
            </w:pPr>
            <w:r>
              <w:rPr>
                <w:sz w:val="17"/>
              </w:rPr>
              <w:t xml:space="preserve">HB 1890 (2015) summary and history; Chapter 508, 2015 Acts of Assembly; § 51.1-142.2 history line (2015, cc. 508, 536); City of Alexandria pensions notice, </w:t>
            </w:r>
            <w:r>
              <w:rPr>
                <w:i/>
                <w:sz w:val="17"/>
              </w:rPr>
              <w:t>VRS Making Changes to Purchase of Prior Service</w:t>
            </w:r>
            <w:r>
              <w:rPr>
                <w:sz w:val="17"/>
              </w:rPr>
              <w:t>.</w:t>
            </w:r>
          </w:p>
        </w:tc>
      </w:tr>
    </w:tbl>
    <w:p>
      <w:pPr>
        <w:spacing w:before="0" w:after="0" w:line="80" w:lineRule="exact"/>
      </w:pPr>
      <w:r>
        <w:rPr>
          <w:sz w:val="8"/>
        </w:rPr>
      </w:r>
    </w:p>
    <w:p>
      <w:r>
        <w:rPr>
          <w:b/>
        </w:rPr>
        <w:t>Why this is the row that decides the bill.</w:t>
      </w:r>
      <w:r>
        <w:t xml:space="preserve"> Our proposal is, in the subcommittee's frame, a partial repeal of a unanimous cost-neutrality reform — asked for eleven years later, by a category of member, with no new money. The counter-argument is available and it is strong, but it has to be made explicitly: </w:t>
      </w:r>
      <w:r>
        <w:rPr>
          <w:b/>
        </w:rPr>
        <w:t>Chapter 508's own stated rationale was to be "more in line with other states' programs," and on military service specifically Virginia's 24-month-from-hire trigger is now the outlier</w:t>
      </w:r>
      <w:r>
        <w:t xml:space="preserve"> (§ 7). Virginia is not unusual in charging more for a late purchase; it is unusual in keying the trigger to </w:t>
      </w:r>
      <w:r>
        <w:rPr>
          <w:i/>
        </w:rPr>
        <w:t>elapsed time since hire</w:t>
      </w:r>
      <w:r>
        <w:t xml:space="preserve"> rather than to a service milestone or to proximity to retirement. That reframes our bill as </w:t>
      </w:r>
      <w:r>
        <w:rPr>
          <w:i/>
        </w:rPr>
        <w:t>completing</w:t>
      </w:r>
      <w:r>
        <w:t xml:space="preserve"> Chapter 508's purpose rather than unwinding it. This is the single most useful sentence in this annex and it should go in the one-pager.</w:t>
      </w:r>
    </w:p>
    <w:p>
      <w:pPr>
        <w:jc w:val="center"/>
      </w:pPr>
      <w:r>
        <w:rPr>
          <w:color w:val="909090"/>
          <w:sz w:val="18"/>
        </w:rPr>
        <w:t>* * *</w:t>
      </w:r>
    </w:p>
    <w:p>
      <w:pPr>
        <w:pStyle w:val="Heading2"/>
      </w:pPr>
      <w:r>
        <w:t>4. The decision path</w:t>
      </w:r>
    </w:p>
    <w:p>
      <w:pPr>
        <w:pStyle w:val="Heading3"/>
      </w:pPr>
      <w:r>
        <w:t>4.1 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What it has done with similar bills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House Committee on Appropriations (H02)</w:t>
            </w:r>
            <w:r>
              <w:rPr>
                <w:sz w:val="17"/>
              </w:rPr>
              <w:t>. Not Education, not General Laws.</w:t>
            </w:r>
          </w:p>
        </w:tc>
        <w:tc>
          <w:tcPr>
            <w:tcW w:type="dxa" w:w="2880"/>
          </w:tcPr>
          <w:p>
            <w:pPr>
              <w:spacing w:before="20" w:after="20"/>
              <w:jc w:val="left"/>
            </w:pPr>
            <w:r>
              <w:rPr>
                <w:sz w:val="17"/>
              </w:rPr>
              <w:t>HB 1867 (2023) was prefiled and referred to Appropriations on 01/10/23. HB 1890 (2015) likewise. Any bill touching § 51.1-142.2 goes here.</w:t>
            </w:r>
          </w:p>
        </w:tc>
      </w:tr>
      <w:tr>
        <w:tc>
          <w:tcPr>
            <w:tcW w:type="dxa" w:w="2880"/>
          </w:tcPr>
          <w:p>
            <w:pPr>
              <w:spacing w:before="20" w:after="20"/>
              <w:jc w:val="left"/>
            </w:pPr>
            <w:r>
              <w:rPr>
                <w:sz w:val="17"/>
              </w:rPr>
              <w:t xml:space="preserve">2. </w:t>
            </w:r>
            <w:r>
              <w:rPr>
                <w:b/>
                <w:sz w:val="17"/>
              </w:rPr>
              <w:t>Subcommittee — the chokepoint</w:t>
            </w:r>
          </w:p>
        </w:tc>
        <w:tc>
          <w:tcPr>
            <w:tcW w:type="dxa" w:w="2880"/>
          </w:tcPr>
          <w:p>
            <w:pPr>
              <w:spacing w:before="20" w:after="20"/>
              <w:jc w:val="left"/>
            </w:pPr>
            <w:r>
              <w:rPr>
                <w:b/>
                <w:sz w:val="17"/>
              </w:rPr>
              <w:t>House Appropriations Subcommittee on Compensation and Retirement (H02002)</w:t>
            </w:r>
            <w:r>
              <w:rPr>
                <w:sz w:val="17"/>
              </w:rPr>
              <w:t xml:space="preserve">. 2026 membership: </w:t>
            </w:r>
            <w:r>
              <w:rPr>
                <w:b/>
                <w:sz w:val="17"/>
              </w:rPr>
              <w:t>Alex Askew (D-95), Chair</w:t>
            </w:r>
            <w:r>
              <w:rPr>
                <w:sz w:val="17"/>
              </w:rPr>
              <w:t xml:space="preserve">; C. E. "Cliff" Hayes Jr. (D-91); Rodney T. Willett (D-58); Kathy K. L. Tran (D-18); Shelly A. Simonds (D-70); M. Keith Hodges (R-68); Scott A. Wyatt (R-60); Luke E. Torian (D-24). Staff: </w:t>
            </w:r>
            <w:r>
              <w:rPr>
                <w:b/>
                <w:sz w:val="17"/>
              </w:rPr>
              <w:t>Michael Jay</w:t>
            </w:r>
            <w:r>
              <w:rPr>
                <w:sz w:val="17"/>
              </w:rPr>
              <w:t xml:space="preserve"> (House Appropriations). Meets Mondays 9:00 a.m., HAC Room 1200.</w:t>
            </w:r>
          </w:p>
        </w:tc>
        <w:tc>
          <w:tcPr>
            <w:tcW w:type="dxa" w:w="2880"/>
          </w:tcPr>
          <w:p>
            <w:pPr>
              <w:spacing w:before="20" w:after="20"/>
              <w:jc w:val="left"/>
            </w:pPr>
            <w:r>
              <w:rPr>
                <w:b/>
                <w:sz w:val="17"/>
              </w:rPr>
              <w:t>This is where the bill lives or dies, on a motion to lay on the table.</w:t>
            </w:r>
            <w:r>
              <w:rPr>
                <w:sz w:val="17"/>
              </w:rPr>
              <w:t xml:space="preserve"> The record: HB 1867 (2023) — "Subcommittee recommends laying on the table (8-Y 0-N)," 01/26/23; YEAS — Brewer, Davis, Bloxom, </w:t>
            </w:r>
            <w:r>
              <w:rPr>
                <w:b/>
                <w:sz w:val="17"/>
              </w:rPr>
              <w:t>Hodges</w:t>
            </w:r>
            <w:r>
              <w:rPr>
                <w:sz w:val="17"/>
              </w:rPr>
              <w:t xml:space="preserve">, </w:t>
            </w:r>
            <w:r>
              <w:rPr>
                <w:b/>
                <w:sz w:val="17"/>
              </w:rPr>
              <w:t>Wyatt</w:t>
            </w:r>
            <w:r>
              <w:rPr>
                <w:sz w:val="17"/>
              </w:rPr>
              <w:t xml:space="preserve">, Bulova, Hayes, Rasoul. In the 2026 session the subcommittee tabled HB 56 (7-0), HB 162 (7-0), HB 659 (5-2), HB 1107 (5-2), and tabled HB 1267 </w:t>
            </w:r>
            <w:r>
              <w:rPr>
                <w:b/>
                <w:sz w:val="17"/>
              </w:rPr>
              <w:t>after accepting a substitute and hearing broad supportive testimony</w:t>
            </w:r>
            <w:r>
              <w:rPr>
                <w:sz w:val="17"/>
              </w:rPr>
              <w:t>. In 2025 it tabled HB 2315 (4-3) and HB 2447 (4-3). It does report bills — HB 1705 (2025) reported with substitute 7-0, HB 473 (2026) reported 7-0 — but only narrow, costed, administrable ones.</w:t>
            </w:r>
          </w:p>
        </w:tc>
      </w:tr>
      <w:tr>
        <w:tc>
          <w:tcPr>
            <w:tcW w:type="dxa" w:w="2880"/>
          </w:tcPr>
          <w:p>
            <w:pPr>
              <w:spacing w:before="20" w:after="20"/>
              <w:jc w:val="left"/>
            </w:pPr>
            <w:r>
              <w:rPr>
                <w:sz w:val="17"/>
              </w:rPr>
              <w:t>3. Full committee</w:t>
            </w:r>
          </w:p>
        </w:tc>
        <w:tc>
          <w:tcPr>
            <w:tcW w:type="dxa" w:w="2880"/>
          </w:tcPr>
          <w:p>
            <w:pPr>
              <w:spacing w:before="20" w:after="20"/>
              <w:jc w:val="left"/>
            </w:pPr>
            <w:r>
              <w:rPr>
                <w:sz w:val="17"/>
              </w:rPr>
              <w:t>House Appropriations</w:t>
            </w:r>
          </w:p>
        </w:tc>
        <w:tc>
          <w:tcPr>
            <w:tcW w:type="dxa" w:w="2880"/>
          </w:tcPr>
          <w:p>
            <w:pPr>
              <w:spacing w:before="20" w:after="20"/>
              <w:jc w:val="left"/>
            </w:pPr>
            <w:r>
              <w:rPr>
                <w:sz w:val="17"/>
              </w:rPr>
              <w:t>Reports what the subcommittee sends it, essentially without re-litigation (HB 1890: 22-0).</w:t>
            </w:r>
          </w:p>
        </w:tc>
      </w:tr>
      <w:tr>
        <w:tc>
          <w:tcPr>
            <w:tcW w:type="dxa" w:w="2880"/>
          </w:tcPr>
          <w:p>
            <w:pPr>
              <w:spacing w:before="20" w:after="20"/>
              <w:jc w:val="left"/>
            </w:pPr>
            <w:r>
              <w:rPr>
                <w:sz w:val="17"/>
              </w:rPr>
              <w:t>4. Floor</w:t>
            </w:r>
          </w:p>
        </w:tc>
        <w:tc>
          <w:tcPr>
            <w:tcW w:type="dxa" w:w="2880"/>
          </w:tcPr>
          <w:p>
            <w:pPr>
              <w:spacing w:before="20" w:after="20"/>
              <w:jc w:val="left"/>
            </w:pPr>
            <w:r>
              <w:rPr>
                <w:sz w:val="17"/>
              </w:rPr>
              <w:t>House</w:t>
            </w:r>
          </w:p>
        </w:tc>
        <w:tc>
          <w:tcPr>
            <w:tcW w:type="dxa" w:w="2880"/>
          </w:tcPr>
          <w:p>
            <w:pPr>
              <w:spacing w:before="20" w:after="20"/>
              <w:jc w:val="left"/>
            </w:pPr>
            <w:r>
              <w:rPr>
                <w:sz w:val="17"/>
              </w:rPr>
              <w:t>Unanimous when it gets there (HB 1890: 99-0). The floor is not a risk; the floor is never reached.</w:t>
            </w:r>
          </w:p>
        </w:tc>
      </w:tr>
    </w:tbl>
    <w:p>
      <w:pPr>
        <w:spacing w:before="0" w:after="0" w:line="80" w:lineRule="exact"/>
      </w:pPr>
      <w:r>
        <w:rPr>
          <w:sz w:val="8"/>
        </w:rPr>
      </w:r>
    </w:p>
    <w:p>
      <w:r>
        <w:rPr>
          <w:b/>
        </w:rPr>
        <w:t>Three members of the 2026 subcommittee matter disproportionately.</w:t>
      </w:r>
    </w:p>
    <w:p>
      <w:pPr>
        <w:pStyle w:val="ListBullet"/>
      </w:pPr>
      <w:r>
        <w:rPr>
          <w:b/>
        </w:rPr>
        <w:t>Askew (Chair)</w:t>
      </w:r>
      <w:r>
        <w:t xml:space="preserve"> controls the docket and the motion. He is also recorded as a guest at the 2026 VRS Board of Trustees retreat — he is engaged with VRS directly, which means VRS's private read will reach him before ours does.</w:t>
      </w:r>
    </w:p>
    <w:p>
      <w:pPr>
        <w:pStyle w:val="ListBullet"/>
      </w:pPr>
      <w:r>
        <w:rPr>
          <w:b/>
        </w:rPr>
        <w:t>Simonds</w:t>
      </w:r>
      <w:r>
        <w:t xml:space="preserve"> patroned HB 139, the only one of 28 VRS bills to survive the 2026 session, and it amended this exact statute.</w:t>
      </w:r>
    </w:p>
    <w:p>
      <w:pPr>
        <w:pStyle w:val="ListBullet"/>
      </w:pPr>
      <w:r>
        <w:rPr>
          <w:b/>
        </w:rPr>
        <w:t>Hodges</w:t>
      </w:r>
      <w:r>
        <w:t xml:space="preserve"> and </w:t>
      </w:r>
      <w:r>
        <w:rPr>
          <w:b/>
        </w:rPr>
        <w:t>Wyatt</w:t>
      </w:r>
      <w:r>
        <w:t xml:space="preserve"> both voted to table HB 1867 in 2023 and both still sit on the subcommittee. They are the continuity of the no vote, and they are also the only Republicans on an 8-member panel — which makes one of them the highest-value co-patron available anywhere in the building.</w:t>
      </w:r>
    </w:p>
    <w:p>
      <w:pPr>
        <w:pStyle w:val="Heading3"/>
      </w:pPr>
      <w:r>
        <w:t>4.2 Senate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Notes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Senate Committee on Finance and Appropriations (S05)</w:t>
            </w:r>
            <w:r>
              <w:rPr>
                <w:sz w:val="17"/>
              </w:rPr>
              <w:t xml:space="preserve">. 2026 membership (15): </w:t>
            </w:r>
            <w:r>
              <w:rPr>
                <w:b/>
                <w:sz w:val="17"/>
              </w:rPr>
              <w:t>L. Louise Lucas (Chair)</w:t>
            </w:r>
            <w:r>
              <w:rPr>
                <w:sz w:val="17"/>
              </w:rPr>
              <w:t xml:space="preserve">, Deeds, Locke, McDougle, Obenshain, Stuart, </w:t>
            </w:r>
            <w:r>
              <w:rPr>
                <w:b/>
                <w:sz w:val="17"/>
              </w:rPr>
              <w:t>Reeves</w:t>
            </w:r>
            <w:r>
              <w:rPr>
                <w:sz w:val="17"/>
              </w:rPr>
              <w:t>, Favola, Surovell, McPike, Boysko, Pillion, Rouse, Bagby, Aird.</w:t>
            </w:r>
          </w:p>
        </w:tc>
        <w:tc>
          <w:tcPr>
            <w:tcW w:type="dxa" w:w="2880"/>
          </w:tcPr>
          <w:p>
            <w:pPr>
              <w:spacing w:before="20" w:after="20"/>
              <w:jc w:val="left"/>
            </w:pPr>
            <w:r>
              <w:rPr>
                <w:sz w:val="17"/>
              </w:rPr>
              <w:t>§ 30-19.1:7 names this committee as a recipient of the VRS impact statement.</w:t>
            </w:r>
          </w:p>
        </w:tc>
      </w:tr>
      <w:tr>
        <w:tc>
          <w:tcPr>
            <w:tcW w:type="dxa" w:w="2880"/>
          </w:tcPr>
          <w:p>
            <w:pPr>
              <w:spacing w:before="20" w:after="20"/>
              <w:jc w:val="left"/>
            </w:pPr>
            <w:r>
              <w:rPr>
                <w:sz w:val="17"/>
              </w:rPr>
              <w:t>2. Subcommittee</w:t>
            </w:r>
          </w:p>
        </w:tc>
        <w:tc>
          <w:tcPr>
            <w:tcW w:type="dxa" w:w="2880"/>
          </w:tcPr>
          <w:p>
            <w:pPr>
              <w:spacing w:before="20" w:after="20"/>
              <w:jc w:val="left"/>
            </w:pPr>
            <w:r>
              <w:rPr>
                <w:b/>
                <w:sz w:val="17"/>
              </w:rPr>
              <w:t>There is no Compensation and Retirement subcommittee in SFAC.</w:t>
            </w:r>
            <w:r>
              <w:rPr>
                <w:sz w:val="17"/>
              </w:rPr>
              <w:t xml:space="preserve"> The 2026 subcommittees are Economic Development/Natural Resources, General Government, Education, Public Safety &amp; Claims, Health and Human Resources, Capital Outlay and Transportation, and Resources. Compensation &amp; retirement is a </w:t>
            </w:r>
            <w:r>
              <w:rPr>
                <w:b/>
                <w:sz w:val="17"/>
              </w:rPr>
              <w:t>staff</w:t>
            </w:r>
            <w:r>
              <w:rPr>
                <w:sz w:val="17"/>
              </w:rPr>
              <w:t xml:space="preserve"> portfolio, carried by </w:t>
            </w:r>
            <w:r>
              <w:rPr>
                <w:b/>
                <w:sz w:val="17"/>
              </w:rPr>
              <w:t>Mike Tweedy</w:t>
            </w:r>
            <w:r>
              <w:rPr>
                <w:sz w:val="17"/>
              </w:rPr>
              <w:t xml:space="preserve"> (Senior Legislative Fiscal Analyst), who also staffs General Government and HHR.</w:t>
            </w:r>
          </w:p>
        </w:tc>
        <w:tc>
          <w:tcPr>
            <w:tcW w:type="dxa" w:w="2880"/>
          </w:tcPr>
          <w:p>
            <w:pPr>
              <w:spacing w:before="20" w:after="20"/>
              <w:jc w:val="left"/>
            </w:pPr>
            <w:r>
              <w:rPr>
                <w:b/>
                <w:sz w:val="17"/>
              </w:rPr>
              <w:t>This is a structural advantage for us and it should drive strategy.</w:t>
            </w:r>
            <w:r>
              <w:rPr>
                <w:sz w:val="17"/>
              </w:rPr>
              <w:t xml:space="preserve"> The Senate has no standing panel whose institutional purpose is to kill VRS bills. A VRS bill in the Senate faces the full committee, where it competes for attention rather than facing a specialist screen. The Senate is the better chamber of origin.</w:t>
            </w:r>
          </w:p>
        </w:tc>
      </w:tr>
      <w:tr>
        <w:tc>
          <w:tcPr>
            <w:tcW w:type="dxa" w:w="2880"/>
          </w:tcPr>
          <w:p>
            <w:pPr>
              <w:spacing w:before="20" w:after="20"/>
              <w:jc w:val="left"/>
            </w:pPr>
            <w:r>
              <w:rPr>
                <w:sz w:val="17"/>
              </w:rPr>
              <w:t>3. Committee record on analogous bills</w:t>
            </w:r>
          </w:p>
        </w:tc>
        <w:tc>
          <w:tcPr>
            <w:tcW w:type="dxa" w:w="2880"/>
          </w:tcPr>
          <w:p>
            <w:pPr>
              <w:spacing w:before="20" w:after="20"/>
              <w:jc w:val="left"/>
            </w:pPr>
            <w:r>
              <w:rPr>
                <w:sz w:val="17"/>
              </w:rPr>
              <w:t xml:space="preserve">SFAC continued SB 328 (Jordan) and SB 472 (Obenshain) — the 911 dispatcher enhanced-retirement bills — to 2025 on a </w:t>
            </w:r>
            <w:r>
              <w:rPr>
                <w:b/>
                <w:sz w:val="17"/>
              </w:rPr>
              <w:t>12-3</w:t>
            </w:r>
            <w:r>
              <w:rPr>
                <w:sz w:val="17"/>
              </w:rPr>
              <w:t xml:space="preserve"> vote, 2024-02-06.</w:t>
            </w:r>
          </w:p>
        </w:tc>
        <w:tc>
          <w:tcPr>
            <w:tcW w:type="dxa" w:w="2880"/>
          </w:tcPr>
          <w:p>
            <w:pPr>
              <w:spacing w:before="20" w:after="20"/>
              <w:jc w:val="left"/>
            </w:pPr>
            <w:r>
              <w:rPr>
                <w:sz w:val="17"/>
              </w:rPr>
              <w:t>SFAC's instinct on locally-costed VRS expansions is to continue rather than kill. A continuation is survivable; a tabling is not.</w:t>
            </w:r>
          </w:p>
        </w:tc>
      </w:tr>
      <w:tr>
        <w:tc>
          <w:tcPr>
            <w:tcW w:type="dxa" w:w="2880"/>
          </w:tcPr>
          <w:p>
            <w:pPr>
              <w:spacing w:before="20" w:after="20"/>
              <w:jc w:val="left"/>
            </w:pPr>
            <w:r>
              <w:rPr>
                <w:sz w:val="17"/>
              </w:rPr>
              <w:t>4. Floor</w:t>
            </w:r>
          </w:p>
        </w:tc>
        <w:tc>
          <w:tcPr>
            <w:tcW w:type="dxa" w:w="2880"/>
          </w:tcPr>
          <w:p>
            <w:pPr>
              <w:spacing w:before="20" w:after="20"/>
              <w:jc w:val="left"/>
            </w:pPr>
            <w:r>
              <w:rPr>
                <w:sz w:val="17"/>
              </w:rPr>
              <w:t>Senate</w:t>
            </w:r>
          </w:p>
        </w:tc>
        <w:tc>
          <w:tcPr>
            <w:tcW w:type="dxa" w:w="2880"/>
          </w:tcPr>
          <w:p>
            <w:pPr>
              <w:spacing w:before="20" w:after="20"/>
              <w:jc w:val="left"/>
            </w:pPr>
            <w:r>
              <w:rPr>
                <w:sz w:val="17"/>
              </w:rPr>
              <w:t>HB 1890 passed 38-0 and the conference report 37-0.</w:t>
            </w:r>
          </w:p>
        </w:tc>
      </w:tr>
    </w:tbl>
    <w:p>
      <w:pPr>
        <w:spacing w:before="0" w:after="0" w:line="80" w:lineRule="exact"/>
      </w:pPr>
      <w:r>
        <w:rPr>
          <w:sz w:val="8"/>
        </w:rPr>
      </w:r>
    </w:p>
    <w:p>
      <w:pPr>
        <w:pStyle w:val="Heading3"/>
      </w:pPr>
      <w:r>
        <w:t>4.3 Also in the path</w:t>
      </w:r>
    </w:p>
    <w:p>
      <w:pPr>
        <w:pStyle w:val="ListBullet"/>
      </w:pPr>
      <w:r>
        <w:rPr>
          <w:b/>
        </w:rPr>
        <w:t>Division of Legislative Services</w:t>
      </w:r>
      <w:r>
        <w:t xml:space="preserve"> — drafting. Annex A Q13/Q14 confirmations are owed here.</w:t>
      </w:r>
    </w:p>
    <w:p>
      <w:pPr>
        <w:pStyle w:val="ListBullet"/>
      </w:pPr>
      <w:r>
        <w:rPr>
          <w:b/>
        </w:rPr>
        <w:t>VRS Board of Trustees</w:t>
      </w:r>
      <w:r>
        <w:t xml:space="preserve"> — must file the § 30-19.1:7 statement with both clerks, the Commission on Local Government, House Appropriations and Senate Finance &amp; Appropriations. In practice the statement is filed within days of prefiling (HB 1867's was dated </w:t>
      </w:r>
      <w:r>
        <w:rPr>
          <w:b/>
        </w:rPr>
        <w:t>1/16/2023</w:t>
      </w:r>
      <w:r>
        <w:t xml:space="preserve">, six days after prefiling). </w:t>
      </w:r>
      <w:r>
        <w:rPr>
          <w:b/>
        </w:rPr>
        <w:t>Our fiscal case has to be complete before prefiling, not before the hearing.</w:t>
      </w:r>
    </w:p>
    <w:p>
      <w:pPr>
        <w:pStyle w:val="ListBullet"/>
      </w:pPr>
      <w:r>
        <w:rPr>
          <w:b/>
        </w:rPr>
        <w:t>Commission on Local Government</w:t>
      </w:r>
      <w:r>
        <w:t xml:space="preserve"> — receives the VRS statement, and may file its own § 30-19.03 local fiscal impact statement built on input from ~40 localities.</w:t>
      </w:r>
    </w:p>
    <w:p>
      <w:pPr>
        <w:pStyle w:val="ListBullet"/>
      </w:pPr>
      <w:r>
        <w:rPr>
          <w:b/>
        </w:rPr>
        <w:t>Department of Planning and Budget</w:t>
      </w:r>
      <w:r>
        <w:t xml:space="preserve"> — participates in identifying bills with local fiscal impact.</w:t>
      </w:r>
    </w:p>
    <w:p>
      <w:pPr>
        <w:pStyle w:val="ListBullet"/>
      </w:pPr>
      <w:r>
        <w:rPr>
          <w:b/>
        </w:rPr>
        <w:t>Session clock — and it cuts against us.</w:t>
      </w:r>
      <w:r>
        <w:t xml:space="preserve"> The 2026 session was the even-year long session: convened January 14, crossover February 17, adjourned March 14, roughly 60 days. </w:t>
      </w:r>
      <w:r>
        <w:rPr>
          <w:b/>
        </w:rPr>
        <w:t>2027 is an odd year, so it is the short session — 30 days under Art. IV, § 6 of the Constitution of Virginia, conventionally extended to 45 by a two-thirds vote.</w:t>
      </w:r>
      <w:r>
        <w:t xml:space="preserve"> Roughly a third less floor and docket time, against the same volume of bills. The practical effect in the Compensation and Retirement subcommittee is that each bill gets a shorter hearing and the tabling motion gets easier, because tabling is the cheapest way to clear a docket. </w:t>
      </w:r>
      <w:r>
        <w:rPr>
          <w:b/>
        </w:rPr>
        <w:t>Complexity is political risk, and in a short session it is the dominant risk.</w:t>
      </w:r>
      <w:r>
        <w:t xml:space="preserve"> A bill that reads as one deleted deadline plus an existing published rate survives a 45-day calendar. A bill that requires the subcommittee to understand a bespoke, Board-set, multi-factor rate schedule does not. This is an independent argument for the simplest possible draft, separate from the VRS-procedure argument in § 3.1, and it points the same way.</w:t>
      </w:r>
    </w:p>
    <w:p>
      <w:pPr>
        <w:jc w:val="center"/>
      </w:pPr>
      <w:r>
        <w:rPr>
          <w:color w:val="909090"/>
          <w:sz w:val="18"/>
        </w:rPr>
        <w:t>* * *</w:t>
      </w:r>
    </w:p>
    <w:p>
      <w:pPr>
        <w:pStyle w:val="Heading2"/>
      </w:pPr>
      <w:r>
        <w:t>5. The real fight</w:t>
      </w:r>
    </w:p>
    <w:p>
      <w:r>
        <w:rPr>
          <w:b/>
        </w:rPr>
        <w:t>It is two actors and one provision.</w:t>
      </w:r>
    </w:p>
    <w:p>
      <w:pPr>
        <w:spacing w:before="120" w:after="120"/>
        <w:ind w:left="480"/>
      </w:pPr>
      <w:r>
        <w:rPr>
          <w:b/>
          <w:i/>
          <w:color w:val="444444"/>
          <w:sz w:val="20"/>
        </w:rPr>
        <w:t>The fight is the House Appropriations Compensation and Retirement subcommittee, armed with a VRS impact statement that will say the take-up rate is unknowable — and the provision at issue is the price, not the deadline.</w:t>
      </w:r>
      <w:r>
        <w:rPr>
          <w:i/>
          <w:color w:val="444444"/>
          <w:sz w:val="20"/>
        </w:rPr>
        <w:t xml:space="preserve"> Nobody in Richmond objects to a veteran buying military service credit at age 48. They object to buying it at a price set for a 24-year-old, and to a fiscal note that no one can bound because neither VRS nor DHRM can count how many veterans are in the workforce (DHRM: 69% unknown veteran status; VRS, 2023: "not able to determine the number").</w:t>
      </w:r>
    </w:p>
    <w:p>
      <w:r>
        <w:t>The mechanism by which we lose is precise and it has already happened once. VRS files a statement that says the per-member liability is $10,000–$60,000 and the population is undeterminable; it then builds an illustrative scenario with a round take-up assumption; the subcommittee reads the resulting total, sees no general fund ask but a pooled liability it cannot size, and lays the bill on the table 8-0 in under four minutes on an unrecorded voice vote. No one argues about veterans. That is exactly the HB 1867 transcript.</w:t>
      </w:r>
    </w:p>
    <w:p>
      <w:r>
        <w:rPr>
          <w:b/>
        </w:rPr>
        <w:t>What breaks the mechanism.</w:t>
      </w:r>
      <w:r>
        <w:t xml:space="preserve"> Not advocacy. A number. Specifically:</w:t>
      </w:r>
    </w:p>
    <w:p>
      <w:pPr>
        <w:spacing w:after="60"/>
        <w:ind w:left="432" w:hanging="432"/>
      </w:pPr>
      <w:r>
        <w:rPr>
          <w:b/>
        </w:rPr>
        <w:t>1.</w:t>
        <w:tab/>
      </w:r>
      <w:r>
        <w:rPr>
          <w:b/>
        </w:rPr>
        <w:t>Bound the cost in the bill's own text, because the denominator cannot be pre-empted.</w:t>
      </w:r>
      <w:r>
        <w:t xml:space="preserve"> The $13M–$182M range exists </w:t>
      </w:r>
      <w:r>
        <w:rPr>
          <w:i/>
        </w:rPr>
        <w:t>because</w:t>
      </w:r>
      <w:r>
        <w:t xml:space="preserve"> the pool is unknown, and a 14× range is an invitation to the high end. Pricing is therefore the instrument — but </w:t>
      </w:r>
      <w:r>
        <w:rPr>
          <w:b/>
        </w:rPr>
        <w:t>the specific version the package currently offers does not work, and Red Team F-1 is right about why.</w:t>
      </w:r>
      <w:r>
        <w:t xml:space="preserve"> Annex A § 2.2 requires any Board schedule to apply uniformly within a classification </w:t>
      </w:r>
      <w:r>
        <w:rPr>
          <w:i/>
        </w:rPr>
        <w:t>and</w:t>
      </w:r>
      <w:r>
        <w:t xml:space="preserve"> never to exceed any individual member's actuarial equivalent cost; a uniform rate satisfying that ceiling for everyone in a class must be set at the class </w:t>
      </w:r>
      <w:r>
        <w:rPr>
          <w:b/>
        </w:rPr>
        <w:t>minimum</w:t>
      </w:r>
      <w:r>
        <w:t>, which on the team's own model recovers 25%–73% of the excess, not 100%. So "the Board can dial the fiscal note to zero" is not a sentence we can say to the money committees. Two things follow politically:</w:t>
      </w:r>
    </w:p>
    <w:p>
      <w:pPr>
        <w:pStyle w:val="ListBullet"/>
      </w:pPr>
      <w:r>
        <w:rPr>
          <w:b/>
        </w:rPr>
        <w:t>Do not carry the zero-fiscal-note claim into any hearing.</w:t>
      </w:r>
      <w:r>
        <w:t xml:space="preserve"> If a member asks whether the Board can eliminate the cost and the answer is a uniform-rate schedule, the honest answer is "it recovers most of it in most classes," and anyone who reads our own model will find the 25% case. Making that claim and losing it is worse than never making it.</w:t>
      </w:r>
    </w:p>
    <w:p>
      <w:pPr>
        <w:pStyle w:val="ListBullet"/>
      </w:pPr>
      <w:r>
        <w:rPr>
          <w:b/>
        </w:rPr>
        <w:t>Put the recovery floor in statute, and take the precedent from Ohio.</w:t>
      </w:r>
      <w:r>
        <w:t xml:space="preserve"> </w:t>
      </w:r>
      <w:r>
        <w:rPr>
          <w:b/>
        </w:rPr>
        <w:t>ORC § 145.301 solves exactly this problem by statute</w:t>
      </w:r>
      <w:r>
        <w:t xml:space="preserve">: no filing window at all, with cost control delivered as a hard statutory price floor — the member pays "not less than fifty per cent of the additional liability" for armed-forces active duty. A Virginia analogue (a statutory minimum percentage of actuarial equivalent cost, rather than a Board schedule constrained by an individual-member ceiling) gives the subcommittee a number it can read off the bill's face, removes the uniformity-versus-ceiling trap F-1 identifies, and is defensible as a national pattern rather than a Virginia invention. </w:t>
      </w:r>
      <w:r>
        <w:rPr>
          <w:b/>
        </w:rPr>
        <w:t>This is the strongest single contribution my precedent research makes to the F-1 problem, and it is handed to Counsel and the Drafting Specialist as a lead, not as a legal conclusion — the drafting is theirs.</w:t>
      </w:r>
    </w:p>
    <w:p>
      <w:r>
        <w:t xml:space="preserve">Either way, Annex A § 79 states the price honestly: a high recovery setting removes the pricing subsidy from exactly the long-service Plan 1 veterans most eager for the bill, leaving them access and the 60-month payment term. Policy Director and JLCVSO have to decide whether access alone is the win. </w:t>
      </w:r>
      <w:r>
        <w:rPr>
          <w:b/>
        </w:rPr>
        <w:t>My read: it is, and it is the only version that clears this subcommittee.</w:t>
      </w:r>
    </w:p>
    <w:p>
      <w:pPr>
        <w:spacing w:after="60"/>
        <w:ind w:left="432" w:hanging="432"/>
      </w:pPr>
      <w:r>
        <w:rPr>
          <w:b/>
        </w:rPr>
        <w:t>2.</w:t>
        <w:tab/>
      </w:r>
      <w:r>
        <w:rPr>
          <w:b/>
        </w:rPr>
        <w:t>Convert present value into basis points</w:t>
      </w:r>
      <w:r>
        <w:t xml:space="preserve"> per employer group (requested of Fiscal &amp; Impact Modeler, § 3.3).</w:t>
      </w:r>
    </w:p>
    <w:p>
      <w:pPr>
        <w:spacing w:after="60"/>
        <w:ind w:left="432" w:hanging="432"/>
      </w:pPr>
      <w:r>
        <w:rPr>
          <w:b/>
        </w:rPr>
        <w:t>3.</w:t>
        <w:tab/>
      </w:r>
      <w:r>
        <w:rPr>
          <w:b/>
        </w:rPr>
        <w:t>Distinguish HB 1867 in one sentence, in the bill's own summary.</w:t>
      </w:r>
      <w:r>
        <w:t xml:space="preserve"> HB 1867 granted service </w:t>
      </w:r>
      <w:r>
        <w:rPr>
          <w:i/>
        </w:rPr>
        <w:t>free</w:t>
      </w:r>
      <w:r>
        <w:t xml:space="preserve">; this bill </w:t>
      </w:r>
      <w:r>
        <w:rPr>
          <w:i/>
        </w:rPr>
        <w:t>charges</w:t>
      </w:r>
      <w:r>
        <w:t xml:space="preserve"> the member the published approximate normal cost. VRS's 2023 objection — "granting service with no employer or employee contributions will contribute to the unfunded liability" — does not transfer, and the subcommittee should be told that before VRS's statement arrives, not after.</w:t>
      </w:r>
    </w:p>
    <w:p>
      <w:pPr>
        <w:jc w:val="center"/>
      </w:pPr>
      <w:r>
        <w:rPr>
          <w:color w:val="909090"/>
          <w:sz w:val="18"/>
        </w:rPr>
        <w:t>* * *</w:t>
      </w:r>
    </w:p>
    <w:p>
      <w:pPr>
        <w:pStyle w:val="Heading2"/>
      </w:pPr>
      <w:r>
        <w:t>6. Coalition options and the price of each ally</w:t>
      </w:r>
    </w:p>
    <w:p>
      <w:r>
        <w:t>Every ally narrows the policy. The price is stated for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Ally</w:t>
            </w:r>
          </w:p>
        </w:tc>
        <w:tc>
          <w:tcPr>
            <w:tcW w:type="dxa" w:w="2160"/>
          </w:tcPr>
          <w:p>
            <w:pPr>
              <w:spacing w:before="20" w:after="20"/>
              <w:jc w:val="left"/>
            </w:pPr>
            <w:r>
              <w:rPr>
                <w:b/>
                <w:sz w:val="17"/>
              </w:rPr>
              <w:t>What brings them along</w:t>
            </w:r>
          </w:p>
        </w:tc>
        <w:tc>
          <w:tcPr>
            <w:tcW w:type="dxa" w:w="2160"/>
          </w:tcPr>
          <w:p>
            <w:pPr>
              <w:spacing w:before="20" w:after="20"/>
              <w:jc w:val="left"/>
            </w:pPr>
            <w:r>
              <w:rPr>
                <w:b/>
                <w:sz w:val="17"/>
              </w:rPr>
              <w:t>Price in scope</w:t>
            </w:r>
          </w:p>
        </w:tc>
        <w:tc>
          <w:tcPr>
            <w:tcW w:type="dxa" w:w="2160"/>
          </w:tcPr>
          <w:p>
            <w:pPr>
              <w:spacing w:before="20" w:after="20"/>
              <w:jc w:val="left"/>
            </w:pPr>
            <w:r>
              <w:rPr>
                <w:b/>
                <w:sz w:val="17"/>
              </w:rPr>
              <w:t>My assessment</w:t>
            </w:r>
          </w:p>
        </w:tc>
      </w:tr>
      <w:tr>
        <w:tc>
          <w:tcPr>
            <w:tcW w:type="dxa" w:w="2160"/>
          </w:tcPr>
          <w:p>
            <w:pPr>
              <w:spacing w:before="20" w:after="20"/>
              <w:jc w:val="left"/>
            </w:pPr>
            <w:r>
              <w:rPr>
                <w:b/>
                <w:sz w:val="17"/>
              </w:rPr>
              <w:t>VRS (to formal neutrality)</w:t>
            </w:r>
          </w:p>
        </w:tc>
        <w:tc>
          <w:tcPr>
            <w:tcW w:type="dxa" w:w="2160"/>
          </w:tcPr>
          <w:p>
            <w:pPr>
              <w:spacing w:before="20" w:after="20"/>
              <w:jc w:val="left"/>
            </w:pPr>
            <w:r>
              <w:rPr>
                <w:sz w:val="17"/>
              </w:rPr>
              <w:t>A bill that changes no VRS procedure: existing published approximate normal cost rates, existing 60-month term, existing VNAV workflow, one deleted deadline, delayed effective date of July 1, 2028 to allow programming.</w:t>
            </w:r>
          </w:p>
        </w:tc>
        <w:tc>
          <w:tcPr>
            <w:tcW w:type="dxa" w:w="2160"/>
          </w:tcPr>
          <w:p>
            <w:pPr>
              <w:spacing w:before="20" w:after="20"/>
              <w:jc w:val="left"/>
            </w:pPr>
            <w:r>
              <w:rPr>
                <w:b/>
                <w:sz w:val="17"/>
              </w:rPr>
              <w:t>Give up the wide schedule authority in statute</w:t>
            </w:r>
            <w:r>
              <w:rPr>
                <w:sz w:val="17"/>
              </w:rPr>
              <w:t>, or at minimum accept a delayed effective date and fund the ~$78,000-order implementation as an NGF item. Conflicts with Annex A v1.1 counsel preference.</w:t>
            </w:r>
          </w:p>
        </w:tc>
        <w:tc>
          <w:tcPr>
            <w:tcW w:type="dxa" w:w="2160"/>
          </w:tcPr>
          <w:p>
            <w:pPr>
              <w:spacing w:before="20" w:after="20"/>
              <w:jc w:val="left"/>
            </w:pPr>
            <w:r>
              <w:rPr>
                <w:b/>
                <w:sz w:val="17"/>
              </w:rPr>
              <w:t>Highest-value trade available.</w:t>
            </w:r>
            <w:r>
              <w:rPr>
                <w:sz w:val="17"/>
              </w:rPr>
              <w:t xml:space="preserve"> VRS neutrality is worth more than any endorsement, because its statement is the document the subcommittee actually reads.</w:t>
            </w:r>
          </w:p>
        </w:tc>
      </w:tr>
      <w:tr>
        <w:tc>
          <w:tcPr>
            <w:tcW w:type="dxa" w:w="2160"/>
          </w:tcPr>
          <w:p>
            <w:pPr>
              <w:spacing w:before="20" w:after="20"/>
              <w:jc w:val="left"/>
            </w:pPr>
            <w:r>
              <w:rPr>
                <w:b/>
                <w:sz w:val="17"/>
              </w:rPr>
              <w:t>VACo and VML (to non-opposition)</w:t>
            </w:r>
          </w:p>
        </w:tc>
        <w:tc>
          <w:tcPr>
            <w:tcW w:type="dxa" w:w="2160"/>
          </w:tcPr>
          <w:p>
            <w:pPr>
              <w:spacing w:before="20" w:after="20"/>
              <w:jc w:val="left"/>
            </w:pPr>
            <w:r>
              <w:rPr>
                <w:sz w:val="17"/>
              </w:rPr>
              <w:t>Either (a) the Commonwealth bears the political subdivision share, or (b) the provision does not bind political subdivisions until they adopt it.</w:t>
            </w:r>
          </w:p>
        </w:tc>
        <w:tc>
          <w:tcPr>
            <w:tcW w:type="dxa" w:w="2160"/>
          </w:tcPr>
          <w:p>
            <w:pPr>
              <w:spacing w:before="20" w:after="20"/>
              <w:jc w:val="left"/>
            </w:pPr>
            <w:r>
              <w:rPr>
                <w:b/>
                <w:sz w:val="17"/>
              </w:rPr>
              <w:t>(a)</w:t>
            </w:r>
            <w:r>
              <w:rPr>
                <w:sz w:val="17"/>
              </w:rPr>
              <w:t xml:space="preserve"> converts a no-appropriation bill into an appropriation ask — which costs us the "requests no appropriation" claim, our strongest remaining fiscal sentence post-F-2. </w:t>
            </w:r>
            <w:r>
              <w:rPr>
                <w:b/>
                <w:sz w:val="17"/>
              </w:rPr>
              <w:t>(b)</w:t>
            </w:r>
            <w:r>
              <w:rPr>
                <w:sz w:val="17"/>
              </w:rPr>
              <w:t xml:space="preserve"> is the </w:t>
            </w:r>
            <w:r>
              <w:rPr>
                <w:b/>
                <w:sz w:val="17"/>
              </w:rPr>
              <w:t>opt-in by irrevocable resolution modelled on § 51.1-153 B 4</w:t>
            </w:r>
            <w:r>
              <w:rPr>
                <w:sz w:val="17"/>
              </w:rPr>
              <w:t xml:space="preserve"> that JLCVSO rejected on 2026-10-24.</w:t>
            </w:r>
          </w:p>
        </w:tc>
        <w:tc>
          <w:tcPr>
            <w:tcW w:type="dxa" w:w="2160"/>
          </w:tcPr>
          <w:p>
            <w:pPr>
              <w:spacing w:before="20" w:after="20"/>
              <w:jc w:val="left"/>
            </w:pPr>
            <w:r>
              <w:rPr>
                <w:b/>
                <w:sz w:val="17"/>
              </w:rPr>
              <w:t>Recommend keeping (b) on the Q12 concession ladder as a trade, not dropping it.</w:t>
            </w:r>
            <w:r>
              <w:rPr>
                <w:sz w:val="17"/>
              </w:rPr>
              <w:t xml:space="preserve"> This is a direct answer to Policy Director's question. Reasoning in the box below.</w:t>
            </w:r>
          </w:p>
        </w:tc>
      </w:tr>
      <w:tr>
        <w:tc>
          <w:tcPr>
            <w:tcW w:type="dxa" w:w="2160"/>
          </w:tcPr>
          <w:p>
            <w:pPr>
              <w:spacing w:before="20" w:after="20"/>
              <w:jc w:val="left"/>
            </w:pPr>
            <w:r>
              <w:rPr>
                <w:b/>
                <w:sz w:val="17"/>
              </w:rPr>
              <w:t>VEA</w:t>
            </w:r>
          </w:p>
        </w:tc>
        <w:tc>
          <w:tcPr>
            <w:tcW w:type="dxa" w:w="2160"/>
          </w:tcPr>
          <w:p>
            <w:pPr>
              <w:spacing w:before="20" w:after="20"/>
              <w:jc w:val="left"/>
            </w:pPr>
            <w:r>
              <w:rPr>
                <w:sz w:val="17"/>
              </w:rPr>
              <w:t>Scope that includes teachers — already decided.</w:t>
            </w:r>
          </w:p>
        </w:tc>
        <w:tc>
          <w:tcPr>
            <w:tcW w:type="dxa" w:w="2160"/>
          </w:tcPr>
          <w:p>
            <w:pPr>
              <w:spacing w:before="20" w:after="20"/>
              <w:jc w:val="left"/>
            </w:pPr>
            <w:r>
              <w:rPr>
                <w:sz w:val="17"/>
              </w:rPr>
              <w:t>None. Already paid for by the no-opt-in decision.</w:t>
            </w:r>
          </w:p>
        </w:tc>
        <w:tc>
          <w:tcPr>
            <w:tcW w:type="dxa" w:w="2160"/>
          </w:tcPr>
          <w:p>
            <w:pPr>
              <w:spacing w:before="20" w:after="20"/>
              <w:jc w:val="left"/>
            </w:pPr>
            <w:r>
              <w:rPr>
                <w:sz w:val="17"/>
              </w:rPr>
              <w:t>Free ally. Ask for a witness, not a lobbying campaign.</w:t>
            </w:r>
          </w:p>
        </w:tc>
      </w:tr>
      <w:tr>
        <w:tc>
          <w:tcPr>
            <w:tcW w:type="dxa" w:w="2160"/>
          </w:tcPr>
          <w:p>
            <w:pPr>
              <w:spacing w:before="20" w:after="20"/>
              <w:jc w:val="left"/>
            </w:pPr>
            <w:r>
              <w:rPr>
                <w:b/>
                <w:sz w:val="17"/>
              </w:rPr>
              <w:t>VGEA</w:t>
            </w:r>
          </w:p>
        </w:tc>
        <w:tc>
          <w:tcPr>
            <w:tcW w:type="dxa" w:w="2160"/>
          </w:tcPr>
          <w:p>
            <w:pPr>
              <w:spacing w:before="20" w:after="20"/>
              <w:jc w:val="left"/>
            </w:pPr>
            <w:r>
              <w:rPr>
                <w:sz w:val="17"/>
              </w:rPr>
              <w:t>Scope that includes state employees — already decided.</w:t>
            </w:r>
          </w:p>
        </w:tc>
        <w:tc>
          <w:tcPr>
            <w:tcW w:type="dxa" w:w="2160"/>
          </w:tcPr>
          <w:p>
            <w:pPr>
              <w:spacing w:before="20" w:after="20"/>
              <w:jc w:val="left"/>
            </w:pPr>
            <w:r>
              <w:rPr>
                <w:sz w:val="17"/>
              </w:rPr>
              <w:t>None.</w:t>
            </w:r>
          </w:p>
        </w:tc>
        <w:tc>
          <w:tcPr>
            <w:tcW w:type="dxa" w:w="2160"/>
          </w:tcPr>
          <w:p>
            <w:pPr>
              <w:spacing w:before="20" w:after="20"/>
              <w:jc w:val="left"/>
            </w:pPr>
            <w:r>
              <w:rPr>
                <w:sz w:val="17"/>
              </w:rPr>
              <w:t>Free ally, low energy. Do not expect capital.</w:t>
            </w:r>
          </w:p>
        </w:tc>
      </w:tr>
      <w:tr>
        <w:tc>
          <w:tcPr>
            <w:tcW w:type="dxa" w:w="2160"/>
          </w:tcPr>
          <w:p>
            <w:pPr>
              <w:spacing w:before="20" w:after="20"/>
              <w:jc w:val="left"/>
            </w:pPr>
            <w:r>
              <w:rPr>
                <w:b/>
                <w:sz w:val="17"/>
              </w:rPr>
              <w:t>Hazardous-duty employee groups</w:t>
            </w:r>
          </w:p>
        </w:tc>
        <w:tc>
          <w:tcPr>
            <w:tcW w:type="dxa" w:w="2160"/>
          </w:tcPr>
          <w:p>
            <w:pPr>
              <w:spacing w:before="20" w:after="20"/>
              <w:jc w:val="left"/>
            </w:pPr>
            <w:r>
              <w:rPr>
                <w:sz w:val="17"/>
              </w:rPr>
              <w:t>Confirmation that the alternate hazardous duty option (10.01%) is reached — Annex A v1.1 § 2.6 does this.</w:t>
            </w:r>
          </w:p>
        </w:tc>
        <w:tc>
          <w:tcPr>
            <w:tcW w:type="dxa" w:w="2160"/>
          </w:tcPr>
          <w:p>
            <w:pPr>
              <w:spacing w:before="20" w:after="20"/>
              <w:jc w:val="left"/>
            </w:pPr>
            <w:r>
              <w:rPr>
                <w:sz w:val="17"/>
              </w:rPr>
              <w:t>None.</w:t>
            </w:r>
          </w:p>
        </w:tc>
        <w:tc>
          <w:tcPr>
            <w:tcW w:type="dxa" w:w="2160"/>
          </w:tcPr>
          <w:p>
            <w:pPr>
              <w:spacing w:before="20" w:after="20"/>
              <w:jc w:val="left"/>
            </w:pPr>
            <w:r>
              <w:rPr>
                <w:sz w:val="17"/>
              </w:rPr>
              <w:t>Best available witness pool. A deputy sheriff who served four years in the Marines and was hired at 31 is the hearing.</w:t>
            </w:r>
          </w:p>
        </w:tc>
      </w:tr>
      <w:tr>
        <w:tc>
          <w:tcPr>
            <w:tcW w:type="dxa" w:w="2160"/>
          </w:tcPr>
          <w:p>
            <w:pPr>
              <w:spacing w:before="20" w:after="20"/>
              <w:jc w:val="left"/>
            </w:pPr>
            <w:r>
              <w:rPr>
                <w:b/>
                <w:sz w:val="17"/>
              </w:rPr>
              <w:t>A Republican subcommittee co-patron (Hodges or Wyatt)</w:t>
            </w:r>
          </w:p>
        </w:tc>
        <w:tc>
          <w:tcPr>
            <w:tcW w:type="dxa" w:w="2160"/>
          </w:tcPr>
          <w:p>
            <w:pPr>
              <w:spacing w:before="20" w:after="20"/>
              <w:jc w:val="left"/>
            </w:pPr>
            <w:r>
              <w:rPr>
                <w:sz w:val="17"/>
              </w:rPr>
              <w:t>A bill that is manifestly cost-contained.</w:t>
            </w:r>
          </w:p>
        </w:tc>
        <w:tc>
          <w:tcPr>
            <w:tcW w:type="dxa" w:w="2160"/>
          </w:tcPr>
          <w:p>
            <w:pPr>
              <w:spacing w:before="20" w:after="20"/>
              <w:jc w:val="left"/>
            </w:pPr>
            <w:r>
              <w:rPr>
                <w:sz w:val="17"/>
              </w:rPr>
              <w:t>Probably the four-year cap reduced, or a minimum-membership-service floor.</w:t>
            </w:r>
          </w:p>
        </w:tc>
        <w:tc>
          <w:tcPr>
            <w:tcW w:type="dxa" w:w="2160"/>
          </w:tcPr>
          <w:p>
            <w:pPr>
              <w:spacing w:before="20" w:after="20"/>
              <w:jc w:val="left"/>
            </w:pPr>
            <w:r>
              <w:rPr>
                <w:b/>
                <w:sz w:val="17"/>
              </w:rPr>
              <w:t>Worth more than the cap.</w:t>
            </w:r>
            <w:r>
              <w:rPr>
                <w:sz w:val="17"/>
              </w:rPr>
              <w:t xml:space="preserve"> An 8-0 tabling becomes contested the moment one of the two Republicans on the panel is a co-patron.</w:t>
            </w:r>
          </w:p>
        </w:tc>
      </w:tr>
      <w:tr>
        <w:tc>
          <w:tcPr>
            <w:tcW w:type="dxa" w:w="2160"/>
          </w:tcPr>
          <w:p>
            <w:pPr>
              <w:spacing w:before="20" w:after="20"/>
              <w:jc w:val="left"/>
            </w:pPr>
            <w:r>
              <w:rPr>
                <w:b/>
                <w:sz w:val="17"/>
              </w:rPr>
              <w:t>Military and Veterans Caucus</w:t>
            </w:r>
          </w:p>
        </w:tc>
        <w:tc>
          <w:tcPr>
            <w:tcW w:type="dxa" w:w="2160"/>
          </w:tcPr>
          <w:p>
            <w:pPr>
              <w:spacing w:before="20" w:after="20"/>
              <w:jc w:val="left"/>
            </w:pPr>
            <w:r>
              <w:rPr>
                <w:sz w:val="17"/>
              </w:rPr>
              <w:t>Being asked, in the spring, before the JLC slate closes.</w:t>
            </w:r>
          </w:p>
        </w:tc>
        <w:tc>
          <w:tcPr>
            <w:tcW w:type="dxa" w:w="2160"/>
          </w:tcPr>
          <w:p>
            <w:pPr>
              <w:spacing w:before="20" w:after="20"/>
              <w:jc w:val="left"/>
            </w:pPr>
            <w:r>
              <w:rPr>
                <w:sz w:val="17"/>
              </w:rPr>
              <w:t>None.</w:t>
            </w:r>
          </w:p>
        </w:tc>
        <w:tc>
          <w:tcPr>
            <w:tcW w:type="dxa" w:w="2160"/>
          </w:tcPr>
          <w:p>
            <w:pPr>
              <w:spacing w:before="20" w:after="20"/>
              <w:jc w:val="left"/>
            </w:pPr>
            <w:r>
              <w:rPr>
                <w:sz w:val="17"/>
              </w:rPr>
              <w:t>Cheap, and currently unspent. See U-2.</w:t>
            </w:r>
          </w:p>
        </w:tc>
      </w:tr>
    </w:tbl>
    <w:p>
      <w:pPr>
        <w:spacing w:before="0" w:after="0" w:line="80" w:lineRule="exact"/>
      </w:pPr>
      <w:r>
        <w:rPr>
          <w:sz w:val="8"/>
        </w:rPr>
      </w:r>
    </w:p>
    <w:p>
      <w:pPr>
        <w:pStyle w:val="Heading3"/>
        <w:ind w:left="480"/>
      </w:pPr>
      <w:r>
        <w:t>On the opt-in: recommendation to Policy Director</w:t>
      </w:r>
    </w:p>
    <w:p>
      <w:pPr>
        <w:spacing w:before="120" w:after="120"/>
        <w:ind w:left="480"/>
      </w:pPr>
      <w:r>
        <w:rPr>
          <w:i/>
          <w:color w:val="444444"/>
          <w:sz w:val="20"/>
        </w:rPr>
        <w:t xml:space="preserve">JLCVSO decided scope on 2026-10-24 and that decision stands; I am not relitigating it. But the question put to me was whether the § 51.1-153 B 4 opt-in pattern should stay on the Q12 concession ladder as a </w:t>
      </w:r>
      <w:r>
        <w:rPr>
          <w:b/>
          <w:i/>
          <w:color w:val="444444"/>
          <w:sz w:val="20"/>
        </w:rPr>
        <w:t>trade</w:t>
      </w:r>
      <w:r>
        <w:rPr>
          <w:i/>
          <w:color w:val="444444"/>
          <w:sz w:val="20"/>
        </w:rPr>
        <w:t xml:space="preserve">. </w:t>
      </w:r>
      <w:r>
        <w:rPr>
          <w:b/>
          <w:i/>
          <w:color w:val="444444"/>
          <w:sz w:val="20"/>
        </w:rPr>
        <w:t>My recommendation is yes, and it should be ranked as the ladder's second rung, below the guardrail dial and above the four-year cap.</w:t>
      </w:r>
    </w:p>
    <w:p>
      <w:pPr>
        <w:spacing w:before="120" w:after="120"/>
        <w:ind w:left="480"/>
      </w:pPr>
      <w:r>
        <w:rPr>
          <w:i/>
          <w:color w:val="444444"/>
          <w:sz w:val="20"/>
        </w:rPr>
        <w:t xml:space="preserve">Three reasons. First, VACo's 2027 program has already </w:t>
      </w:r>
      <w:r>
        <w:rPr>
          <w:i/>
          <w:color w:val="444444"/>
          <w:sz w:val="20"/>
        </w:rPr>
        <w:t>written the amendment for them</w:t>
      </w:r>
      <w:r>
        <w:rPr>
          <w:i/>
          <w:color w:val="444444"/>
          <w:sz w:val="20"/>
        </w:rPr>
        <w:t xml:space="preserve"> — "the legislation should contain a sunset clause providing that the mandate is not binding on localities until funding by the Commonwealth is provided." If we do not offer a local-consent structure, that sentence is what gets offered instead, and it is worse: it is a funding contingency rather than a local election. Second, offering the opt-in </w:t>
      </w:r>
      <w:r>
        <w:rPr>
          <w:b/>
          <w:i/>
          <w:color w:val="444444"/>
          <w:sz w:val="20"/>
        </w:rPr>
        <w:t>after</w:t>
      </w:r>
      <w:r>
        <w:rPr>
          <w:i/>
          <w:color w:val="444444"/>
          <w:sz w:val="20"/>
        </w:rPr>
        <w:t xml:space="preserve"> the § 30-19.1:7 statement lands splits the opposition — the Teacher plan is statewide and unaffected by an opt-in, so an opt-in concedes only the political subdivision pool, which Annex 2 Closure's three-way split shows is the smaller share of exposure. Third, conceding it in the room rather than in the draft preserves the full-scope ask as the opening position, which is what JLCVSO actually voted for.</w:t>
      </w:r>
    </w:p>
    <w:p>
      <w:pPr>
        <w:spacing w:before="120" w:after="120"/>
        <w:ind w:left="480"/>
      </w:pPr>
      <w:r>
        <w:rPr>
          <w:i/>
          <w:color w:val="444444"/>
          <w:sz w:val="20"/>
        </w:rPr>
        <w:t>The cost of the trade is real and should be stated to JLCVSO plainly: an opt-in creates exactly the state/local inequity between veteran public employees that Annex A Q10 option (b) was rejected for creating, and it creates it unevenly — a veteran in a county that adopts the resolution gets the benefit and a veteran across the county line does not. That is a defensible price for passage and an indefensible one for nothing, which is why it belongs on the ladder and not in the draft.</w:t>
      </w:r>
    </w:p>
    <w:p>
      <w:pPr>
        <w:jc w:val="center"/>
      </w:pPr>
      <w:r>
        <w:rPr>
          <w:color w:val="909090"/>
          <w:sz w:val="18"/>
        </w:rPr>
        <w:t>* * *</w:t>
      </w:r>
    </w:p>
    <w:p>
      <w:pPr>
        <w:pStyle w:val="Heading2"/>
      </w:pPr>
      <w:r>
        <w:t>7. Precedent: how other states handle the timing of military service credit purchase</w:t>
      </w:r>
    </w:p>
    <w:p>
      <w:r>
        <w:t xml:space="preserve">The task asked whether other states have removed or extended time limits. </w:t>
      </w:r>
      <w:r>
        <w:rPr>
          <w:b/>
        </w:rPr>
        <w:t>One has done so explicitly and recently, and the dominant national pattern is a service-milestone or pre-retirement trigger rather than a window measured from hire.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State</w:t>
            </w:r>
          </w:p>
        </w:tc>
        <w:tc>
          <w:tcPr>
            <w:tcW w:type="dxa" w:w="1728"/>
          </w:tcPr>
          <w:p>
            <w:pPr>
              <w:spacing w:before="20" w:after="20"/>
              <w:jc w:val="left"/>
            </w:pPr>
            <w:r>
              <w:rPr>
                <w:b/>
                <w:sz w:val="17"/>
              </w:rPr>
              <w:t>Statute / act</w:t>
            </w:r>
          </w:p>
        </w:tc>
        <w:tc>
          <w:tcPr>
            <w:tcW w:type="dxa" w:w="1728"/>
          </w:tcPr>
          <w:p>
            <w:pPr>
              <w:spacing w:before="20" w:after="20"/>
              <w:jc w:val="left"/>
            </w:pPr>
            <w:r>
              <w:rPr>
                <w:b/>
                <w:sz w:val="17"/>
              </w:rPr>
              <w:t>Window to purchase</w:t>
            </w:r>
          </w:p>
        </w:tc>
        <w:tc>
          <w:tcPr>
            <w:tcW w:type="dxa" w:w="1728"/>
          </w:tcPr>
          <w:p>
            <w:pPr>
              <w:spacing w:before="20" w:after="20"/>
              <w:jc w:val="left"/>
            </w:pPr>
            <w:r>
              <w:rPr>
                <w:b/>
                <w:sz w:val="17"/>
              </w:rPr>
              <w:t>Price</w:t>
            </w:r>
          </w:p>
        </w:tc>
        <w:tc>
          <w:tcPr>
            <w:tcW w:type="dxa" w:w="1728"/>
          </w:tcPr>
          <w:p>
            <w:pPr>
              <w:spacing w:before="20" w:after="20"/>
              <w:jc w:val="left"/>
            </w:pPr>
            <w:r>
              <w:rPr>
                <w:b/>
                <w:sz w:val="17"/>
              </w:rPr>
              <w:t>Relevance</w:t>
            </w:r>
          </w:p>
        </w:tc>
      </w:tr>
      <w:tr>
        <w:tc>
          <w:tcPr>
            <w:tcW w:type="dxa" w:w="1728"/>
          </w:tcPr>
          <w:p>
            <w:pPr>
              <w:spacing w:before="20" w:after="20"/>
              <w:jc w:val="left"/>
            </w:pPr>
            <w:r>
              <w:rPr>
                <w:b/>
                <w:sz w:val="17"/>
              </w:rPr>
              <w:t>Massachusetts</w:t>
            </w:r>
          </w:p>
        </w:tc>
        <w:tc>
          <w:tcPr>
            <w:tcW w:type="dxa" w:w="1728"/>
          </w:tcPr>
          <w:p>
            <w:pPr>
              <w:spacing w:before="20" w:after="20"/>
              <w:jc w:val="left"/>
            </w:pPr>
            <w:r>
              <w:rPr>
                <w:b/>
                <w:sz w:val="17"/>
              </w:rPr>
              <w:t>HERO Act, Chapter 178 of the Acts of 2024, § 52</w:t>
            </w:r>
            <w:r>
              <w:rPr>
                <w:sz w:val="17"/>
              </w:rPr>
              <w:t xml:space="preserve"> (signed 2024-08-08)</w:t>
            </w:r>
          </w:p>
        </w:tc>
        <w:tc>
          <w:tcPr>
            <w:tcW w:type="dxa" w:w="1728"/>
          </w:tcPr>
          <w:p>
            <w:pPr>
              <w:spacing w:before="20" w:after="20"/>
              <w:jc w:val="left"/>
            </w:pPr>
            <w:r>
              <w:rPr>
                <w:b/>
                <w:sz w:val="17"/>
              </w:rPr>
              <w:t>Repealed the 180-day limitation that had existed since 1996.</w:t>
            </w:r>
            <w:r>
              <w:rPr>
                <w:sz w:val="17"/>
              </w:rPr>
              <w:t xml:space="preserve"> Members must now make full payment or enter an installment agreement </w:t>
            </w:r>
            <w:r>
              <w:rPr>
                <w:b/>
                <w:sz w:val="17"/>
              </w:rPr>
              <w:t>no later than one year after accumulating 10 years of creditable service, or August 8, 2025, whichever is later.</w:t>
            </w:r>
          </w:p>
        </w:tc>
        <w:tc>
          <w:tcPr>
            <w:tcW w:type="dxa" w:w="1728"/>
          </w:tcPr>
          <w:p>
            <w:pPr>
              <w:spacing w:before="20" w:after="20"/>
              <w:jc w:val="left"/>
            </w:pPr>
            <w:r>
              <w:rPr>
                <w:sz w:val="17"/>
              </w:rPr>
              <w:t>—</w:t>
            </w:r>
          </w:p>
        </w:tc>
        <w:tc>
          <w:tcPr>
            <w:tcW w:type="dxa" w:w="1728"/>
          </w:tcPr>
          <w:p>
            <w:pPr>
              <w:spacing w:before="20" w:after="20"/>
              <w:jc w:val="left"/>
            </w:pPr>
            <w:r>
              <w:rPr>
                <w:b/>
                <w:sz w:val="17"/>
              </w:rPr>
              <w:t>The direct precedent, and an honest one.</w:t>
            </w:r>
            <w:r>
              <w:rPr>
                <w:sz w:val="17"/>
              </w:rPr>
              <w:t xml:space="preserve"> Massachusetts did </w:t>
            </w:r>
            <w:r>
              <w:rPr>
                <w:i/>
                <w:sz w:val="17"/>
              </w:rPr>
              <w:t>not</w:t>
            </w:r>
            <w:r>
              <w:rPr>
                <w:sz w:val="17"/>
              </w:rPr>
              <w:t xml:space="preserve"> go to unlimited: it moved the trigger from a short post-eligibility window to a </w:t>
            </w:r>
            <w:r>
              <w:rPr>
                <w:b/>
                <w:sz w:val="17"/>
              </w:rPr>
              <w:t>service milestone</w:t>
            </w:r>
            <w:r>
              <w:rPr>
                <w:sz w:val="17"/>
              </w:rPr>
              <w:t>. That is a model for a Virginia concession, not for our opening draft.</w:t>
            </w:r>
          </w:p>
        </w:tc>
      </w:tr>
      <w:tr>
        <w:tc>
          <w:tcPr>
            <w:tcW w:type="dxa" w:w="1728"/>
          </w:tcPr>
          <w:p>
            <w:pPr>
              <w:spacing w:before="20" w:after="20"/>
              <w:jc w:val="left"/>
            </w:pPr>
            <w:r>
              <w:rPr>
                <w:b/>
                <w:sz w:val="17"/>
              </w:rPr>
              <w:t>Ohio</w:t>
            </w:r>
          </w:p>
        </w:tc>
        <w:tc>
          <w:tcPr>
            <w:tcW w:type="dxa" w:w="1728"/>
          </w:tcPr>
          <w:p>
            <w:pPr>
              <w:spacing w:before="20" w:after="20"/>
              <w:jc w:val="left"/>
            </w:pPr>
            <w:r>
              <w:rPr>
                <w:b/>
                <w:sz w:val="17"/>
              </w:rPr>
              <w:t>ORC § 145.301</w:t>
            </w:r>
          </w:p>
        </w:tc>
        <w:tc>
          <w:tcPr>
            <w:tcW w:type="dxa" w:w="1728"/>
          </w:tcPr>
          <w:p>
            <w:pPr>
              <w:spacing w:before="20" w:after="20"/>
              <w:jc w:val="left"/>
            </w:pPr>
            <w:r>
              <w:rPr>
                <w:b/>
                <w:sz w:val="17"/>
              </w:rPr>
              <w:t>"The credit may be purchased at any time prior to receipt of a retirement allowance."</w:t>
            </w:r>
            <w:r>
              <w:rPr>
                <w:sz w:val="17"/>
              </w:rPr>
              <w:t xml:space="preserve"> No window.</w:t>
            </w:r>
          </w:p>
        </w:tc>
        <w:tc>
          <w:tcPr>
            <w:tcW w:type="dxa" w:w="1728"/>
          </w:tcPr>
          <w:p>
            <w:pPr>
              <w:spacing w:before="20" w:after="20"/>
              <w:jc w:val="left"/>
            </w:pPr>
            <w:r>
              <w:rPr>
                <w:sz w:val="17"/>
              </w:rPr>
              <w:t xml:space="preserve">Member pays </w:t>
            </w:r>
            <w:r>
              <w:rPr>
                <w:b/>
                <w:sz w:val="17"/>
              </w:rPr>
              <w:t>not less than 50%</w:t>
            </w:r>
            <w:r>
              <w:rPr>
                <w:sz w:val="17"/>
              </w:rPr>
              <w:t xml:space="preserve"> of the additional actuarial liability for armed-forces active duty; </w:t>
            </w:r>
            <w:r>
              <w:rPr>
                <w:b/>
                <w:sz w:val="17"/>
              </w:rPr>
              <w:t>100%</w:t>
            </w:r>
            <w:r>
              <w:rPr>
                <w:sz w:val="17"/>
              </w:rPr>
              <w:t xml:space="preserve"> for reserve/National Guard service. Max 5 years.</w:t>
            </w:r>
          </w:p>
        </w:tc>
        <w:tc>
          <w:tcPr>
            <w:tcW w:type="dxa" w:w="1728"/>
          </w:tcPr>
          <w:p>
            <w:pPr>
              <w:spacing w:before="20" w:after="20"/>
              <w:jc w:val="left"/>
            </w:pPr>
            <w:r>
              <w:rPr>
                <w:b/>
                <w:sz w:val="17"/>
              </w:rPr>
              <w:t>The cleanest structural precedent for our bill</w:t>
            </w:r>
            <w:r>
              <w:rPr>
                <w:sz w:val="17"/>
              </w:rPr>
              <w:t xml:space="preserve">: no deadline, with cost containment delivered through a statutory </w:t>
            </w:r>
            <w:r>
              <w:rPr>
                <w:i/>
                <w:sz w:val="17"/>
              </w:rPr>
              <w:t>price floor</w:t>
            </w:r>
            <w:r>
              <w:rPr>
                <w:sz w:val="17"/>
              </w:rPr>
              <w:t xml:space="preserve"> rather than a </w:t>
            </w:r>
            <w:r>
              <w:rPr>
                <w:i/>
                <w:sz w:val="17"/>
              </w:rPr>
              <w:t>filing cliff</w:t>
            </w:r>
            <w:r>
              <w:rPr>
                <w:sz w:val="17"/>
              </w:rPr>
              <w:t>. This is the Ohio answer to the adverse-selection objection and it is available to Virginia through the Annex A § 2.2 schedule authority.</w:t>
            </w:r>
          </w:p>
        </w:tc>
      </w:tr>
      <w:tr>
        <w:tc>
          <w:tcPr>
            <w:tcW w:type="dxa" w:w="1728"/>
          </w:tcPr>
          <w:p>
            <w:pPr>
              <w:spacing w:before="20" w:after="20"/>
              <w:jc w:val="left"/>
            </w:pPr>
            <w:r>
              <w:rPr>
                <w:b/>
                <w:sz w:val="17"/>
              </w:rPr>
              <w:t>New York</w:t>
            </w:r>
          </w:p>
        </w:tc>
        <w:tc>
          <w:tcPr>
            <w:tcW w:type="dxa" w:w="1728"/>
          </w:tcPr>
          <w:p>
            <w:pPr>
              <w:spacing w:before="20" w:after="20"/>
              <w:jc w:val="left"/>
            </w:pPr>
            <w:r>
              <w:rPr>
                <w:b/>
                <w:sz w:val="17"/>
              </w:rPr>
              <w:t>N.Y. Ret. &amp; Soc. Sec. Law § 1000</w:t>
            </w:r>
          </w:p>
        </w:tc>
        <w:tc>
          <w:tcPr>
            <w:tcW w:type="dxa" w:w="1728"/>
          </w:tcPr>
          <w:p>
            <w:pPr>
              <w:spacing w:before="20" w:after="20"/>
              <w:jc w:val="left"/>
            </w:pPr>
            <w:r>
              <w:rPr>
                <w:b/>
                <w:sz w:val="17"/>
              </w:rPr>
              <w:t>"A member must make application for such credit before the effective date of retirement."</w:t>
            </w:r>
            <w:r>
              <w:rPr>
                <w:sz w:val="17"/>
              </w:rPr>
              <w:t xml:space="preserve"> No window from hire.</w:t>
            </w:r>
          </w:p>
        </w:tc>
        <w:tc>
          <w:tcPr>
            <w:tcW w:type="dxa" w:w="1728"/>
          </w:tcPr>
          <w:p>
            <w:pPr>
              <w:spacing w:before="20" w:after="20"/>
              <w:jc w:val="left"/>
            </w:pPr>
            <w:r>
              <w:rPr>
                <w:sz w:val="17"/>
              </w:rPr>
              <w:t>Member pays 3% of the prior 12 months' compensation per year of credit (</w:t>
            </w:r>
            <w:r>
              <w:rPr>
                <w:b/>
                <w:sz w:val="17"/>
              </w:rPr>
              <w:t>6%</w:t>
            </w:r>
            <w:r>
              <w:rPr>
                <w:sz w:val="17"/>
              </w:rPr>
              <w:t xml:space="preserve"> for members who joined on or after April 1, 2012); max </w:t>
            </w:r>
            <w:r>
              <w:rPr>
                <w:b/>
                <w:sz w:val="17"/>
              </w:rPr>
              <w:t>3 years</w:t>
            </w:r>
            <w:r>
              <w:rPr>
                <w:sz w:val="17"/>
              </w:rPr>
              <w:t xml:space="preserve">; "All costs… other than the member costs… </w:t>
            </w:r>
            <w:r>
              <w:rPr>
                <w:b/>
                <w:sz w:val="17"/>
              </w:rPr>
              <w:t>shall be paid by the state and all employers</w:t>
            </w:r>
            <w:r>
              <w:rPr>
                <w:sz w:val="17"/>
              </w:rPr>
              <w:t xml:space="preserve">." Requires </w:t>
            </w:r>
            <w:r>
              <w:rPr>
                <w:b/>
                <w:sz w:val="17"/>
              </w:rPr>
              <w:t>5 years of credited service</w:t>
            </w:r>
            <w:r>
              <w:rPr>
                <w:sz w:val="17"/>
              </w:rPr>
              <w:t xml:space="preserve"> to be eligible.</w:t>
            </w:r>
          </w:p>
        </w:tc>
        <w:tc>
          <w:tcPr>
            <w:tcW w:type="dxa" w:w="1728"/>
          </w:tcPr>
          <w:p>
            <w:pPr>
              <w:spacing w:before="20" w:after="20"/>
              <w:jc w:val="left"/>
            </w:pPr>
            <w:r>
              <w:rPr>
                <w:sz w:val="17"/>
              </w:rPr>
              <w:t xml:space="preserve">Validates both halves of our structure: a pre-retirement deadline (Annex A's 12-month pre-retirement deadline is </w:t>
            </w:r>
            <w:r>
              <w:rPr>
                <w:i/>
                <w:sz w:val="17"/>
              </w:rPr>
              <w:t>stricter</w:t>
            </w:r>
            <w:r>
              <w:rPr>
                <w:sz w:val="17"/>
              </w:rPr>
              <w:t xml:space="preserve"> than New York's) and an eligibility </w:t>
            </w:r>
            <w:r>
              <w:rPr>
                <w:b/>
                <w:sz w:val="17"/>
              </w:rPr>
              <w:t>floor</w:t>
            </w:r>
            <w:r>
              <w:rPr>
                <w:sz w:val="17"/>
              </w:rPr>
              <w:t xml:space="preserve"> rather than a ceiling. Also the source of the brief's A-2 option — and note the employer-pays sentence, which is what the Commission on Local Government would read first.</w:t>
            </w:r>
          </w:p>
        </w:tc>
      </w:tr>
      <w:tr>
        <w:tc>
          <w:tcPr>
            <w:tcW w:type="dxa" w:w="1728"/>
          </w:tcPr>
          <w:p>
            <w:pPr>
              <w:spacing w:before="20" w:after="20"/>
              <w:jc w:val="left"/>
            </w:pPr>
            <w:r>
              <w:rPr>
                <w:b/>
                <w:sz w:val="17"/>
              </w:rPr>
              <w:t>Pennsylvania</w:t>
            </w:r>
          </w:p>
        </w:tc>
        <w:tc>
          <w:tcPr>
            <w:tcW w:type="dxa" w:w="1728"/>
          </w:tcPr>
          <w:p>
            <w:pPr>
              <w:spacing w:before="20" w:after="20"/>
              <w:jc w:val="left"/>
            </w:pPr>
            <w:r>
              <w:rPr>
                <w:b/>
                <w:sz w:val="17"/>
              </w:rPr>
              <w:t>71 Pa.C.S. § 5304</w:t>
            </w:r>
            <w:r>
              <w:rPr>
                <w:sz w:val="17"/>
              </w:rPr>
              <w:t xml:space="preserve"> (SERS); PSERS parallel</w:t>
            </w:r>
          </w:p>
        </w:tc>
        <w:tc>
          <w:tcPr>
            <w:tcW w:type="dxa" w:w="1728"/>
          </w:tcPr>
          <w:p>
            <w:pPr>
              <w:spacing w:before="20" w:after="20"/>
              <w:jc w:val="left"/>
            </w:pPr>
            <w:r>
              <w:rPr>
                <w:b/>
                <w:sz w:val="17"/>
              </w:rPr>
              <w:t>No application deadline for nonintervening military service.</w:t>
            </w:r>
            <w:r>
              <w:rPr>
                <w:sz w:val="17"/>
              </w:rPr>
              <w:t xml:space="preserve"> Max 5 years. PSERS requires </w:t>
            </w:r>
            <w:r>
              <w:rPr>
                <w:b/>
                <w:sz w:val="17"/>
              </w:rPr>
              <w:t>3 years of credited school service following</w:t>
            </w:r>
            <w:r>
              <w:rPr>
                <w:sz w:val="17"/>
              </w:rPr>
              <w:t xml:space="preserve"> the military service. The statute </w:t>
            </w:r>
            <w:r>
              <w:rPr>
                <w:i/>
                <w:sz w:val="17"/>
              </w:rPr>
              <w:t>does</w:t>
            </w:r>
            <w:r>
              <w:rPr>
                <w:sz w:val="17"/>
              </w:rPr>
              <w:t xml:space="preserve"> impose a one-year election window on one narrow unrelated category (temporary federal employees, 1970–1975).</w:t>
            </w:r>
          </w:p>
        </w:tc>
        <w:tc>
          <w:tcPr>
            <w:tcW w:type="dxa" w:w="1728"/>
          </w:tcPr>
          <w:p>
            <w:pPr>
              <w:spacing w:before="20" w:after="20"/>
              <w:jc w:val="left"/>
            </w:pPr>
            <w:r>
              <w:rPr>
                <w:sz w:val="17"/>
              </w:rPr>
              <w:t>Actuarial-cost basis; the brief's A-1 option turns on the statutory interest rate.</w:t>
            </w:r>
          </w:p>
        </w:tc>
        <w:tc>
          <w:tcPr>
            <w:tcW w:type="dxa" w:w="1728"/>
          </w:tcPr>
          <w:p>
            <w:pPr>
              <w:spacing w:before="20" w:after="20"/>
              <w:jc w:val="left"/>
            </w:pPr>
            <w:r>
              <w:rPr>
                <w:sz w:val="17"/>
              </w:rPr>
              <w:t xml:space="preserve">The narrow one-year window elsewhere in the same section is useful evidence: </w:t>
            </w:r>
            <w:r>
              <w:rPr>
                <w:b/>
                <w:sz w:val="17"/>
              </w:rPr>
              <w:t>the Pennsylvania legislature knows how to write a filing deadline and chose not to apply one to military service.</w:t>
            </w:r>
          </w:p>
        </w:tc>
      </w:tr>
      <w:tr>
        <w:tc>
          <w:tcPr>
            <w:tcW w:type="dxa" w:w="1728"/>
          </w:tcPr>
          <w:p>
            <w:pPr>
              <w:spacing w:before="20" w:after="20"/>
              <w:jc w:val="left"/>
            </w:pPr>
            <w:r>
              <w:rPr>
                <w:b/>
                <w:sz w:val="17"/>
              </w:rPr>
              <w:t>Texas</w:t>
            </w:r>
          </w:p>
        </w:tc>
        <w:tc>
          <w:tcPr>
            <w:tcW w:type="dxa" w:w="1728"/>
          </w:tcPr>
          <w:p>
            <w:pPr>
              <w:spacing w:before="20" w:after="20"/>
              <w:jc w:val="left"/>
            </w:pPr>
            <w:r>
              <w:rPr>
                <w:sz w:val="17"/>
              </w:rPr>
              <w:t>ERS and TRS administrative practice</w:t>
            </w:r>
          </w:p>
        </w:tc>
        <w:tc>
          <w:tcPr>
            <w:tcW w:type="dxa" w:w="1728"/>
          </w:tcPr>
          <w:p>
            <w:pPr>
              <w:spacing w:before="20" w:after="20"/>
              <w:jc w:val="left"/>
            </w:pPr>
            <w:r>
              <w:rPr>
                <w:sz w:val="17"/>
              </w:rPr>
              <w:t xml:space="preserve">Purchase before retirement, but </w:t>
            </w:r>
            <w:r>
              <w:rPr>
                <w:b/>
                <w:sz w:val="17"/>
              </w:rPr>
              <w:t>cost escalates with interest from first eligibility</w:t>
            </w:r>
            <w:r>
              <w:rPr>
                <w:sz w:val="17"/>
              </w:rPr>
              <w:t xml:space="preserve"> ("buy by Aug. 31 to avoid a cost increase").</w:t>
            </w:r>
          </w:p>
        </w:tc>
        <w:tc>
          <w:tcPr>
            <w:tcW w:type="dxa" w:w="1728"/>
          </w:tcPr>
          <w:p>
            <w:pPr>
              <w:spacing w:before="20" w:after="20"/>
              <w:jc w:val="left"/>
            </w:pPr>
            <w:r>
              <w:rPr>
                <w:sz w:val="17"/>
              </w:rPr>
              <w:t>Interest accrues from first eligibility.</w:t>
            </w:r>
          </w:p>
        </w:tc>
        <w:tc>
          <w:tcPr>
            <w:tcW w:type="dxa" w:w="1728"/>
          </w:tcPr>
          <w:p>
            <w:pPr>
              <w:spacing w:before="20" w:after="20"/>
              <w:jc w:val="left"/>
            </w:pPr>
            <w:r>
              <w:rPr>
                <w:sz w:val="17"/>
              </w:rPr>
              <w:t xml:space="preserve">The </w:t>
            </w:r>
            <w:r>
              <w:rPr>
                <w:b/>
                <w:sz w:val="17"/>
              </w:rPr>
              <w:t>gradient</w:t>
            </w:r>
            <w:r>
              <w:rPr>
                <w:sz w:val="17"/>
              </w:rPr>
              <w:t xml:space="preserve"> model: price rises continuously with delay instead of stepping off a cliff at 24 months. A credible Virginia fallback if the Board-set schedule is rejected as too discretionary.</w:t>
            </w:r>
          </w:p>
        </w:tc>
      </w:tr>
    </w:tbl>
    <w:p>
      <w:pPr>
        <w:spacing w:before="0" w:after="0" w:line="80" w:lineRule="exact"/>
      </w:pPr>
      <w:r>
        <w:rPr>
          <w:sz w:val="8"/>
        </w:rPr>
      </w:r>
    </w:p>
    <w:p>
      <w:r>
        <w:rPr>
          <w:b/>
        </w:rPr>
        <w:t>The argument this table supports, stated for the one-pager.</w:t>
      </w:r>
      <w:r>
        <w:t xml:space="preserve"> Virginia is not unusual in charging a late purchaser more. Virginia is unusual in keying the price break to </w:t>
      </w:r>
      <w:r>
        <w:rPr>
          <w:b/>
        </w:rPr>
        <w:t>elapsed time since the date of hire</w:t>
      </w:r>
      <w:r>
        <w:t xml:space="preserve"> — a trigger that is unrelated to the member's service, unrelated to the member's distance from retirement, and that for a veteran hired mid-career expires before the member has any realistic ability to pay. Ohio, Pennsylvania and New York all key the question to </w:t>
      </w:r>
      <w:r>
        <w:rPr>
          <w:b/>
        </w:rPr>
        <w:t>service completed</w:t>
      </w:r>
      <w:r>
        <w:t xml:space="preserve"> or </w:t>
      </w:r>
      <w:r>
        <w:rPr>
          <w:b/>
        </w:rPr>
        <w:t>proximity to retirement</w:t>
      </w:r>
      <w:r>
        <w:t>; Massachusetts repealed its short window in 2024 and replaced it with a ten-year service milestone. Chapter 508 (2015) said its purpose was to bring Virginia "more in line with other states' programs." On military service credit specifically, it did the opposite.</w:t>
      </w:r>
    </w:p>
    <w:p>
      <w:pPr>
        <w:jc w:val="center"/>
      </w:pPr>
      <w:r>
        <w:rPr>
          <w:color w:val="909090"/>
          <w:sz w:val="18"/>
        </w:rPr>
        <w:t>* * *</w:t>
      </w:r>
    </w:p>
    <w:p>
      <w:pPr>
        <w:pStyle w:val="Heading2"/>
      </w:pPr>
      <w:r>
        <w:t>8. Patron recommendations</w:t>
      </w:r>
    </w:p>
    <w:p>
      <w:r>
        <w:t xml:space="preserve">Patron selection is Policy Director's call. These are reads on the public record, with confidence stated. </w:t>
      </w:r>
      <w:r>
        <w:rPr>
          <w:b/>
        </w:rPr>
        <w:t>No one named here has been contacted and no one will be.</w:t>
      </w:r>
    </w:p>
    <w:p>
      <w:r>
        <w:rPr>
          <w:b/>
        </w:rPr>
        <w:t>Senate — recommended chamber of origin.</w:t>
      </w:r>
      <w:r>
        <w:t xml:space="preserve"> The Senate has no standing subcommittee specialising in killing VRS bills; SFAC's instinct on locally-costed VRS expansions has been to continue rather than table (SB 328/SB 472, continued 12-3).</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Sen. Bryce E. Reeves</w:t>
            </w:r>
            <w:r>
              <w:rPr>
                <w:sz w:val="17"/>
              </w:rPr>
              <w:t xml:space="preserve"> — chief patron</w:t>
            </w:r>
          </w:p>
        </w:tc>
        <w:tc>
          <w:tcPr>
            <w:tcW w:type="dxa" w:w="2880"/>
          </w:tcPr>
          <w:p>
            <w:pPr>
              <w:spacing w:before="20" w:after="20"/>
              <w:jc w:val="left"/>
            </w:pPr>
            <w:r>
              <w:rPr>
                <w:sz w:val="17"/>
              </w:rPr>
              <w:t xml:space="preserve">The only actor I could document as sitting at the intersection of both relevant venues: a member of </w:t>
            </w:r>
            <w:r>
              <w:rPr>
                <w:b/>
                <w:sz w:val="17"/>
              </w:rPr>
              <w:t>Senate Finance and Appropriations</w:t>
            </w:r>
            <w:r>
              <w:rPr>
                <w:sz w:val="17"/>
              </w:rPr>
              <w:t xml:space="preserve"> (2026 roster) and of its Economic Development/Natural Resources and Health and Human Resources subcommittees, and reported as </w:t>
            </w:r>
            <w:r>
              <w:rPr>
                <w:b/>
                <w:sz w:val="17"/>
              </w:rPr>
              <w:t>co-chair of the General Assembly Military and Veterans Caucus</w:t>
            </w:r>
            <w:r>
              <w:rPr>
                <w:sz w:val="17"/>
              </w:rPr>
              <w:t>.</w:t>
            </w:r>
          </w:p>
        </w:tc>
        <w:tc>
          <w:tcPr>
            <w:tcW w:type="dxa" w:w="2880"/>
          </w:tcPr>
          <w:p>
            <w:pPr>
              <w:spacing w:before="20" w:after="20"/>
              <w:jc w:val="left"/>
            </w:pPr>
            <w:r>
              <w:rPr>
                <w:b/>
                <w:sz w:val="17"/>
              </w:rPr>
              <w:t>High</w:t>
            </w:r>
            <w:r>
              <w:rPr>
                <w:sz w:val="17"/>
              </w:rPr>
              <w:t xml:space="preserve"> on SFAC membership. </w:t>
            </w:r>
            <w:r>
              <w:rPr>
                <w:b/>
                <w:sz w:val="17"/>
              </w:rPr>
              <w:t>Low–Medium</w:t>
            </w:r>
            <w:r>
              <w:rPr>
                <w:sz w:val="17"/>
              </w:rPr>
              <w:t xml:space="preserve"> on the caucus role — the sources I could retrieve are Virginia National Guard news items, the clearest of which dates to 2018. </w:t>
            </w:r>
            <w:r>
              <w:rPr>
                <w:b/>
                <w:sz w:val="17"/>
              </w:rPr>
              <w:t>Must be verified before the recommendation is acted on.</w:t>
            </w:r>
          </w:p>
        </w:tc>
      </w:tr>
      <w:tr>
        <w:tc>
          <w:tcPr>
            <w:tcW w:type="dxa" w:w="2880"/>
          </w:tcPr>
          <w:p>
            <w:pPr>
              <w:spacing w:before="20" w:after="20"/>
              <w:jc w:val="left"/>
            </w:pPr>
            <w:r>
              <w:rPr>
                <w:b/>
                <w:sz w:val="17"/>
              </w:rPr>
              <w:t>Sen. L. Louise Lucas</w:t>
            </w:r>
            <w:r>
              <w:rPr>
                <w:sz w:val="17"/>
              </w:rPr>
              <w:t xml:space="preserve"> — co-patron or committee sponsor</w:t>
            </w:r>
          </w:p>
        </w:tc>
        <w:tc>
          <w:tcPr>
            <w:tcW w:type="dxa" w:w="2880"/>
          </w:tcPr>
          <w:p>
            <w:pPr>
              <w:spacing w:before="20" w:after="20"/>
              <w:jc w:val="left"/>
            </w:pPr>
            <w:r>
              <w:rPr>
                <w:sz w:val="17"/>
              </w:rPr>
              <w:t>SFAC Chair, and under SFAC's general procedures the Committee chair "serves as a voting member on all Subcommittees."</w:t>
            </w:r>
          </w:p>
        </w:tc>
        <w:tc>
          <w:tcPr>
            <w:tcW w:type="dxa" w:w="2880"/>
          </w:tcPr>
          <w:p>
            <w:pPr>
              <w:spacing w:before="20" w:after="20"/>
              <w:jc w:val="left"/>
            </w:pPr>
            <w:r>
              <w:rPr>
                <w:b/>
                <w:sz w:val="17"/>
              </w:rPr>
              <w:t>High</w:t>
            </w:r>
            <w:r>
              <w:rPr>
                <w:sz w:val="17"/>
              </w:rPr>
              <w:t xml:space="preserve"> on the institutional fact; </w:t>
            </w:r>
            <w:r>
              <w:rPr>
                <w:b/>
                <w:sz w:val="17"/>
              </w:rPr>
              <w:t>Low</w:t>
            </w:r>
            <w:r>
              <w:rPr>
                <w:sz w:val="17"/>
              </w:rPr>
              <w:t xml:space="preserve"> on any predicted position.</w:t>
            </w:r>
          </w:p>
        </w:tc>
      </w:tr>
    </w:tbl>
    <w:p>
      <w:pPr>
        <w:spacing w:before="0" w:after="0" w:line="80" w:lineRule="exact"/>
      </w:pPr>
      <w:r>
        <w:rPr>
          <w:sz w:val="8"/>
        </w:rPr>
      </w:r>
    </w:p>
    <w:p>
      <w:r>
        <w:rPr>
          <w:b/>
        </w:rPr>
        <w:t>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Del. Shelly A. Simonds</w:t>
            </w:r>
            <w:r>
              <w:rPr>
                <w:sz w:val="17"/>
              </w:rPr>
              <w:t xml:space="preserve"> — chief patron in the House</w:t>
            </w:r>
          </w:p>
        </w:tc>
        <w:tc>
          <w:tcPr>
            <w:tcW w:type="dxa" w:w="2880"/>
          </w:tcPr>
          <w:p>
            <w:pPr>
              <w:spacing w:before="20" w:after="20"/>
              <w:jc w:val="left"/>
            </w:pPr>
            <w:r>
              <w:rPr>
                <w:sz w:val="17"/>
              </w:rPr>
              <w:t xml:space="preserve">Revealed preference, and it is the best in the building. She sits on the Compensation and Retirement subcommittee and she patroned </w:t>
            </w:r>
            <w:r>
              <w:rPr>
                <w:b/>
                <w:sz w:val="17"/>
              </w:rPr>
              <w:t>HB 139 (2026), Chapter 563</w:t>
            </w:r>
            <w:r>
              <w:rPr>
                <w:sz w:val="17"/>
              </w:rPr>
              <w:t xml:space="preserve"> — the </w:t>
            </w:r>
            <w:r>
              <w:rPr>
                <w:b/>
                <w:sz w:val="17"/>
              </w:rPr>
              <w:t>only</w:t>
            </w:r>
            <w:r>
              <w:rPr>
                <w:sz w:val="17"/>
              </w:rPr>
              <w:t xml:space="preserve"> one of 28 VRS-tracked bills to survive the 2026 session, and an amendment to </w:t>
            </w:r>
            <w:r>
              <w:rPr>
                <w:b/>
                <w:sz w:val="17"/>
              </w:rPr>
              <w:t>§ 51.1-142.2 itself</w:t>
            </w:r>
            <w:r>
              <w:rPr>
                <w:sz w:val="17"/>
              </w:rPr>
              <w:t>. She has demonstrated she can move this statute through this subcommittee.</w:t>
            </w:r>
          </w:p>
        </w:tc>
        <w:tc>
          <w:tcPr>
            <w:tcW w:type="dxa" w:w="2880"/>
          </w:tcPr>
          <w:p>
            <w:pPr>
              <w:spacing w:before="20" w:after="20"/>
              <w:jc w:val="left"/>
            </w:pPr>
            <w:r>
              <w:rPr>
                <w:b/>
                <w:sz w:val="17"/>
              </w:rPr>
              <w:t>High</w:t>
            </w:r>
            <w:r>
              <w:rPr>
                <w:sz w:val="17"/>
              </w:rPr>
              <w:t xml:space="preserve"> on the record; </w:t>
            </w:r>
            <w:r>
              <w:rPr>
                <w:b/>
                <w:sz w:val="17"/>
              </w:rPr>
              <w:t>Medium</w:t>
            </w:r>
            <w:r>
              <w:rPr>
                <w:sz w:val="17"/>
              </w:rPr>
              <w:t xml:space="preserve"> on willingness.</w:t>
            </w:r>
          </w:p>
        </w:tc>
      </w:tr>
      <w:tr>
        <w:tc>
          <w:tcPr>
            <w:tcW w:type="dxa" w:w="2880"/>
          </w:tcPr>
          <w:p>
            <w:pPr>
              <w:spacing w:before="20" w:after="20"/>
              <w:jc w:val="left"/>
            </w:pPr>
            <w:r>
              <w:rPr>
                <w:b/>
                <w:sz w:val="17"/>
              </w:rPr>
              <w:t>Del. M. Keith Hodges or Del. Scott A. Wyatt</w:t>
            </w:r>
            <w:r>
              <w:rPr>
                <w:sz w:val="17"/>
              </w:rPr>
              <w:t xml:space="preserve"> — co-patron</w:t>
            </w:r>
          </w:p>
        </w:tc>
        <w:tc>
          <w:tcPr>
            <w:tcW w:type="dxa" w:w="2880"/>
          </w:tcPr>
          <w:p>
            <w:pPr>
              <w:spacing w:before="20" w:after="20"/>
              <w:jc w:val="left"/>
            </w:pPr>
            <w:r>
              <w:rPr>
                <w:sz w:val="17"/>
              </w:rPr>
              <w:t>The two Republicans on an 8-member panel, and both voted to table HB 1867 in 2023. Converting one of them is the difference between an 8-0 tabling and a contested vote. The price is cost containment (§ 6).</w:t>
            </w:r>
          </w:p>
        </w:tc>
        <w:tc>
          <w:tcPr>
            <w:tcW w:type="dxa" w:w="2880"/>
          </w:tcPr>
          <w:p>
            <w:pPr>
              <w:spacing w:before="20" w:after="20"/>
              <w:jc w:val="left"/>
            </w:pPr>
            <w:r>
              <w:rPr>
                <w:b/>
                <w:sz w:val="17"/>
              </w:rPr>
              <w:t>High</w:t>
            </w:r>
            <w:r>
              <w:rPr>
                <w:sz w:val="17"/>
              </w:rPr>
              <w:t xml:space="preserve"> on the 2023 votes (named roll call); </w:t>
            </w:r>
            <w:r>
              <w:rPr>
                <w:b/>
                <w:sz w:val="17"/>
              </w:rPr>
              <w:t>Low</w:t>
            </w:r>
            <w:r>
              <w:rPr>
                <w:sz w:val="17"/>
              </w:rPr>
              <w:t xml:space="preserve"> on convertibility.</w:t>
            </w:r>
          </w:p>
        </w:tc>
      </w:tr>
      <w:tr>
        <w:tc>
          <w:tcPr>
            <w:tcW w:type="dxa" w:w="2880"/>
          </w:tcPr>
          <w:p>
            <w:pPr>
              <w:spacing w:before="20" w:after="20"/>
              <w:jc w:val="left"/>
            </w:pPr>
            <w:r>
              <w:rPr>
                <w:b/>
                <w:sz w:val="17"/>
              </w:rPr>
              <w:t>Del. Phillip A. Scott</w:t>
            </w:r>
            <w:r>
              <w:rPr>
                <w:sz w:val="17"/>
              </w:rPr>
              <w:t xml:space="preserve"> — co-patron, not chief patron</w:t>
            </w:r>
          </w:p>
        </w:tc>
        <w:tc>
          <w:tcPr>
            <w:tcW w:type="dxa" w:w="2880"/>
          </w:tcPr>
          <w:p>
            <w:pPr>
              <w:spacing w:before="20" w:after="20"/>
              <w:jc w:val="left"/>
            </w:pPr>
            <w:r>
              <w:rPr>
                <w:sz w:val="17"/>
              </w:rPr>
              <w:t>Patroned HB 1867 (2023), so the demonstrated interest in military service credit is real. But HB 1867 was tabled 8-0, and re-patroning with the same chief patron invites the subcommittee to treat this as HB 1867 redux — which is the one framing we must avoid, because ours is a priced purchase and his was a free grant.</w:t>
            </w:r>
          </w:p>
        </w:tc>
        <w:tc>
          <w:tcPr>
            <w:tcW w:type="dxa" w:w="2880"/>
          </w:tcPr>
          <w:p>
            <w:pPr>
              <w:spacing w:before="20" w:after="20"/>
              <w:jc w:val="left"/>
            </w:pPr>
            <w:r>
              <w:rPr>
                <w:b/>
                <w:sz w:val="17"/>
              </w:rPr>
              <w:t>High</w:t>
            </w:r>
            <w:r>
              <w:rPr>
                <w:sz w:val="17"/>
              </w:rPr>
              <w:t xml:space="preserve"> on the patron history; this is my judgment on the framing risk, not a documented position.</w:t>
            </w:r>
          </w:p>
        </w:tc>
      </w:tr>
      <w:tr>
        <w:tc>
          <w:tcPr>
            <w:tcW w:type="dxa" w:w="2880"/>
          </w:tcPr>
          <w:p>
            <w:pPr>
              <w:spacing w:before="20" w:after="20"/>
              <w:jc w:val="left"/>
            </w:pPr>
            <w:r>
              <w:rPr>
                <w:b/>
                <w:sz w:val="17"/>
              </w:rPr>
              <w:t>Del. Alex Q. Askew</w:t>
            </w:r>
            <w:r>
              <w:rPr>
                <w:sz w:val="17"/>
              </w:rPr>
              <w:t xml:space="preserve"> — brief early, do not ask to patron</w:t>
            </w:r>
          </w:p>
        </w:tc>
        <w:tc>
          <w:tcPr>
            <w:tcW w:type="dxa" w:w="2880"/>
          </w:tcPr>
          <w:p>
            <w:pPr>
              <w:spacing w:before="20" w:after="20"/>
              <w:jc w:val="left"/>
            </w:pPr>
            <w:r>
              <w:rPr>
                <w:sz w:val="17"/>
              </w:rPr>
              <w:t xml:space="preserve">Subcommittee </w:t>
            </w:r>
            <w:r>
              <w:rPr>
                <w:b/>
                <w:sz w:val="17"/>
              </w:rPr>
              <w:t>Chair</w:t>
            </w:r>
            <w:r>
              <w:rPr>
                <w:sz w:val="17"/>
              </w:rPr>
              <w:t>; controls the docket and the tabling motion. Also recorded as a guest at the 2026 VRS Board of Trustees retreat, which means VRS's read reaches him through a channel we do not have.</w:t>
            </w:r>
          </w:p>
        </w:tc>
        <w:tc>
          <w:tcPr>
            <w:tcW w:type="dxa" w:w="2880"/>
          </w:tcPr>
          <w:p>
            <w:pPr>
              <w:spacing w:before="20" w:after="20"/>
              <w:jc w:val="left"/>
            </w:pPr>
            <w:r>
              <w:rPr>
                <w:b/>
                <w:sz w:val="17"/>
              </w:rPr>
              <w:t>High</w:t>
            </w:r>
            <w:r>
              <w:rPr>
                <w:sz w:val="17"/>
              </w:rPr>
              <w:t xml:space="preserve"> on both facts.</w:t>
            </w:r>
          </w:p>
        </w:tc>
      </w:tr>
    </w:tbl>
    <w:p>
      <w:pPr>
        <w:spacing w:before="0" w:after="0" w:line="80" w:lineRule="exact"/>
      </w:pPr>
      <w:r>
        <w:rPr>
          <w:sz w:val="8"/>
        </w:rPr>
      </w:r>
    </w:p>
    <w:p>
      <w:r>
        <w:rPr>
          <w:b/>
        </w:rPr>
        <w:t>Staff to brief, in this order, because they write what the members read:</w:t>
      </w:r>
      <w:r>
        <w:t xml:space="preserve"> </w:t>
      </w:r>
      <w:r>
        <w:rPr>
          <w:b/>
        </w:rPr>
        <w:t>Michael Jay</w:t>
      </w:r>
      <w:r>
        <w:t xml:space="preserve"> (House Appropriations, compensation and retirement) and </w:t>
      </w:r>
      <w:r>
        <w:rPr>
          <w:b/>
        </w:rPr>
        <w:t>Mike Tweedy</w:t>
      </w:r>
      <w:r>
        <w:t xml:space="preserve"> (Senate Finance &amp; Appropriations, compensation and retirement portfolio).</w:t>
      </w:r>
    </w:p>
    <w:p>
      <w:pPr>
        <w:jc w:val="center"/>
      </w:pPr>
      <w:r>
        <w:rPr>
          <w:color w:val="909090"/>
          <w:sz w:val="18"/>
        </w:rPr>
        <w:t>* * *</w:t>
      </w:r>
    </w:p>
    <w:p>
      <w:pPr>
        <w:pStyle w:val="Heading2"/>
      </w:pPr>
      <w:r>
        <w:t>9. Unknowns, and what would resolve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Unknown</w:t>
            </w:r>
          </w:p>
        </w:tc>
        <w:tc>
          <w:tcPr>
            <w:tcW w:type="dxa" w:w="2160"/>
          </w:tcPr>
          <w:p>
            <w:pPr>
              <w:spacing w:before="20" w:after="20"/>
              <w:jc w:val="left"/>
            </w:pPr>
            <w:r>
              <w:rPr>
                <w:b/>
                <w:sz w:val="17"/>
              </w:rPr>
              <w:t>Why it matters</w:t>
            </w:r>
          </w:p>
        </w:tc>
        <w:tc>
          <w:tcPr>
            <w:tcW w:type="dxa" w:w="2160"/>
          </w:tcPr>
          <w:p>
            <w:pPr>
              <w:spacing w:before="20" w:after="20"/>
              <w:jc w:val="left"/>
            </w:pPr>
            <w:r>
              <w:rPr>
                <w:b/>
                <w:sz w:val="17"/>
              </w:rPr>
              <w:t>What resolves it</w:t>
            </w:r>
          </w:p>
        </w:tc>
      </w:tr>
      <w:tr>
        <w:tc>
          <w:tcPr>
            <w:tcW w:type="dxa" w:w="2160"/>
          </w:tcPr>
          <w:p>
            <w:pPr>
              <w:spacing w:before="20" w:after="20"/>
              <w:jc w:val="left"/>
            </w:pPr>
            <w:r>
              <w:rPr>
                <w:b/>
                <w:sz w:val="17"/>
              </w:rPr>
              <w:t>U-1</w:t>
            </w:r>
          </w:p>
        </w:tc>
        <w:tc>
          <w:tcPr>
            <w:tcW w:type="dxa" w:w="2160"/>
          </w:tcPr>
          <w:p>
            <w:pPr>
              <w:spacing w:before="20" w:after="20"/>
              <w:jc w:val="left"/>
            </w:pPr>
            <w:r>
              <w:rPr>
                <w:b/>
                <w:sz w:val="17"/>
              </w:rPr>
              <w:t>The JLC's adopted 2027 legislative slate.</w:t>
            </w:r>
            <w:r>
              <w:rPr>
                <w:sz w:val="17"/>
              </w:rPr>
              <w:t xml:space="preserve"> I documented the 2026 cycle in full (17 → 9 → 6 adopted, none VRS-related) and the spring→June process, but could not retrieve the 2027 numbered initiatives. The DVS JLC page returned HTTP 403.</w:t>
            </w:r>
          </w:p>
        </w:tc>
        <w:tc>
          <w:tcPr>
            <w:tcW w:type="dxa" w:w="2160"/>
          </w:tcPr>
          <w:p>
            <w:pPr>
              <w:spacing w:before="20" w:after="20"/>
              <w:jc w:val="left"/>
            </w:pPr>
            <w:r>
              <w:rPr>
                <w:sz w:val="17"/>
              </w:rPr>
              <w:t xml:space="preserve">If this proposal is not on the adopted 2027 slate, our own client's members will not carry it to legislators during session, and the bill arrives with no organised constituency in the building. </w:t>
            </w:r>
            <w:r>
              <w:rPr>
                <w:b/>
                <w:sz w:val="17"/>
              </w:rPr>
              <w:t>This is my single biggest unknown and it may be a timing problem rather than a research problem</w:t>
            </w:r>
            <w:r>
              <w:rPr>
                <w:sz w:val="17"/>
              </w:rPr>
              <w:t xml:space="preserve"> — the 2027 slate would have been adopted around June 2026, four months ago.</w:t>
            </w:r>
          </w:p>
        </w:tc>
        <w:tc>
          <w:tcPr>
            <w:tcW w:type="dxa" w:w="2160"/>
          </w:tcPr>
          <w:p>
            <w:pPr>
              <w:spacing w:before="20" w:after="20"/>
              <w:jc w:val="left"/>
            </w:pPr>
            <w:r>
              <w:rPr>
                <w:sz w:val="17"/>
              </w:rPr>
              <w:t>The DVS JLC initiatives page, or JLC full-Council minutes from mid-2026, via Commonwealth Calendar. Policy Director may simply know the answer from JLCVSO directly.</w:t>
            </w:r>
          </w:p>
        </w:tc>
      </w:tr>
      <w:tr>
        <w:tc>
          <w:tcPr>
            <w:tcW w:type="dxa" w:w="2160"/>
          </w:tcPr>
          <w:p>
            <w:pPr>
              <w:spacing w:before="20" w:after="20"/>
              <w:jc w:val="left"/>
            </w:pPr>
            <w:r>
              <w:rPr>
                <w:b/>
                <w:sz w:val="17"/>
              </w:rPr>
              <w:t>U-2</w:t>
            </w:r>
          </w:p>
        </w:tc>
        <w:tc>
          <w:tcPr>
            <w:tcW w:type="dxa" w:w="2160"/>
          </w:tcPr>
          <w:p>
            <w:pPr>
              <w:spacing w:before="20" w:after="20"/>
              <w:jc w:val="left"/>
            </w:pPr>
            <w:r>
              <w:rPr>
                <w:b/>
                <w:sz w:val="17"/>
              </w:rPr>
              <w:t>Current membership and co-chairs of the General Assembly Military and Veterans Caucus.</w:t>
            </w:r>
          </w:p>
        </w:tc>
        <w:tc>
          <w:tcPr>
            <w:tcW w:type="dxa" w:w="2160"/>
          </w:tcPr>
          <w:p>
            <w:pPr>
              <w:spacing w:before="20" w:after="20"/>
              <w:jc w:val="left"/>
            </w:pPr>
            <w:r>
              <w:rPr>
                <w:sz w:val="17"/>
              </w:rPr>
              <w:t>The § 8 Senate patron recommendation rests partly on it, and the caucus is the cheapest coalition asset available.</w:t>
            </w:r>
          </w:p>
        </w:tc>
        <w:tc>
          <w:tcPr>
            <w:tcW w:type="dxa" w:w="2160"/>
          </w:tcPr>
          <w:p>
            <w:pPr>
              <w:spacing w:before="20" w:after="20"/>
              <w:jc w:val="left"/>
            </w:pPr>
            <w:r>
              <w:rPr>
                <w:sz w:val="17"/>
              </w:rPr>
              <w:t>Current caucus roster; the most recent Adjutant General briefing to the caucus.</w:t>
            </w:r>
          </w:p>
        </w:tc>
      </w:tr>
      <w:tr>
        <w:tc>
          <w:tcPr>
            <w:tcW w:type="dxa" w:w="2160"/>
          </w:tcPr>
          <w:p>
            <w:pPr>
              <w:spacing w:before="20" w:after="20"/>
              <w:jc w:val="left"/>
            </w:pPr>
            <w:r>
              <w:rPr>
                <w:b/>
                <w:sz w:val="17"/>
              </w:rPr>
              <w:t>U-3</w:t>
            </w:r>
          </w:p>
        </w:tc>
        <w:tc>
          <w:tcPr>
            <w:tcW w:type="dxa" w:w="2160"/>
          </w:tcPr>
          <w:p>
            <w:pPr>
              <w:spacing w:before="20" w:after="20"/>
              <w:jc w:val="left"/>
            </w:pPr>
            <w:r>
              <w:rPr>
                <w:b/>
                <w:sz w:val="17"/>
              </w:rPr>
              <w:t>Whether VACo's final 2027 program (adoption scheduled 2026-11-10) adds a retirement plank.</w:t>
            </w:r>
          </w:p>
        </w:tc>
        <w:tc>
          <w:tcPr>
            <w:tcW w:type="dxa" w:w="2160"/>
          </w:tcPr>
          <w:p>
            <w:pPr>
              <w:spacing w:before="20" w:after="20"/>
              <w:jc w:val="left"/>
            </w:pPr>
            <w:r>
              <w:rPr>
                <w:sz w:val="17"/>
              </w:rPr>
              <w:t>The preliminary program has none. If a VRS or retirement position is added by the steering committees on 11/08, the VACo row moves from categorical to specific and its intensity rises.</w:t>
            </w:r>
          </w:p>
        </w:tc>
        <w:tc>
          <w:tcPr>
            <w:tcW w:type="dxa" w:w="2160"/>
          </w:tcPr>
          <w:p>
            <w:pPr>
              <w:spacing w:before="20" w:after="20"/>
              <w:jc w:val="left"/>
            </w:pPr>
            <w:r>
              <w:rPr>
                <w:sz w:val="17"/>
              </w:rPr>
              <w:t xml:space="preserve">The final adopted program, after 2026-11-10. </w:t>
            </w:r>
            <w:r>
              <w:rPr>
                <w:b/>
                <w:sz w:val="17"/>
              </w:rPr>
              <w:t>This is a dated, checkable item — worth a calendar note.</w:t>
            </w:r>
          </w:p>
        </w:tc>
      </w:tr>
      <w:tr>
        <w:tc>
          <w:tcPr>
            <w:tcW w:type="dxa" w:w="2160"/>
          </w:tcPr>
          <w:p>
            <w:pPr>
              <w:spacing w:before="20" w:after="20"/>
              <w:jc w:val="left"/>
            </w:pPr>
            <w:r>
              <w:rPr>
                <w:b/>
                <w:sz w:val="17"/>
              </w:rPr>
              <w:t>U-4</w:t>
            </w:r>
          </w:p>
        </w:tc>
        <w:tc>
          <w:tcPr>
            <w:tcW w:type="dxa" w:w="2160"/>
          </w:tcPr>
          <w:p>
            <w:pPr>
              <w:spacing w:before="20" w:after="20"/>
              <w:jc w:val="left"/>
            </w:pPr>
            <w:r>
              <w:rPr>
                <w:b/>
                <w:sz w:val="17"/>
              </w:rPr>
              <w:t>VEA's current (2026/2027) legislative agenda.</w:t>
            </w:r>
            <w:r>
              <w:rPr>
                <w:sz w:val="17"/>
              </w:rPr>
              <w:t xml:space="preserve"> The most recent published version I could locate is 2024.</w:t>
            </w:r>
          </w:p>
        </w:tc>
        <w:tc>
          <w:tcPr>
            <w:tcW w:type="dxa" w:w="2160"/>
          </w:tcPr>
          <w:p>
            <w:pPr>
              <w:spacing w:before="20" w:after="20"/>
              <w:jc w:val="left"/>
            </w:pPr>
            <w:r>
              <w:rPr>
                <w:sz w:val="17"/>
              </w:rPr>
              <w:t>VEA is now a beneficiary rather than a bystander, and a current agenda would move the VEA row from Medium to High.</w:t>
            </w:r>
          </w:p>
        </w:tc>
        <w:tc>
          <w:tcPr>
            <w:tcW w:type="dxa" w:w="2160"/>
          </w:tcPr>
          <w:p>
            <w:pPr>
              <w:spacing w:before="20" w:after="20"/>
              <w:jc w:val="left"/>
            </w:pPr>
            <w:r>
              <w:rPr>
                <w:sz w:val="17"/>
              </w:rPr>
              <w:t>VEA's published 2027 agenda when posted.</w:t>
            </w:r>
          </w:p>
        </w:tc>
      </w:tr>
      <w:tr>
        <w:tc>
          <w:tcPr>
            <w:tcW w:type="dxa" w:w="2160"/>
          </w:tcPr>
          <w:p>
            <w:pPr>
              <w:spacing w:before="20" w:after="20"/>
              <w:jc w:val="left"/>
            </w:pPr>
            <w:r>
              <w:rPr>
                <w:b/>
                <w:sz w:val="17"/>
              </w:rPr>
              <w:t>U-5</w:t>
            </w:r>
          </w:p>
        </w:tc>
        <w:tc>
          <w:tcPr>
            <w:tcW w:type="dxa" w:w="2160"/>
          </w:tcPr>
          <w:p>
            <w:pPr>
              <w:spacing w:before="20" w:after="20"/>
              <w:jc w:val="left"/>
            </w:pPr>
            <w:r>
              <w:rPr>
                <w:b/>
                <w:sz w:val="17"/>
              </w:rPr>
              <w:t>Whether any bill has previously attempted to extend or remove the § 51.1-142.2 window itself</w:t>
            </w:r>
            <w:r>
              <w:rPr>
                <w:sz w:val="17"/>
              </w:rPr>
              <w:t xml:space="preserve"> (as opposed to adding a category).</w:t>
            </w:r>
          </w:p>
        </w:tc>
        <w:tc>
          <w:tcPr>
            <w:tcW w:type="dxa" w:w="2160"/>
          </w:tcPr>
          <w:p>
            <w:pPr>
              <w:spacing w:before="20" w:after="20"/>
              <w:jc w:val="left"/>
            </w:pPr>
            <w:r>
              <w:rPr>
                <w:sz w:val="17"/>
              </w:rPr>
              <w:t>A prior failed attempt would be the most directly predictive precedent in existence, and I did not find one. Absence of evidence here is weak evidence of absence: I could not run a code-section search across sessions (legacy LIS rejected the query form and the current LIS is a client-rendered application).</w:t>
            </w:r>
          </w:p>
        </w:tc>
        <w:tc>
          <w:tcPr>
            <w:tcW w:type="dxa" w:w="2160"/>
          </w:tcPr>
          <w:p>
            <w:pPr>
              <w:spacing w:before="20" w:after="20"/>
              <w:jc w:val="left"/>
            </w:pPr>
            <w:r>
              <w:rPr>
                <w:sz w:val="17"/>
              </w:rPr>
              <w:t>A Division of Legislative Services or LIS staff code-section search on § 51.1-142.2 across sessions 2017–2026. Statutory Researcher is better placed than I am.</w:t>
            </w:r>
          </w:p>
        </w:tc>
      </w:tr>
      <w:tr>
        <w:tc>
          <w:tcPr>
            <w:tcW w:type="dxa" w:w="2160"/>
          </w:tcPr>
          <w:p>
            <w:pPr>
              <w:spacing w:before="20" w:after="20"/>
              <w:jc w:val="left"/>
            </w:pPr>
            <w:r>
              <w:rPr>
                <w:b/>
                <w:sz w:val="17"/>
              </w:rPr>
              <w:t>U-6</w:t>
            </w:r>
          </w:p>
        </w:tc>
        <w:tc>
          <w:tcPr>
            <w:tcW w:type="dxa" w:w="2160"/>
          </w:tcPr>
          <w:p>
            <w:pPr>
              <w:spacing w:before="20" w:after="20"/>
              <w:jc w:val="left"/>
            </w:pPr>
            <w:r>
              <w:rPr>
                <w:b/>
                <w:sz w:val="17"/>
              </w:rPr>
              <w:t>DHRM's and the Secretary of Administration's actual posture.</w:t>
            </w:r>
            <w:r>
              <w:rPr>
                <w:sz w:val="17"/>
              </w:rPr>
              <w:t xml:space="preserve"> My read is inferred from DHRM's workforce presentation; DHRM has no public position on VRS purchase of service.</w:t>
            </w:r>
          </w:p>
        </w:tc>
        <w:tc>
          <w:tcPr>
            <w:tcW w:type="dxa" w:w="2160"/>
          </w:tcPr>
          <w:p>
            <w:pPr>
              <w:spacing w:before="20" w:after="20"/>
              <w:jc w:val="left"/>
            </w:pPr>
            <w:r>
              <w:rPr>
                <w:sz w:val="17"/>
              </w:rPr>
              <w:t>A supportive DHRM data submission would partly answer the take-up denominator problem. A silent DHRM leaves the § 30-19.1:7 statement unopposed.</w:t>
            </w:r>
          </w:p>
        </w:tc>
        <w:tc>
          <w:tcPr>
            <w:tcW w:type="dxa" w:w="2160"/>
          </w:tcPr>
          <w:p>
            <w:pPr>
              <w:spacing w:before="20" w:after="20"/>
              <w:jc w:val="left"/>
            </w:pPr>
            <w:r>
              <w:rPr>
                <w:sz w:val="17"/>
              </w:rPr>
              <w:t>A DHRM legislative position, or an agency-request bill. Not resolvable from the public record alone.</w:t>
            </w:r>
          </w:p>
        </w:tc>
      </w:tr>
      <w:tr>
        <w:tc>
          <w:tcPr>
            <w:tcW w:type="dxa" w:w="2160"/>
          </w:tcPr>
          <w:p>
            <w:pPr>
              <w:spacing w:before="20" w:after="20"/>
              <w:jc w:val="left"/>
            </w:pPr>
            <w:r>
              <w:rPr>
                <w:b/>
                <w:sz w:val="17"/>
              </w:rPr>
              <w:t>U-7</w:t>
            </w:r>
          </w:p>
        </w:tc>
        <w:tc>
          <w:tcPr>
            <w:tcW w:type="dxa" w:w="2160"/>
          </w:tcPr>
          <w:p>
            <w:pPr>
              <w:spacing w:before="20" w:after="20"/>
              <w:jc w:val="left"/>
            </w:pPr>
            <w:r>
              <w:rPr>
                <w:b/>
                <w:sz w:val="17"/>
              </w:rPr>
              <w:t>Whether VRS would characterise this bill as changing current procedures.</w:t>
            </w:r>
          </w:p>
        </w:tc>
        <w:tc>
          <w:tcPr>
            <w:tcW w:type="dxa" w:w="2160"/>
          </w:tcPr>
          <w:p>
            <w:pPr>
              <w:spacing w:before="20" w:after="20"/>
              <w:jc w:val="left"/>
            </w:pPr>
            <w:r>
              <w:rPr>
                <w:sz w:val="17"/>
              </w:rPr>
              <w:t>This is the acceptance criterion (§ 3.1) and everything turns on it.</w:t>
            </w:r>
          </w:p>
        </w:tc>
        <w:tc>
          <w:tcPr>
            <w:tcW w:type="dxa" w:w="2160"/>
          </w:tcPr>
          <w:p>
            <w:pPr>
              <w:spacing w:before="20" w:after="20"/>
              <w:jc w:val="left"/>
            </w:pPr>
            <w:r>
              <w:rPr>
                <w:sz w:val="17"/>
              </w:rPr>
              <w:t>The § 30-19.1:7 impact statement itself — which arrives after prefiling, i.e. too late to react to. The Annex A Q1–Q5 and Q13–Q14 data requests to VRS counsel are the only pre-filing channel.</w:t>
            </w:r>
          </w:p>
        </w:tc>
      </w:tr>
    </w:tbl>
    <w:p>
      <w:pPr>
        <w:spacing w:before="0" w:after="0" w:line="80" w:lineRule="exact"/>
      </w:pPr>
      <w:r>
        <w:rPr>
          <w:sz w:val="8"/>
        </w:rPr>
      </w:r>
    </w:p>
    <w:p>
      <w:pPr>
        <w:jc w:val="center"/>
      </w:pPr>
      <w:r>
        <w:rPr>
          <w:color w:val="909090"/>
          <w:sz w:val="18"/>
        </w:rPr>
        <w:t>* * *</w:t>
      </w:r>
    </w:p>
    <w:p>
      <w:pPr>
        <w:pStyle w:val="Heading2"/>
      </w:pPr>
      <w:r>
        <w:t>10. Sources, with retrieval dates</w:t>
      </w:r>
    </w:p>
    <w:p>
      <w:r>
        <w:t>All retrieved 2026-10-25 unless noted. All are public records.</w:t>
      </w:r>
    </w:p>
    <w:p>
      <w:r>
        <w:rPr>
          <w:b/>
        </w:rPr>
        <w:t>Statutes</w:t>
      </w:r>
    </w:p>
    <w:p>
      <w:pPr>
        <w:spacing w:after="60"/>
        <w:ind w:left="432" w:hanging="432"/>
      </w:pPr>
      <w:r>
        <w:rPr>
          <w:b/>
        </w:rPr>
        <w:t>1.</w:t>
        <w:tab/>
      </w:r>
      <w:r>
        <w:t xml:space="preserve">§ 51.1-142.2 (prior service or membership credit), including subdivision B 2 and the 24-month / approximate-normal-cost / actuarial-equivalent-cost structure, and the full amendment history line through 2026, c. 563 — </w:t>
      </w:r>
      <w:r>
        <w:rPr>
          <w:rFonts w:ascii="Consolas" w:hAnsi="Consolas"/>
          <w:color w:val="303030"/>
          <w:sz w:val="18"/>
        </w:rPr>
        <w:t>law.lis.virginia.gov/vacode/title51.1/chapter1/section51.1-142.2/</w:t>
      </w:r>
    </w:p>
    <w:p>
      <w:pPr>
        <w:spacing w:after="60"/>
        <w:ind w:left="432" w:hanging="432"/>
      </w:pPr>
      <w:r>
        <w:rPr>
          <w:b/>
        </w:rPr>
        <w:t>2.</w:t>
        <w:tab/>
      </w:r>
      <w:r>
        <w:t xml:space="preserve">§ 30-19.1:7 (VRS impact statements; recipients include the Commission on Local Government, House Appropriations, Senate Finance and Appropriations) — </w:t>
      </w:r>
      <w:r>
        <w:rPr>
          <w:rFonts w:ascii="Consolas" w:hAnsi="Consolas"/>
          <w:color w:val="303030"/>
          <w:sz w:val="18"/>
        </w:rPr>
        <w:t>law.lis.virginia.gov/vacode/title30/chapter1/section30-19.1:7/</w:t>
      </w:r>
    </w:p>
    <w:p>
      <w:pPr>
        <w:spacing w:after="60"/>
        <w:ind w:left="432" w:hanging="432"/>
      </w:pPr>
      <w:r>
        <w:rPr>
          <w:b/>
        </w:rPr>
        <w:t>3.</w:t>
        <w:tab/>
      </w:r>
      <w:r>
        <w:t xml:space="preserve">§ 2.2-2681 (Joint Leadership Council of Veterans Service Organizations; membership) — </w:t>
      </w:r>
      <w:r>
        <w:rPr>
          <w:rFonts w:ascii="Consolas" w:hAnsi="Consolas"/>
          <w:color w:val="303030"/>
          <w:sz w:val="18"/>
        </w:rPr>
        <w:t>law.lis.virginia.gov/vacode/title2.2/chapter26/section2.2-2681/</w:t>
      </w:r>
    </w:p>
    <w:p>
      <w:pPr>
        <w:spacing w:after="60"/>
        <w:ind w:left="432" w:hanging="432"/>
      </w:pPr>
      <w:r>
        <w:rPr>
          <w:b/>
        </w:rPr>
        <w:t>4.</w:t>
        <w:tab/>
      </w:r>
      <w:r>
        <w:t xml:space="preserve">§ 2.2-2903 (veteran hiring preference) — </w:t>
      </w:r>
      <w:r>
        <w:rPr>
          <w:rFonts w:ascii="Consolas" w:hAnsi="Consolas"/>
          <w:color w:val="303030"/>
          <w:sz w:val="18"/>
        </w:rPr>
        <w:t>law.lis.virginia.gov/vacode/title2.2/chapter29/section2.2-2903/</w:t>
      </w:r>
    </w:p>
    <w:p>
      <w:pPr>
        <w:spacing w:after="60"/>
        <w:ind w:left="432" w:hanging="432"/>
      </w:pPr>
      <w:r>
        <w:rPr>
          <w:b/>
        </w:rPr>
        <w:t>5.</w:t>
        <w:tab/>
      </w:r>
      <w:r>
        <w:t xml:space="preserve">§ 15.2-2903 (Commission on Local Government powers and duties) — </w:t>
      </w:r>
      <w:r>
        <w:rPr>
          <w:rFonts w:ascii="Consolas" w:hAnsi="Consolas"/>
          <w:color w:val="303030"/>
          <w:sz w:val="18"/>
        </w:rPr>
        <w:t>law.lis.virginia.gov/vacode/title15.2/chapter29/section15.2-2903/</w:t>
      </w:r>
    </w:p>
    <w:p>
      <w:r>
        <w:rPr>
          <w:b/>
        </w:rPr>
        <w:t>Virginia bills and acts</w:t>
      </w:r>
    </w:p>
    <w:p>
      <w:pPr>
        <w:spacing w:after="60"/>
        <w:ind w:left="432" w:hanging="432"/>
      </w:pPr>
      <w:r>
        <w:rPr>
          <w:b/>
        </w:rPr>
        <w:t>6.</w:t>
        <w:tab/>
      </w:r>
      <w:r>
        <w:rPr>
          <w:b/>
        </w:rPr>
        <w:t>VRS, 2023 Fiscal Impact Statement, HB 1867</w:t>
      </w:r>
      <w:r>
        <w:t xml:space="preserve">, dated 1/16/2023, document HB1867.DOC/VRS — </w:t>
      </w:r>
      <w:r>
        <w:rPr>
          <w:rFonts w:ascii="Consolas" w:hAnsi="Consolas"/>
          <w:color w:val="303030"/>
          <w:sz w:val="18"/>
        </w:rPr>
        <w:t>legacylis.virginia.gov/cgi-bin/legp604.exe?231+oth+HB1867F158+PDF</w:t>
      </w:r>
      <w:r>
        <w:t xml:space="preserve"> </w:t>
      </w:r>
      <w:r>
        <w:rPr>
          <w:i/>
        </w:rPr>
        <w:t>(primary source; retrieved in full)</w:t>
      </w:r>
    </w:p>
    <w:p>
      <w:pPr>
        <w:spacing w:after="60"/>
        <w:ind w:left="432" w:hanging="432"/>
      </w:pPr>
      <w:r>
        <w:rPr>
          <w:b/>
        </w:rPr>
        <w:t>7.</w:t>
        <w:tab/>
      </w:r>
      <w:r>
        <w:t xml:space="preserve">HB 1867 (2023) summary and history, patron P. A. Scott — </w:t>
      </w:r>
      <w:r>
        <w:rPr>
          <w:rFonts w:ascii="Consolas" w:hAnsi="Consolas"/>
          <w:color w:val="303030"/>
          <w:sz w:val="18"/>
        </w:rPr>
        <w:t>legacylis.virginia.gov/cgi-bin/legp604.exe?231+sum+HB1867=</w:t>
      </w:r>
    </w:p>
    <w:p>
      <w:pPr>
        <w:spacing w:after="60"/>
        <w:ind w:left="432" w:hanging="432"/>
      </w:pPr>
      <w:r>
        <w:rPr>
          <w:b/>
        </w:rPr>
        <w:t>8.</w:t>
        <w:tab/>
      </w:r>
      <w:r>
        <w:rPr>
          <w:b/>
        </w:rPr>
        <w:t>HB 1867 (2023) subcommittee roll call</w:t>
      </w:r>
      <w:r>
        <w:t xml:space="preserve">, 01/26/23, "Subcommittee recommends laying on the table (8-Y 0-N)" with named yeas — </w:t>
      </w:r>
      <w:r>
        <w:rPr>
          <w:rFonts w:ascii="Consolas" w:hAnsi="Consolas"/>
          <w:color w:val="303030"/>
          <w:sz w:val="18"/>
        </w:rPr>
        <w:t>legacylis.virginia.gov/cgi-bin/legp604.exe?231+vot+H0202V0014+HB1867</w:t>
      </w:r>
    </w:p>
    <w:p>
      <w:pPr>
        <w:spacing w:after="60"/>
        <w:ind w:left="432" w:hanging="432"/>
      </w:pPr>
      <w:r>
        <w:rPr>
          <w:b/>
        </w:rPr>
        <w:t>9.</w:t>
        <w:tab/>
      </w:r>
      <w:r>
        <w:t xml:space="preserve">HB 1890 (2015) summary, patron S. C. Jones, and full history; Chapter 508 — </w:t>
      </w:r>
      <w:r>
        <w:rPr>
          <w:rFonts w:ascii="Consolas" w:hAnsi="Consolas"/>
          <w:color w:val="303030"/>
          <w:sz w:val="18"/>
        </w:rPr>
        <w:t>legacylis.virginia.gov/cgi-bin/legp604.exe?151+sum+HB1890=</w:t>
      </w:r>
    </w:p>
    <w:p>
      <w:pPr>
        <w:spacing w:after="60"/>
        <w:ind w:left="432" w:hanging="432"/>
      </w:pPr>
      <w:r>
        <w:rPr>
          <w:b/>
        </w:rPr>
        <w:t>10.</w:t>
        <w:tab/>
      </w:r>
      <w:r>
        <w:t xml:space="preserve">HB 1890 (2015) enrolled text (24-month window; January 1, 2017 effective date) — </w:t>
      </w:r>
      <w:r>
        <w:rPr>
          <w:rFonts w:ascii="Consolas" w:hAnsi="Consolas"/>
          <w:color w:val="303030"/>
          <w:sz w:val="18"/>
        </w:rPr>
        <w:t>legacylis.virginia.gov/cgi-bin/legp604.exe?151+ful+HB1890ER+pdf=</w:t>
      </w:r>
    </w:p>
    <w:p>
      <w:pPr>
        <w:spacing w:after="60"/>
        <w:ind w:left="432" w:hanging="432"/>
      </w:pPr>
      <w:r>
        <w:rPr>
          <w:b/>
        </w:rPr>
        <w:t>11.</w:t>
        <w:tab/>
      </w:r>
      <w:r>
        <w:t xml:space="preserve">HB 139 (2026), Chapter 563, approved 2026-04-13 (unpaid educational leave for employee association officers; purchase of service credit under § 51.1-142.2) — </w:t>
      </w:r>
      <w:r>
        <w:rPr>
          <w:rFonts w:ascii="Consolas" w:hAnsi="Consolas"/>
          <w:color w:val="303030"/>
          <w:sz w:val="18"/>
        </w:rPr>
        <w:t>lis.virginia.gov/bill-details/20261/HB139/text/CHAP0563</w:t>
      </w:r>
    </w:p>
    <w:p>
      <w:r>
        <w:rPr>
          <w:b/>
        </w:rPr>
        <w:t>VRS institutional record</w:t>
      </w:r>
    </w:p>
    <w:p>
      <w:pPr>
        <w:spacing w:after="60"/>
        <w:ind w:left="432" w:hanging="432"/>
      </w:pPr>
      <w:r>
        <w:rPr>
          <w:b/>
        </w:rPr>
        <w:t>12.</w:t>
        <w:tab/>
      </w:r>
      <w:r>
        <w:rPr>
          <w:b/>
        </w:rPr>
        <w:t>VRS Board of Trustees meeting materials, 2026-04-23</w:t>
      </w:r>
      <w:r>
        <w:t xml:space="preserve"> — 2026 Legislation section (pp. 184–208): "28 VRS specific bills… The only bill remaining of the 28 is bill HB139… The remainder of the bills were unsuccessful"; HB 139 characterised as codifying "the existing VRS PPS policy"; FY27/FY28 certified employer rates; failed-legislation inventory including HR 9 (Maldonado, JLARC evaluation of VRS plans); retreat attendance recording Del. Alex Q. Askew and Carol Bauer (VEA) as guests — </w:t>
      </w:r>
      <w:r>
        <w:rPr>
          <w:rFonts w:ascii="Consolas" w:hAnsi="Consolas"/>
          <w:color w:val="303030"/>
          <w:sz w:val="18"/>
        </w:rPr>
        <w:t>varetire.org/media/members/pdf/board/materials/2026/bot-04-23-26.pdf</w:t>
      </w:r>
    </w:p>
    <w:p>
      <w:pPr>
        <w:spacing w:after="60"/>
        <w:ind w:left="432" w:hanging="432"/>
      </w:pPr>
      <w:r>
        <w:rPr>
          <w:b/>
        </w:rPr>
        <w:t>13.</w:t>
        <w:tab/>
      </w:r>
      <w:r>
        <w:t xml:space="preserve">VRS, </w:t>
      </w:r>
      <w:r>
        <w:rPr>
          <w:i/>
        </w:rPr>
        <w:t>2026 General Assembly Session Fiscal Impact Statement</w:t>
      </w:r>
      <w:r>
        <w:t xml:space="preserve">, HB 1306 (return to work; break in service), published 1/29/2026 — retrieved as a current example of the § 30-19.1:7 statement format and VRS's argumentative posture (unfunded-liability framing, contribution-rate translation, GF/NGF split, implementation cost, delayed-effective-date request) — </w:t>
      </w:r>
      <w:r>
        <w:rPr>
          <w:rFonts w:ascii="Consolas" w:hAnsi="Consolas"/>
          <w:color w:val="303030"/>
          <w:sz w:val="18"/>
        </w:rPr>
        <w:t>lis.blob.core.windows.net/files/1103192.PDF</w:t>
      </w:r>
    </w:p>
    <w:p>
      <w:pPr>
        <w:spacing w:after="60"/>
        <w:ind w:left="432" w:hanging="432"/>
      </w:pPr>
      <w:r>
        <w:rPr>
          <w:b/>
        </w:rPr>
        <w:t>14.</w:t>
        <w:tab/>
      </w:r>
      <w:r>
        <w:t xml:space="preserve">VRS legislation tracking page — </w:t>
      </w:r>
      <w:r>
        <w:rPr>
          <w:rFonts w:ascii="Consolas" w:hAnsi="Consolas"/>
          <w:color w:val="303030"/>
          <w:sz w:val="18"/>
        </w:rPr>
        <w:t>varetire.org/about/legislation/</w:t>
      </w:r>
    </w:p>
    <w:p>
      <w:pPr>
        <w:spacing w:after="60"/>
        <w:ind w:left="432" w:hanging="432"/>
      </w:pPr>
      <w:r>
        <w:rPr>
          <w:b/>
        </w:rPr>
        <w:t>15.</w:t>
        <w:tab/>
      </w:r>
      <w:r>
        <w:t xml:space="preserve">City of Alexandria pensions notice, </w:t>
      </w:r>
      <w:r>
        <w:rPr>
          <w:i/>
        </w:rPr>
        <w:t>VRS Making Changes to Purchase of Prior Service</w:t>
      </w:r>
      <w:r>
        <w:t xml:space="preserve"> (pre-2017 windows: one year for Plan 2/Hybrid, three years for Plan 1; new rules effective January 1, 2017) — </w:t>
      </w:r>
      <w:r>
        <w:rPr>
          <w:rFonts w:ascii="Consolas" w:hAnsi="Consolas"/>
          <w:color w:val="303030"/>
          <w:sz w:val="18"/>
        </w:rPr>
        <w:t>alexandriava.gov/pensions/vrs-making-changes-to-purchase-of-prior-service</w:t>
      </w:r>
    </w:p>
    <w:p>
      <w:r>
        <w:rPr>
          <w:b/>
        </w:rPr>
        <w:t>Committees and members</w:t>
      </w:r>
    </w:p>
    <w:p>
      <w:pPr>
        <w:spacing w:after="60"/>
        <w:ind w:left="432" w:hanging="432"/>
      </w:pPr>
      <w:r>
        <w:rPr>
          <w:b/>
        </w:rPr>
        <w:t>16.</w:t>
        <w:tab/>
      </w:r>
      <w:r>
        <w:t xml:space="preserve">House Appropriations Subcommittee on Compensation and Retirement (H02002), 2026 roster with Askew as chair — </w:t>
      </w:r>
      <w:r>
        <w:rPr>
          <w:rFonts w:ascii="Consolas" w:hAnsi="Consolas"/>
          <w:color w:val="303030"/>
          <w:sz w:val="18"/>
        </w:rPr>
        <w:t>apps.house.virginia.gov/subcommittees/H02002</w:t>
      </w:r>
    </w:p>
    <w:p>
      <w:pPr>
        <w:spacing w:after="60"/>
        <w:ind w:left="432" w:hanging="432"/>
      </w:pPr>
      <w:r>
        <w:rPr>
          <w:b/>
        </w:rPr>
        <w:t>17.</w:t>
        <w:tab/>
      </w:r>
      <w:r>
        <w:t xml:space="preserve">House Appropriations Committee, Compensation and Retirement Subcommittee page (roster; staff Michael Jay; 2026 session meetings) — </w:t>
      </w:r>
      <w:r>
        <w:rPr>
          <w:rFonts w:ascii="Consolas" w:hAnsi="Consolas"/>
          <w:color w:val="303030"/>
          <w:sz w:val="18"/>
        </w:rPr>
        <w:t>hac.virginia.gov/committee-information/compensation-and-retirement-subcommittee/</w:t>
      </w:r>
    </w:p>
    <w:p>
      <w:pPr>
        <w:spacing w:after="60"/>
        <w:ind w:left="432" w:hanging="432"/>
      </w:pPr>
      <w:r>
        <w:rPr>
          <w:b/>
        </w:rPr>
        <w:t>18.</w:t>
        <w:tab/>
      </w:r>
      <w:r>
        <w:t xml:space="preserve">House Appropriations Compensation and Retirement subcommittee agenda, 2025-01-27, with actions and tallies on HB 1705, HB 1933, HB 2315, HB 2447 — </w:t>
      </w:r>
      <w:r>
        <w:rPr>
          <w:rFonts w:ascii="Consolas" w:hAnsi="Consolas"/>
          <w:color w:val="303030"/>
          <w:sz w:val="18"/>
        </w:rPr>
        <w:t>house.vga.virginia.gov/subcommittees/H02002/agendas/4804</w:t>
      </w:r>
    </w:p>
    <w:p>
      <w:pPr>
        <w:spacing w:after="60"/>
        <w:ind w:left="432" w:hanging="432"/>
      </w:pPr>
      <w:r>
        <w:rPr>
          <w:b/>
        </w:rPr>
        <w:t>19.</w:t>
        <w:tab/>
      </w:r>
      <w:r>
        <w:rPr>
          <w:b/>
        </w:rPr>
        <w:t>Senate Finance and Appropriations Committee, 2026 Subcommittee List</w:t>
      </w:r>
      <w:r>
        <w:t xml:space="preserve">, updated 2026-01-20 (six subcommittees, none for compensation and retirement; staff assignments; chair votes on all subcommittees) — </w:t>
      </w:r>
      <w:r>
        <w:rPr>
          <w:rFonts w:ascii="Consolas" w:hAnsi="Consolas"/>
          <w:color w:val="303030"/>
          <w:sz w:val="18"/>
        </w:rPr>
        <w:t>sfac.virginia.gov/pdf/Documents/2026/_2026_Subcommittee%20List.pdf</w:t>
      </w:r>
    </w:p>
    <w:p>
      <w:pPr>
        <w:spacing w:after="60"/>
        <w:ind w:left="432" w:hanging="432"/>
      </w:pPr>
      <w:r>
        <w:rPr>
          <w:b/>
        </w:rPr>
        <w:t>20.</w:t>
        <w:tab/>
      </w:r>
      <w:r>
        <w:t xml:space="preserve">Senate Finance and Appropriations 2026 membership — </w:t>
      </w:r>
      <w:r>
        <w:rPr>
          <w:rFonts w:ascii="Consolas" w:hAnsi="Consolas"/>
          <w:color w:val="303030"/>
          <w:sz w:val="18"/>
        </w:rPr>
        <w:t>sfac.virginia.gov/about.shtml</w:t>
      </w:r>
    </w:p>
    <w:p>
      <w:pPr>
        <w:spacing w:after="60"/>
        <w:ind w:left="432" w:hanging="432"/>
      </w:pPr>
      <w:r>
        <w:rPr>
          <w:b/>
        </w:rPr>
        <w:t>21.</w:t>
        <w:tab/>
      </w:r>
      <w:r>
        <w:t xml:space="preserve">Contemporaneous coverage of the 2026 Compensation and Retirement subcommittee docket (HB 56 tabled 7-0; HB 162 tabled 7-0; HB 473 reported 7-0; HB 645 PBI 6-1; HB 659 tabled 5-2; HB 1107 tabled 5-2; HB 1267 substitute accepted then tabled after broad supportive testimony) — citizenportal.ai articles 7367178 and 7367183. </w:t>
      </w:r>
      <w:r>
        <w:rPr>
          <w:i/>
        </w:rPr>
        <w:t>Secondary source; tallies should be confirmed against LIS before use in a filed document.</w:t>
      </w:r>
    </w:p>
    <w:p>
      <w:r>
        <w:rPr>
          <w:b/>
        </w:rPr>
        <w:t>Local government</w:t>
      </w:r>
    </w:p>
    <w:p>
      <w:pPr>
        <w:spacing w:after="60"/>
        <w:ind w:left="432" w:hanging="432"/>
      </w:pPr>
      <w:r>
        <w:rPr>
          <w:b/>
        </w:rPr>
        <w:t>22.</w:t>
        <w:tab/>
      </w:r>
      <w:r>
        <w:rPr>
          <w:b/>
        </w:rPr>
        <w:t>VACo, 2027 Preliminary Legislative Program</w:t>
      </w:r>
      <w:r>
        <w:t xml:space="preserve">, released 2026-10-09 — Unfunded Mandates priority (lines 740–748); Legislation with Local Fiscal Impact / Commission on Local Government mandate review (lines 671–677); </w:t>
      </w:r>
      <w:r>
        <w:rPr>
          <w:b/>
        </w:rPr>
        <w:t>no retirement, VRS, pension or veteran position</w:t>
      </w:r>
      <w:r>
        <w:t xml:space="preserve"> — </w:t>
      </w:r>
      <w:r>
        <w:rPr>
          <w:rFonts w:ascii="Consolas" w:hAnsi="Consolas"/>
          <w:color w:val="303030"/>
          <w:sz w:val="18"/>
        </w:rPr>
        <w:t>vaco.org/wp-content/uploads/2026/10/2027PreliminaryLegislativeProgram.pdf</w:t>
      </w:r>
    </w:p>
    <w:p>
      <w:pPr>
        <w:spacing w:after="60"/>
        <w:ind w:left="432" w:hanging="432"/>
      </w:pPr>
      <w:r>
        <w:rPr>
          <w:b/>
        </w:rPr>
        <w:t>23.</w:t>
        <w:tab/>
      </w:r>
      <w:r>
        <w:t xml:space="preserve">VACo, </w:t>
      </w:r>
      <w:r>
        <w:rPr>
          <w:i/>
        </w:rPr>
        <w:t>VACo Releases Its 2027 Preliminary Legislative Program</w:t>
      </w:r>
      <w:r>
        <w:t>, 2026-10-09, with adoption schedule (steering committees 2026-11-08; Resolutions Committee 11-09; membership 11-10)</w:t>
      </w:r>
    </w:p>
    <w:p>
      <w:pPr>
        <w:spacing w:after="60"/>
        <w:ind w:left="432" w:hanging="432"/>
      </w:pPr>
      <w:r>
        <w:rPr>
          <w:b/>
        </w:rPr>
        <w:t>24.</w:t>
        <w:tab/>
      </w:r>
      <w:r>
        <w:rPr>
          <w:b/>
        </w:rPr>
        <w:t>VML, 2027 Legislative Program</w:t>
      </w:r>
      <w:r>
        <w:t xml:space="preserve">, approved 2026-10-12 — general mandate-funding language; </w:t>
      </w:r>
      <w:r>
        <w:rPr>
          <w:b/>
        </w:rPr>
        <w:t>no retirement, VRS, pension or veteran position</w:t>
      </w:r>
      <w:r>
        <w:t xml:space="preserve"> — </w:t>
      </w:r>
      <w:r>
        <w:rPr>
          <w:rFonts w:ascii="Consolas" w:hAnsi="Consolas"/>
          <w:color w:val="303030"/>
          <w:sz w:val="18"/>
        </w:rPr>
        <w:t>vml.org/Portals/0/GA-docs/27GA/</w:t>
      </w:r>
    </w:p>
    <w:p>
      <w:pPr>
        <w:spacing w:after="60"/>
        <w:ind w:left="432" w:hanging="432"/>
      </w:pPr>
      <w:r>
        <w:rPr>
          <w:b/>
        </w:rPr>
        <w:t>25.</w:t>
        <w:tab/>
      </w:r>
      <w:r>
        <w:t xml:space="preserve">VACo, </w:t>
      </w:r>
      <w:r>
        <w:rPr>
          <w:i/>
        </w:rPr>
        <w:t>Bills Allowing Local Governments to Offer Enhanced Retirement Benefits for 911 Dispatchers and Others Continued to 2025</w:t>
      </w:r>
      <w:r>
        <w:t xml:space="preserve">, 2024-02-13 — VACo "testified to thank those groups and the bill patrons who ensured that these bills </w:t>
      </w:r>
      <w:r>
        <w:rPr>
          <w:b/>
        </w:rPr>
        <w:t>remained a local option and not an unfunded mandate</w:t>
      </w:r>
      <w:r>
        <w:t>"; SB 328 and SB 472 continued to 2025 by SFAC 12-3 on 2024-02-06</w:t>
      </w:r>
    </w:p>
    <w:p>
      <w:pPr>
        <w:spacing w:after="60"/>
        <w:ind w:left="432" w:hanging="432"/>
      </w:pPr>
      <w:r>
        <w:rPr>
          <w:b/>
        </w:rPr>
        <w:t>26.</w:t>
        <w:tab/>
      </w:r>
      <w:r>
        <w:t xml:space="preserve">VACo, </w:t>
      </w:r>
      <w:r>
        <w:rPr>
          <w:i/>
        </w:rPr>
        <w:t>VRS Approves FY 2027-2028 Employer Contribution Rates for Participating Political Subdivisions</w:t>
      </w:r>
      <w:r>
        <w:t xml:space="preserve"> (average political-subdivision DB rates 4.98% / 12.32%)</w:t>
      </w:r>
    </w:p>
    <w:p>
      <w:pPr>
        <w:spacing w:after="60"/>
        <w:ind w:left="432" w:hanging="432"/>
      </w:pPr>
      <w:r>
        <w:rPr>
          <w:b/>
        </w:rPr>
        <w:t>27.</w:t>
        <w:tab/>
      </w:r>
      <w:r>
        <w:t xml:space="preserve">DHCD / Commission on Local Government, </w:t>
      </w:r>
      <w:r>
        <w:rPr>
          <w:i/>
        </w:rPr>
        <w:t>Fiscal Impact Review</w:t>
      </w:r>
      <w:r>
        <w:t xml:space="preserve"> and </w:t>
      </w:r>
      <w:r>
        <w:rPr>
          <w:i/>
        </w:rPr>
        <w:t>Agency Assessment of Mandates on Local Government</w:t>
      </w:r>
      <w:r>
        <w:t xml:space="preserve">; </w:t>
      </w:r>
      <w:r>
        <w:rPr>
          <w:i/>
        </w:rPr>
        <w:t>2025 Catalog of State and Federal Mandates on Local Governments</w:t>
      </w:r>
      <w:r>
        <w:t xml:space="preserve"> (RD336, published 2026)</w:t>
      </w:r>
    </w:p>
    <w:p>
      <w:pPr>
        <w:spacing w:after="60"/>
        <w:ind w:left="432" w:hanging="432"/>
      </w:pPr>
      <w:r>
        <w:rPr>
          <w:b/>
        </w:rPr>
        <w:t>28.</w:t>
        <w:tab/>
      </w:r>
      <w:r>
        <w:t xml:space="preserve">Fairfax County, </w:t>
      </w:r>
      <w:r>
        <w:rPr>
          <w:i/>
        </w:rPr>
        <w:t>2027 Draft Legislative Program</w:t>
      </w:r>
      <w:r>
        <w:t>, Board of Supervisors 2026-10-06</w:t>
      </w:r>
    </w:p>
    <w:p>
      <w:r>
        <w:rPr>
          <w:b/>
        </w:rPr>
        <w:t>Veterans and employees</w:t>
      </w:r>
    </w:p>
    <w:p>
      <w:pPr>
        <w:spacing w:after="60"/>
        <w:ind w:left="432" w:hanging="432"/>
      </w:pPr>
      <w:r>
        <w:rPr>
          <w:b/>
        </w:rPr>
        <w:t>29.</w:t>
        <w:tab/>
      </w:r>
      <w:r>
        <w:rPr>
          <w:b/>
        </w:rPr>
        <w:t>JLC Legislative Committee, Draft Meeting Minutes, 2025-04-23</w:t>
      </w:r>
      <w:r>
        <w:t xml:space="preserve"> (Virginia War Memorial) — attendance by member organisation; seventeen initiatives reduced to nine forwarded to the full JLC on June 18; the nine, verbatim; the six letters forwarded; Commissioner Zingler's remarks on transitioning service members — </w:t>
      </w:r>
      <w:r>
        <w:rPr>
          <w:rFonts w:ascii="Consolas" w:hAnsi="Consolas"/>
          <w:color w:val="303030"/>
          <w:sz w:val="18"/>
        </w:rPr>
        <w:t>commonwealthcalendar.virginia.gov/File/Index/76109</w:t>
      </w:r>
    </w:p>
    <w:p>
      <w:pPr>
        <w:spacing w:after="60"/>
        <w:ind w:left="432" w:hanging="432"/>
      </w:pPr>
      <w:r>
        <w:rPr>
          <w:b/>
        </w:rPr>
        <w:t>30.</w:t>
        <w:tab/>
      </w:r>
      <w:r>
        <w:t xml:space="preserve">DVS, </w:t>
      </w:r>
      <w:r>
        <w:rPr>
          <w:i/>
        </w:rPr>
        <w:t>Joint Leadership Council of Veterans Service Organizations</w:t>
      </w:r>
      <w:r>
        <w:t xml:space="preserve"> page — </w:t>
      </w:r>
      <w:r>
        <w:rPr>
          <w:b/>
        </w:rPr>
        <w:t>HTTP 403, not retrieved</w:t>
      </w:r>
      <w:r>
        <w:t xml:space="preserve"> (see U-1)</w:t>
      </w:r>
    </w:p>
    <w:p>
      <w:pPr>
        <w:spacing w:after="60"/>
        <w:ind w:left="432" w:hanging="432"/>
      </w:pPr>
      <w:r>
        <w:rPr>
          <w:b/>
        </w:rPr>
        <w:t>31.</w:t>
        <w:tab/>
      </w:r>
      <w:r>
        <w:t xml:space="preserve">JLC 2026 adopted initiatives, JLC 2026-01 through 2026-06 — identified via DVS eNews bulletins; </w:t>
      </w:r>
      <w:r>
        <w:rPr>
          <w:b/>
        </w:rPr>
        <w:t>not independently retrieved in primary form</w:t>
      </w:r>
    </w:p>
    <w:p>
      <w:pPr>
        <w:spacing w:after="60"/>
        <w:ind w:left="432" w:hanging="432"/>
      </w:pPr>
      <w:r>
        <w:rPr>
          <w:b/>
        </w:rPr>
        <w:t>32.</w:t>
        <w:tab/>
      </w:r>
      <w:r>
        <w:t xml:space="preserve">VEA, </w:t>
      </w:r>
      <w:r>
        <w:rPr>
          <w:i/>
        </w:rPr>
        <w:t>Legislative Agenda</w:t>
      </w:r>
      <w:r>
        <w:t xml:space="preserve"> (most recent published version located is 2024) — VEA opposes measures that "undermine or reduce the health or retirement benefits of school personnel" — </w:t>
      </w:r>
      <w:r>
        <w:rPr>
          <w:rFonts w:ascii="Consolas" w:hAnsi="Consolas"/>
          <w:color w:val="303030"/>
          <w:sz w:val="18"/>
        </w:rPr>
        <w:t>veanea.org/take-action/legislation-policy/legislative-agenda/</w:t>
      </w:r>
    </w:p>
    <w:p>
      <w:pPr>
        <w:spacing w:after="60"/>
        <w:ind w:left="432" w:hanging="432"/>
      </w:pPr>
      <w:r>
        <w:rPr>
          <w:b/>
        </w:rPr>
        <w:t>33.</w:t>
        <w:tab/>
      </w:r>
      <w:r>
        <w:t xml:space="preserve">VGEA, </w:t>
      </w:r>
      <w:r>
        <w:rPr>
          <w:i/>
        </w:rPr>
        <w:t>Advocacy</w:t>
      </w:r>
      <w:r>
        <w:t xml:space="preserve">, </w:t>
      </w:r>
      <w:r>
        <w:rPr>
          <w:i/>
        </w:rPr>
        <w:t>The VGEA's Commitment to Retirees</w:t>
      </w:r>
      <w:r>
        <w:t xml:space="preserve">, and </w:t>
      </w:r>
      <w:r>
        <w:rPr>
          <w:i/>
        </w:rPr>
        <w:t>Legislation Tracker</w:t>
      </w:r>
      <w:r>
        <w:t xml:space="preserve"> — retiree COLA and Hybrid Plan adequacy priorities; JLARC partnership — </w:t>
      </w:r>
      <w:r>
        <w:rPr>
          <w:rFonts w:ascii="Consolas" w:hAnsi="Consolas"/>
          <w:color w:val="303030"/>
          <w:sz w:val="18"/>
        </w:rPr>
        <w:t>vgea.org</w:t>
      </w:r>
    </w:p>
    <w:p>
      <w:r>
        <w:rPr>
          <w:b/>
        </w:rPr>
        <w:t>Workforce</w:t>
      </w:r>
    </w:p>
    <w:p>
      <w:pPr>
        <w:spacing w:after="60"/>
        <w:ind w:left="432" w:hanging="432"/>
      </w:pPr>
      <w:r>
        <w:rPr>
          <w:b/>
        </w:rPr>
        <w:t>34.</w:t>
        <w:tab/>
      </w:r>
      <w:r>
        <w:rPr>
          <w:b/>
        </w:rPr>
        <w:t>DHRM, State Employee Workforce, Compensation, Health Benefits Update</w:t>
      </w:r>
      <w:r>
        <w:t xml:space="preserve">, presented to the Senate Finance &amp; Appropriations General Government Subcommittee, 2026-02-03 — 107,258 classified FTE; veteran status 6% / 25% / </w:t>
      </w:r>
      <w:r>
        <w:rPr>
          <w:b/>
        </w:rPr>
        <w:t>69% unknown</w:t>
      </w:r>
      <w:r>
        <w:t xml:space="preserve">; average age 46.1, average service 8.5 years, </w:t>
      </w:r>
      <w:r>
        <w:rPr>
          <w:b/>
        </w:rPr>
        <w:t>average age of new hires 39.1 years</w:t>
      </w:r>
      <w:r>
        <w:t xml:space="preserve">; FY25 vacancy 13.0%, turnover 12.8%, probationary turnover 25.6%, time to hire 68 days; key message on first-five-year voluntary resignations — </w:t>
      </w:r>
      <w:r>
        <w:rPr>
          <w:rFonts w:ascii="Consolas" w:hAnsi="Consolas"/>
          <w:color w:val="303030"/>
          <w:sz w:val="18"/>
        </w:rPr>
        <w:t>sfac.virginia.gov/pdf/General%20Gov/2026/02032026_No1_DHRM%20Workforce%20Update.pdf</w:t>
      </w:r>
    </w:p>
    <w:p>
      <w:pPr>
        <w:spacing w:after="60"/>
        <w:ind w:left="432" w:hanging="432"/>
      </w:pPr>
      <w:r>
        <w:rPr>
          <w:b/>
        </w:rPr>
        <w:t>35.</w:t>
        <w:tab/>
      </w:r>
      <w:r>
        <w:t xml:space="preserve">DHRM, </w:t>
      </w:r>
      <w:r>
        <w:rPr>
          <w:i/>
        </w:rPr>
        <w:t>Veteran Percentage by Agency</w:t>
      </w:r>
      <w:r>
        <w:t xml:space="preserve"> — </w:t>
      </w:r>
      <w:r>
        <w:rPr>
          <w:rFonts w:ascii="Consolas" w:hAnsi="Consolas"/>
          <w:color w:val="303030"/>
          <w:sz w:val="18"/>
        </w:rPr>
        <w:t>dhrm.virginia.gov/docs/default-source/talent-acquisition-resources/veteranpercentagebyagency.pdf</w:t>
      </w:r>
    </w:p>
    <w:p>
      <w:r>
        <w:rPr>
          <w:b/>
        </w:rPr>
        <w:t>Other states</w:t>
      </w:r>
    </w:p>
    <w:p>
      <w:pPr>
        <w:spacing w:after="60"/>
        <w:ind w:left="432" w:hanging="432"/>
      </w:pPr>
      <w:r>
        <w:rPr>
          <w:b/>
        </w:rPr>
        <w:t>36.</w:t>
        <w:tab/>
      </w:r>
      <w:r>
        <w:t xml:space="preserve">Massachusetts Teachers' Retirement System, </w:t>
      </w:r>
      <w:r>
        <w:rPr>
          <w:i/>
        </w:rPr>
        <w:t>Important update to military service purchase eligibility</w:t>
      </w:r>
      <w:r>
        <w:t xml:space="preserve"> (HERO Act, </w:t>
      </w:r>
      <w:r>
        <w:rPr>
          <w:b/>
        </w:rPr>
        <w:t>Chapter 178 of the Acts of 2024</w:t>
      </w:r>
      <w:r>
        <w:t xml:space="preserve">, signed 2024-08-08; new deadline one year after 10 years of creditable service or 2025-08-08, whichever is later) — </w:t>
      </w:r>
      <w:r>
        <w:rPr>
          <w:rFonts w:ascii="Consolas" w:hAnsi="Consolas"/>
          <w:color w:val="303030"/>
          <w:sz w:val="18"/>
        </w:rPr>
        <w:t>mtrs.state.ma.us/hero/</w:t>
      </w:r>
      <w:r>
        <w:t>; the repeal of the 180-day limitation in effect since 1996 is attributed to § 52 of that act</w:t>
      </w:r>
    </w:p>
    <w:p>
      <w:pPr>
        <w:spacing w:after="60"/>
        <w:ind w:left="432" w:hanging="432"/>
      </w:pPr>
      <w:r>
        <w:rPr>
          <w:b/>
        </w:rPr>
        <w:t>37.</w:t>
        <w:tab/>
      </w:r>
      <w:r>
        <w:rPr>
          <w:b/>
        </w:rPr>
        <w:t>Ohio Rev. Code § 145.301</w:t>
      </w:r>
      <w:r>
        <w:t xml:space="preserve"> — "may be purchased at any time prior to receipt of a retirement allowance"; max five years; not less than 50% of additional liability (armed forces), 100% (reserve/Guard) — </w:t>
      </w:r>
      <w:r>
        <w:rPr>
          <w:rFonts w:ascii="Consolas" w:hAnsi="Consolas"/>
          <w:color w:val="303030"/>
          <w:sz w:val="18"/>
        </w:rPr>
        <w:t>codes.ohio.gov/ohio-revised-code/section-145.301</w:t>
      </w:r>
    </w:p>
    <w:p>
      <w:pPr>
        <w:spacing w:after="60"/>
        <w:ind w:left="432" w:hanging="432"/>
      </w:pPr>
      <w:r>
        <w:rPr>
          <w:b/>
        </w:rPr>
        <w:t>38.</w:t>
        <w:tab/>
      </w:r>
      <w:r>
        <w:rPr>
          <w:b/>
        </w:rPr>
        <w:t>N.Y. Ret. &amp; Soc. Sec. Law § 1000</w:t>
      </w:r>
      <w:r>
        <w:t xml:space="preserve"> — five years credited service to be eligible; max three years; 3% (6% for post-April 1, 2012 members) of prior twelve months' compensation; "All costs… other than the member costs… shall be paid by the state and all employers"; "must make application for such credit </w:t>
      </w:r>
      <w:r>
        <w:rPr>
          <w:b/>
        </w:rPr>
        <w:t>before the effective date of retirement</w:t>
      </w:r>
      <w:r>
        <w:t xml:space="preserve">" — </w:t>
      </w:r>
      <w:r>
        <w:rPr>
          <w:rFonts w:ascii="Consolas" w:hAnsi="Consolas"/>
          <w:color w:val="303030"/>
          <w:sz w:val="18"/>
        </w:rPr>
        <w:t>newyork.public.law/laws/n.y._retirement_and_social_security_law_section_1000</w:t>
      </w:r>
    </w:p>
    <w:p>
      <w:pPr>
        <w:spacing w:after="60"/>
        <w:ind w:left="432" w:hanging="432"/>
      </w:pPr>
      <w:r>
        <w:rPr>
          <w:b/>
        </w:rPr>
        <w:t>39.</w:t>
        <w:tab/>
      </w:r>
      <w:r>
        <w:rPr>
          <w:b/>
        </w:rPr>
        <w:t>71 Pa.C.S. § 5304</w:t>
      </w:r>
      <w:r>
        <w:t xml:space="preserve"> — nonintervening military service, max five years, no application deadline; one-year election window applied only to a narrow unrelated category — </w:t>
      </w:r>
      <w:r>
        <w:rPr>
          <w:rFonts w:ascii="Consolas" w:hAnsi="Consolas"/>
          <w:color w:val="303030"/>
          <w:sz w:val="18"/>
        </w:rPr>
        <w:t>codes.findlaw.com/pa/title-71-pacsa-state-government/pa-csa-sect-71-5304/</w:t>
      </w:r>
      <w:r>
        <w:t xml:space="preserve">; PSERS </w:t>
      </w:r>
      <w:r>
        <w:rPr>
          <w:i/>
        </w:rPr>
        <w:t>Purchasing Service Credit</w:t>
      </w:r>
      <w:r>
        <w:t xml:space="preserve"> (three years of credited school service following the military service)</w:t>
      </w:r>
    </w:p>
    <w:p>
      <w:pPr>
        <w:spacing w:after="60"/>
        <w:ind w:left="432" w:hanging="432"/>
      </w:pPr>
      <w:r>
        <w:rPr>
          <w:b/>
        </w:rPr>
        <w:t>40.</w:t>
        <w:tab/>
      </w:r>
      <w:r>
        <w:t xml:space="preserve">Texas ERS and TRS member notices on purchasing military and refunded service credit (interest accrual from first eligibility; "buy by Aug. 31 to avoid a cost increase") — </w:t>
      </w:r>
      <w:r>
        <w:rPr>
          <w:rFonts w:ascii="Consolas" w:hAnsi="Consolas"/>
          <w:color w:val="303030"/>
          <w:sz w:val="18"/>
        </w:rPr>
        <w:t>ers.texas.gov/news/</w:t>
      </w:r>
      <w:r>
        <w:t xml:space="preserve">; </w:t>
      </w:r>
      <w:r>
        <w:rPr>
          <w:rFonts w:ascii="Consolas" w:hAnsi="Consolas"/>
          <w:color w:val="303030"/>
          <w:sz w:val="18"/>
        </w:rPr>
        <w:t>trs.texas.gov</w:t>
      </w:r>
    </w:p>
    <w:p>
      <w:pPr>
        <w:jc w:val="center"/>
      </w:pPr>
      <w:r>
        <w:rPr>
          <w:color w:val="909090"/>
          <w:sz w:val="18"/>
        </w:rPr>
        <w:t>* * *</w:t>
      </w:r>
    </w:p>
    <w:p>
      <w:pPr>
        <w:pStyle w:val="Heading2"/>
      </w:pPr>
      <w:r>
        <w:t>11.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w:t>
            </w:r>
          </w:p>
        </w:tc>
        <w:tc>
          <w:tcPr>
            <w:tcW w:type="dxa" w:w="4320"/>
          </w:tcPr>
          <w:p>
            <w:pPr>
              <w:spacing w:before="20" w:after="20"/>
              <w:jc w:val="left"/>
            </w:pPr>
            <w:r>
              <w:rPr>
                <w:sz w:val="17"/>
              </w:rPr>
              <w:t>§ 6 opt-in recommendation (keep on the Q12 ladder as rung two); § 8 patron recommendations, with U-2 to be verified first; the § 3.1 tension between Annex A v1.1's wide schedule authority and the "no new rate-setting by the Board" claim that A-3 was selected to preserve; and U-1, which may be a closed window rather than an open question.</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Convert the $13M–$182M present value into employer-contribution-rate basis points, per plan and per employer group (Teacher, state, political subdivision), at low and high take-up.</w:t>
            </w:r>
            <w:r>
              <w:rPr>
                <w:sz w:val="17"/>
              </w:rPr>
              <w:t xml:space="preserve"> Localities and money committees respond to basis points on a rate, not to a statewide PV range. Also: VACo/VML will claim an unfunded mandate; our model says $0 GF plus a pooled rate liability. Both are true; the conflict is one of unit, not of fact, and it is flagged here as such.</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The political chokepoints are (i) </w:t>
            </w:r>
            <w:r>
              <w:rPr>
                <w:b/>
                <w:sz w:val="17"/>
              </w:rPr>
              <w:t>the price, not the deadline</w:t>
            </w:r>
            <w:r>
              <w:rPr>
                <w:sz w:val="17"/>
              </w:rPr>
              <w:t xml:space="preserve"> — and post-F-1 the instrument should be a </w:t>
            </w:r>
            <w:r>
              <w:rPr>
                <w:b/>
                <w:sz w:val="17"/>
              </w:rPr>
              <w:t>statutory recovery floor on the Ohio § 145.301 model</w:t>
            </w:r>
            <w:r>
              <w:rPr>
                <w:sz w:val="17"/>
              </w:rPr>
              <w:t xml:space="preserve"> ("not less than X% of the actuarial equivalent cost"), not a Board schedule hemmed in by a uniformity requirement plus an individual-member ceiling, because the subcommittee needs a number on the face of the bill and F-1 shows the schedule cannot supply one; (ii) the no-spillover sentence confining relief to subdivision B 2 must be load-bearing and conspicuous, because the first floor amendment will try to extend it across all of B 1; (iii) VRS's acceptance criterion is "changes no current VRS procedure," which argues for a delayed effective date and against anything requiring a new actuarial product; (iv) 2027 is the </w:t>
            </w:r>
            <w:r>
              <w:rPr>
                <w:b/>
                <w:sz w:val="17"/>
              </w:rPr>
              <w:t>short session</w:t>
            </w:r>
            <w:r>
              <w:rPr>
                <w:sz w:val="17"/>
              </w:rPr>
              <w:t xml:space="preserve"> — simplicity is a cost-control argument </w:t>
            </w:r>
            <w:r>
              <w:rPr>
                <w:i/>
                <w:sz w:val="17"/>
              </w:rPr>
              <w:t>and</w:t>
            </w:r>
            <w:r>
              <w:rPr>
                <w:sz w:val="17"/>
              </w:rPr>
              <w:t xml:space="preserve"> a calendar-survival argument.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U-5: whether any bill 2017–2026 attempted to extend or remove the § 51.1-142.2 window itself. I could not run a code-section search across sessions (legacy LIS rejects the query form; current LIS is client-rendered).</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Two things. First, </w:t>
            </w:r>
            <w:r>
              <w:rPr>
                <w:b/>
                <w:sz w:val="17"/>
              </w:rPr>
              <w:t>test every confidence label in § 3</w:t>
            </w:r>
            <w:r>
              <w:rPr>
                <w:sz w:val="17"/>
              </w:rPr>
              <w:t xml:space="preserve"> — the ones I consider most exposed are the DHRM row (Medium, inferred from an adjacent record), the VEA support read (Medium), and the Reeves caucus co-chair claim in § 8 (Low–Medium, 2018-era source, flagged as requiring verification before it is acted on). Second, F-1's remedy space now has a precedent option it did not have when you wrote the finding: </w:t>
            </w:r>
            <w:r>
              <w:rPr>
                <w:b/>
                <w:sz w:val="17"/>
              </w:rPr>
              <w:t>Ohio ORC § 145.301</w:t>
            </w:r>
            <w:r>
              <w:rPr>
                <w:sz w:val="17"/>
              </w:rPr>
              <w:t xml:space="preserve"> delivers cost control through a statutory price floor with no filing window at all. Whether a floor expressed as a percentage of each member's own actuarial equivalent cost escapes the uniformity-versus-ceiling trap is a legal question and it is yours, not mine.</w:t>
            </w:r>
          </w:p>
        </w:tc>
      </w:tr>
      <w:tr>
        <w:tc>
          <w:tcPr>
            <w:tcW w:type="dxa" w:w="4320"/>
          </w:tcPr>
          <w:p>
            <w:pPr>
              <w:spacing w:before="20" w:after="20"/>
              <w:jc w:val="left"/>
            </w:pPr>
            <w:r>
              <w:rPr>
                <w:b/>
                <w:sz w:val="17"/>
              </w:rPr>
              <w:t>Editor</w:t>
            </w:r>
          </w:p>
        </w:tc>
        <w:tc>
          <w:tcPr>
            <w:tcW w:type="dxa" w:w="4320"/>
          </w:tcPr>
          <w:p>
            <w:pPr>
              <w:spacing w:before="20" w:after="20"/>
              <w:jc w:val="left"/>
            </w:pPr>
            <w:r>
              <w:rPr>
                <w:sz w:val="17"/>
              </w:rPr>
              <w:t>§ 1 is written for you. The one sentence worth lifting into the one-pager is in § 3.6: Chapter 508's stated purpose was to bring Virginia "more in line with other states' programs," and on military service credit specifically it did the opposite.</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C — Stakeholder and Political Analysis</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