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2027 Session Package</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0">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ON HOLD for the Policy Director's clearance — not cleared to print.</w:t>
            </w:r>
            <w:r>
              <w:rPr>
                <w:sz w:val="17"/>
              </w:rPr>
              <w:t xml:space="preserve"> Regenerated 10/25/2026 against </w:t>
            </w:r>
            <w:r>
              <w:rPr>
                <w:b/>
                <w:sz w:val="17"/>
              </w:rPr>
              <w:t>v1.3</w:t>
            </w:r>
            <w:r>
              <w:rPr>
                <w:sz w:val="17"/>
              </w:rPr>
              <w:t xml:space="preserve">: it requests no appropriation and names the cost-bearers, the </w:t>
            </w:r>
            <w:r>
              <w:rPr>
                <w:b/>
                <w:sz w:val="17"/>
              </w:rPr>
              <w:t>$28M–$166M</w:t>
            </w:r>
            <w:r>
              <w:rPr>
                <w:sz w:val="17"/>
              </w:rPr>
              <w:t xml:space="preserve"> present value is stated in our own words, take-up is named as the swing factor, and the HB 1867 comparison closes. One page, letter. Both print-blocking copy defects are fixed; what is outstanding is the clearance decision.</w:t>
            </w:r>
          </w:p>
        </w:tc>
      </w:tr>
      <w:tr>
        <w:tc>
          <w:tcPr>
            <w:tcW w:type="dxa" w:w="2880"/>
          </w:tcPr>
          <w:p>
            <w:pPr>
              <w:spacing w:before="20" w:after="20"/>
              <w:jc w:val="left"/>
            </w:pPr>
            <w:hyperlink r:id="rId11">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v1.3</w:t>
            </w:r>
            <w:r>
              <w:rPr>
                <w:sz w:val="17"/>
              </w:rPr>
              <w:t>. Restructured to the JLC Initiative format, cost block rebuilt on the corrected model run, and the retracted figures listed by name in its own header banner — which is the package's authority for the current band.</w:t>
            </w:r>
          </w:p>
        </w:tc>
      </w:tr>
      <w:tr>
        <w:tc>
          <w:tcPr>
            <w:tcW w:type="dxa" w:w="2880"/>
          </w:tcPr>
          <w:p>
            <w:pPr>
              <w:spacing w:before="20" w:after="20"/>
              <w:jc w:val="left"/>
            </w:pPr>
            <w:hyperlink r:id="rId12">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3">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v1.2 — carries the re-scoped cost figure.</w:t>
            </w:r>
          </w:p>
        </w:tc>
      </w:tr>
      <w:tr>
        <w:tc>
          <w:tcPr>
            <w:tcW w:type="dxa" w:w="2880"/>
          </w:tcPr>
          <w:p>
            <w:pPr>
              <w:spacing w:before="20" w:after="20"/>
              <w:jc w:val="left"/>
            </w:pPr>
            <w:hyperlink r:id="rId14">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5">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6">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7">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v1.0.</w:t>
            </w:r>
            <w:r>
              <w:rPr>
                <w:sz w:val="17"/>
              </w:rPr>
              <w:t xml:space="preserve">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8">
              <w:r>
                <w:rPr>
                  <w:rFonts w:ascii="Calibri" w:hAnsi="Calibri"/>
                  <w:color w:val="1A4F8A"/>
                  <w:u w:val="single"/>
                  <w:sz w:val="17"/>
                </w:rPr>
                <w:t xml:space="preserve">07-Annex-D-JLC-Sponsor-and-December-Submission.md</w:t>
              </w:r>
            </w:hyperlink>
          </w:p>
        </w:tc>
        <w:tc>
          <w:tcPr>
            <w:tcW w:type="dxa" w:w="2880"/>
          </w:tcPr>
          <w:p>
            <w:pPr>
              <w:spacing w:before="20" w:after="20"/>
              <w:jc w:val="left"/>
            </w:pPr>
            <w:r>
              <w:rPr>
                <w:b/>
                <w:sz w:val="17"/>
              </w:rPr>
              <w:t>Policy Director, the board, JLCVSO</w:t>
            </w:r>
          </w:p>
        </w:tc>
        <w:tc>
          <w:tcPr>
            <w:tcW w:type="dxa" w:w="2880"/>
          </w:tcPr>
          <w:p>
            <w:pPr>
              <w:spacing w:before="20" w:after="20"/>
              <w:jc w:val="left"/>
            </w:pPr>
            <w:r>
              <w:rPr>
                <w:b/>
                <w:sz w:val="17"/>
              </w:rPr>
              <w:t>The JLC submission path — v1.0.</w:t>
            </w:r>
            <w:r>
              <w:rPr>
                <w:sz w:val="17"/>
              </w:rPr>
              <w:t xml:space="preserve"> The 2026-12-17 gate and the calendar to it, what that meeting requires and who owns each piece, a </w:t>
            </w:r>
            <w:r>
              <w:rPr>
                <w:b/>
                <w:sz w:val="17"/>
              </w:rPr>
              <w:t>ranked list of candidate sponsoring JLC member organisations</w:t>
            </w:r>
            <w:r>
              <w:rPr>
                <w:sz w:val="17"/>
              </w:rPr>
              <w:t xml:space="preserve"> from the public record, the Council-submission position paper in JLC format, the patron-list interaction, and the December-versus-2028 comparison. </w:t>
            </w:r>
            <w:r>
              <w:rPr>
                <w:b/>
                <w:sz w:val="17"/>
              </w:rPr>
              <w:t>Its § 4 is the finding to read first:</w:t>
            </w:r>
            <w:r>
              <w:rPr>
                <w:sz w:val="17"/>
              </w:rPr>
              <w:t xml:space="preserve"> § 51.1-142.2 B 3 bars the regular 20-year military retiree and the 10 U.S.C. ch. 1223 exception protects only the Reserve and Guard member — so the bill's best-served constituency is the Guard and Reserve, not the career-retiree organisations, which </w:t>
            </w:r>
            <w:r>
              <w:rPr>
                <w:b/>
                <w:sz w:val="17"/>
              </w:rPr>
              <w:t>reverses Annex C v1.1's witness and sponsor read</w:t>
            </w:r>
            <w:r>
              <w:rPr>
                <w:sz w:val="17"/>
              </w:rPr>
              <w:t>. Desk research on the public record only; no organisation was contacted.</w:t>
            </w:r>
          </w:p>
        </w:tc>
      </w:tr>
      <w:tr>
        <w:tc>
          <w:tcPr>
            <w:tcW w:type="dxa" w:w="2880"/>
          </w:tcPr>
          <w:p>
            <w:pPr>
              <w:spacing w:before="20" w:after="20"/>
              <w:jc w:val="left"/>
            </w:pPr>
            <w:hyperlink r:id="rId19">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20">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1">
        <w:r>
          <w:rPr>
            <w:rFonts w:ascii="Calibri" w:hAnsi="Calibri"/>
            <w:color w:val="1A4F8A"/>
            <w:u w:val="single"/>
          </w:rPr>
          <w:t xml:space="preserve">tools/README.md</w:t>
        </w:r>
      </w:hyperlink>
      <w:r>
        <w:t>.</w:t>
      </w:r>
    </w:p>
    <w:p>
      <w:pPr>
        <w:pStyle w:val="Heading2"/>
      </w:pPr>
      <w:r>
        <w:t>Status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7">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2">
              <w:r>
                <w:rPr>
                  <w:rFonts w:ascii="Calibri" w:hAnsi="Calibri"/>
                  <w:color w:val="1A4F8A"/>
                  <w:u w:val="single"/>
                  <w:sz w:val="17"/>
                  <w:b/>
                </w:rPr>
                <w:t xml:space="preserve">05-Red-Team-Review.md</w:t>
              </w:r>
            </w:hyperlink>
            <w:r>
              <w:rPr>
                <w:sz w:val="17"/>
              </w:rPr>
              <w:t xml:space="preserve"> and the second, parallel review at </w:t>
            </w:r>
            <w:hyperlink r:id="rId23">
              <w:r>
                <w:rPr>
                  <w:rFonts w:ascii="Calibri" w:hAnsi="Calibri"/>
                  <w:color w:val="1A4F8A"/>
                  <w:u w:val="single"/>
                  <w:sz w:val="17"/>
                </w:rPr>
                <w:t xml:space="preserve">05-Red-Team-and-Counsel-Review.md</w:t>
              </w:r>
            </w:hyperlink>
            <w:r>
              <w:rPr>
                <w:sz w:val="17"/>
              </w:rPr>
              <w:t xml:space="preserve">. 18 findings: 2 fatal, 8 serious, 6 moderate, 2 minor. </w:t>
            </w:r>
            <w:r>
              <w:rPr>
                <w:b/>
                <w:sz w:val="17"/>
              </w:rPr>
              <w:t>Do not file until F-1 and F-2 are resolved.</w:t>
            </w:r>
            <w:r>
              <w:rPr>
                <w:sz w:val="17"/>
              </w:rPr>
              <w:t xml:space="preserve"> </w:t>
            </w:r>
            <w:r>
              <w:rPr>
                <w:b/>
                <w:sz w:val="17"/>
              </w:rPr>
              <w:t>F-1 — resolved in the fiscal annexes 10/25/2026:</w:t>
            </w:r>
            <w:r>
              <w:rPr>
                <w:sz w:val="17"/>
              </w:rPr>
              <w:t xml:space="preserve"> the 100%-recovery guardrail that drives the fiscal note to zero cannot be built from the authority Annex A § 2.2 grants. Verified over 60 priceable classes; a </w:t>
            </w:r>
            <w:r>
              <w:rPr>
                <w:i/>
                <w:sz w:val="17"/>
              </w:rPr>
              <w:t>lawful uniform</w:t>
            </w:r>
            <w:r>
              <w:rPr>
                <w:sz w:val="17"/>
              </w:rPr>
              <w:t xml:space="preserve"> class rate recovers 0%–96% by classification, </w:t>
            </w:r>
            <w:r>
              <w:rPr>
                <w:b/>
                <w:sz w:val="17"/>
              </w:rPr>
              <w:t>59%–66% at the class mean</w:t>
            </w:r>
            <w:r>
              <w:rPr>
                <w:sz w:val="17"/>
              </w:rPr>
              <w:t xml:space="preserve">, and only ~23% in the long-service Plan 1 cohort the bill leads with. </w:t>
            </w:r>
            <w:r>
              <w:rPr>
                <w:b/>
                <w:sz w:val="17"/>
              </w:rPr>
              <w:t>The residual is $22M–$44M at 20% take-up, not $0.</w:t>
            </w:r>
            <w:r>
              <w:rPr>
                <w:sz w:val="17"/>
              </w:rPr>
              <w:t xml:space="preserve"> The guardrail is a mitigation, not a neutrality device. See Annex 2 Closure § 4.8.1 and Annex B A-28. </w:t>
            </w:r>
            <w:r>
              <w:rPr>
                <w:b/>
                <w:sz w:val="17"/>
              </w:rPr>
              <w:t>What stays open on F-1 is the drafting choice it forces</w:t>
            </w:r>
            <w:r>
              <w:rPr>
                <w:sz w:val="17"/>
              </w:rPr>
              <w:t xml:space="preserve"> — Annex A Q3a and Q12 both need reframing. </w:t>
            </w:r>
            <w:r>
              <w:rPr>
                <w:b/>
                <w:sz w:val="17"/>
              </w:rPr>
              <w:t>F-2 — resolved in the copy 10/25/2026:</w:t>
            </w:r>
            <w:r>
              <w:rPr>
                <w:sz w:val="17"/>
              </w:rPr>
              <w:t xml:space="preserve"> the broad "General fund cost: $0" claim, which the package's own who-bears table contradicts ($20M–$37M on state agencies, GF + NGF; $13M–$31M on school divisions through the SOQ), is replaced by "this bill requests no appropriation" in </w:t>
            </w:r>
            <w:r>
              <w:rPr>
                <w:b/>
                <w:sz w:val="17"/>
              </w:rPr>
              <w:t>00 v1.3</w:t>
            </w:r>
            <w:r>
              <w:rPr>
                <w:sz w:val="17"/>
              </w:rPr>
              <w:t xml:space="preserve"> and in </w:t>
            </w:r>
            <w:r>
              <w:rPr>
                <w:b/>
                <w:sz w:val="17"/>
              </w:rPr>
              <w:t>01 v1.3</w:t>
            </w:r>
            <w:r>
              <w:rPr>
                <w:sz w:val="17"/>
              </w:rPr>
              <w:t>, and is conceded as indefensible in Annex B § 0 and Annex 2 Closure § 4.6. The one-pager's remaining hold is a clearance decision, not a copy defect — see the row below</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6">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10/25/2026 — v1.3.</w:t>
            </w:r>
            <w:r>
              <w:rPr>
                <w:sz w:val="17"/>
              </w:rPr>
              <w:t xml:space="preserve"> v1.2 applied all ten mechanical corrections from Annex 2 Closure plus items 11–13 (the guardrail dial, three-way exposure split, DPB SOQ request). v1.3 reconciles the COST section to </w:t>
            </w:r>
            <w:r>
              <w:rPr>
                <w:b/>
                <w:sz w:val="17"/>
              </w:rPr>
              <w:t>$28M–$166M</w:t>
            </w:r>
            <w:r>
              <w:rPr>
                <w:sz w:val="17"/>
              </w:rPr>
              <w:t xml:space="preserve"> on one assumption set, narrows the general-fund claim per F-2, adds the amortised rate impact per M-5, and withdraws the guardrail-neutrality sentence per F-1</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Copy defects fixed 10/25/2026 — v1.3. Still on HOLD, but now only for clearance.</w:t>
            </w:r>
            <w:r>
              <w:rPr>
                <w:sz w:val="17"/>
              </w:rPr>
              <w:t xml:space="preserve"> The board accepted Option C of the MOO-293 framing decision (lead the general-fund position, state the range in our own words, name take-up as the swing factor, close with HB 1867), and the hold was then re-imposed on the lead attorney's sign-off because Option C was settled before the red team verdict was recorded. </w:t>
            </w:r>
            <w:r>
              <w:rPr>
                <w:b/>
                <w:sz w:val="17"/>
              </w:rPr>
              <w:t>Both print-blocking defects are now repaired in v1.3:</w:t>
            </w:r>
            <w:r>
              <w:rPr>
                <w:sz w:val="17"/>
              </w:rPr>
              <w:t xml:space="preserve"> the "$0 general fund" overclaim is replaced with "this bill requests no appropriation" and the cost-bearers are named (F-2), and the range is </w:t>
            </w:r>
            <w:r>
              <w:rPr>
                <w:b/>
                <w:sz w:val="17"/>
              </w:rPr>
              <w:t>$28M–$166M</w:t>
            </w:r>
            <w:r>
              <w:rPr>
                <w:sz w:val="17"/>
              </w:rPr>
              <w:t xml:space="preserve"> on a single assumption set (S-3 and S-5). </w:t>
            </w:r>
            <w:r>
              <w:rPr>
                <w:rFonts w:ascii="Consolas" w:hAnsi="Consolas"/>
                <w:color w:val="303030"/>
                <w:sz w:val="18"/>
              </w:rPr>
              <w:t>.md</w:t>
            </w:r>
            <w:r>
              <w:rPr>
                <w:sz w:val="17"/>
              </w:rPr>
              <w:t xml:space="preserve">, </w:t>
            </w:r>
            <w:r>
              <w:rPr>
                <w:rFonts w:ascii="Consolas" w:hAnsi="Consolas"/>
                <w:color w:val="303030"/>
                <w:sz w:val="18"/>
              </w:rPr>
              <w:t>.html</w:t>
            </w:r>
            <w:r>
              <w:rPr>
                <w:sz w:val="17"/>
              </w:rPr>
              <w:t xml:space="preserve">, </w:t>
            </w:r>
            <w:r>
              <w:rPr>
                <w:rFonts w:ascii="Consolas" w:hAnsi="Consolas"/>
                <w:color w:val="303030"/>
                <w:sz w:val="18"/>
              </w:rPr>
              <w:t>.pdf</w:t>
            </w:r>
            <w:r>
              <w:rPr>
                <w:sz w:val="17"/>
              </w:rPr>
              <w:t xml:space="preserve"> and </w:t>
            </w:r>
            <w:r>
              <w:rPr>
                <w:rFonts w:ascii="Consolas" w:hAnsi="Consolas"/>
                <w:color w:val="303030"/>
                <w:sz w:val="18"/>
              </w:rPr>
              <w:t>.docx</w:t>
            </w:r>
            <w:r>
              <w:rPr>
                <w:sz w:val="17"/>
              </w:rPr>
              <w:t xml:space="preserve"> are all regenerated on v1.3 and are consistent. </w:t>
            </w:r>
            <w:r>
              <w:rPr>
                <w:b/>
                <w:sz w:val="17"/>
              </w:rPr>
              <w:t>What remains is not a modelling or copy item: clearance to print is the Policy Director's call and has not been given.</w:t>
            </w:r>
            <w:r>
              <w:rPr>
                <w:sz w:val="17"/>
              </w:rPr>
              <w:t xml:space="preserve"> Do not distribute any earlier copy</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$28M–$166M range as the same order of magnitude as VRS's only published figure for a benefit of this shape and "under $2 million" as the outlier;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 </w:t>
            </w:r>
            <w:r>
              <w:rPr>
                <w:b/>
                <w:sz w:val="17"/>
              </w:rPr>
              <w:t>Restated again 10/25/2026 on a matched four-year basis (red team S-1):</w:t>
            </w:r>
            <w:r>
              <w:rPr>
                <w:sz w:val="17"/>
              </w:rPr>
              <w:t xml:space="preserve"> the priced-to-free ratio of 0.704 was a 2.5-year net set against VRS's four-year average; matched at four years it is </w:t>
            </w:r>
            <w:r>
              <w:rPr>
                <w:b/>
                <w:sz w:val="17"/>
              </w:rPr>
              <w:t>1.19 – 1.27</w:t>
            </w:r>
            <w:r>
              <w:rPr>
                <w:sz w:val="17"/>
              </w:rPr>
              <w:t xml:space="preserve">, which no </w:t>
            </w:r>
            <w:r>
              <w:rPr>
                <w:rFonts w:ascii="Consolas" w:hAnsi="Consolas"/>
                <w:color w:val="303030"/>
                <w:sz w:val="18"/>
              </w:rPr>
              <w:t>1 − 1/m</w:t>
            </w:r>
            <w:r>
              <w:rPr>
                <w:sz w:val="17"/>
              </w:rPr>
              <w:t xml:space="preserve"> can equal, and the Plan 1 free-grant equivalent is </w:t>
            </w:r>
            <w:r>
              <w:rPr>
                <w:b/>
                <w:sz w:val="17"/>
              </w:rPr>
              <w:t>$123,520</w:t>
            </w:r>
            <w:r>
              <w:rPr>
                <w:sz w:val="17"/>
              </w:rPr>
              <w:t xml:space="preserve">, or 2.06× the top of VRS's band. The package no longer claims the estimate is conservative relative to HB 1867 — it states a </w:t>
            </w:r>
            <w:r>
              <w:rPr>
                <w:b/>
                <w:sz w:val="17"/>
              </w:rPr>
              <w:t>bracket</w:t>
            </w:r>
            <w:r>
              <w:rPr>
                <w:sz w:val="17"/>
              </w:rPr>
              <w:t xml:space="preserve">, with ours the higher. </w:t>
            </w:r>
            <w:r>
              <w:rPr>
                <w:rFonts w:ascii="Consolas" w:hAnsi="Consolas"/>
                <w:color w:val="303030"/>
                <w:sz w:val="18"/>
              </w:rPr>
              <w:t>01</w:t>
            </w:r>
            <w:r>
              <w:rPr>
                <w:sz w:val="17"/>
              </w:rPr>
              <w:t xml:space="preserve"> COST, </w:t>
            </w:r>
            <w:r>
              <w:rPr>
                <w:rFonts w:ascii="Consolas" w:hAnsi="Consolas"/>
                <w:color w:val="303030"/>
                <w:sz w:val="18"/>
              </w:rPr>
              <w:t>03</w:t>
            </w:r>
            <w:r>
              <w:rPr>
                <w:sz w:val="17"/>
              </w:rPr>
              <w:t xml:space="preserve"> § 7.5 and </w:t>
            </w:r>
            <w:r>
              <w:rPr>
                <w:rFonts w:ascii="Consolas" w:hAnsi="Consolas"/>
                <w:color w:val="303030"/>
                <w:sz w:val="18"/>
              </w:rPr>
              <w:t>04</w:t>
            </w:r>
            <w:r>
              <w:rPr>
                <w:sz w:val="17"/>
              </w:rPr>
              <w:t xml:space="preserve"> § 4.6 all now say that; reproduce with </w:t>
            </w:r>
            <w:r>
              <w:rPr>
                <w:rFonts w:ascii="Consolas" w:hAnsi="Consolas"/>
                <w:color w:val="303030"/>
                <w:sz w:val="18"/>
              </w:rPr>
              <w:t>models/redteam_checks.py</w:t>
            </w:r>
            <w:r>
              <w:rPr>
                <w:sz w:val="17"/>
              </w:rPr>
              <w:t xml:space="preserve"> RT-2</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 extended at v2.1 and v2.2.</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pStyle w:val="Heading2"/>
        <w:ind w:left="480"/>
      </w:pPr>
      <w:r>
        <w:t>Retracted figures and claims — the permanent list</w:t>
      </w:r>
    </w:p>
    <w:p>
      <w:pPr>
        <w:spacing w:before="120" w:after="120"/>
        <w:ind w:left="480"/>
      </w:pPr>
      <w:r>
        <w:rPr>
          <w:i/>
          <w:color w:val="444444"/>
          <w:sz w:val="20"/>
        </w:rPr>
        <w:t xml:space="preserve">Everything named here was published by this package at some point on or before October 25, 2026 and is now withdrawn. </w:t>
      </w:r>
      <w:r>
        <w:rPr>
          <w:b/>
          <w:i/>
          <w:color w:val="444444"/>
          <w:sz w:val="20"/>
        </w:rPr>
        <w:t>Do not quote any of it</w:t>
      </w:r>
      <w:r>
        <w:rPr>
          <w:i/>
          <w:color w:val="444444"/>
          <w:sz w:val="20"/>
        </w:rPr>
        <w:t xml:space="preserve">, from any copy of any file, except to say that it was retracted. Reconciliation of </w:t>
      </w:r>
      <w:r>
        <w:rPr>
          <w:rFonts w:ascii="Consolas" w:hAnsi="Consolas"/>
          <w:i/>
          <w:color w:val="303030"/>
          <w:sz w:val="18"/>
        </w:rPr>
        <w:t>01</w:t>
      </w:r>
      <w:r>
        <w:rPr>
          <w:i/>
          <w:color w:val="444444"/>
          <w:sz w:val="20"/>
        </w:rPr>
        <w:t xml:space="preserve">, </w:t>
      </w:r>
      <w:r>
        <w:rPr>
          <w:rFonts w:ascii="Consolas" w:hAnsi="Consolas"/>
          <w:i/>
          <w:color w:val="303030"/>
          <w:sz w:val="18"/>
        </w:rPr>
        <w:t>03</w:t>
      </w:r>
      <w:r>
        <w:rPr>
          <w:i/>
          <w:color w:val="444444"/>
          <w:sz w:val="20"/>
        </w:rPr>
        <w:t xml:space="preserve"> and </w:t>
      </w:r>
      <w:r>
        <w:rPr>
          <w:rFonts w:ascii="Consolas" w:hAnsi="Consolas"/>
          <w:i/>
          <w:color w:val="303030"/>
          <w:sz w:val="18"/>
        </w:rPr>
        <w:t>04</w:t>
      </w:r>
      <w:r>
        <w:rPr>
          <w:i/>
          <w:color w:val="444444"/>
          <w:sz w:val="20"/>
        </w:rPr>
        <w:t xml:space="preserve"> onto the current band completed </w:t>
      </w:r>
      <w:r>
        <w:rPr>
          <w:b/>
          <w:i/>
          <w:color w:val="444444"/>
          <w:sz w:val="20"/>
        </w:rPr>
        <w:t>October 25, 2026</w:t>
      </w:r>
      <w:r>
        <w:rPr>
          <w:i/>
          <w:color w:val="444444"/>
          <w:sz w:val="20"/>
        </w:rPr>
        <w:t>, so there is no longer a file in the package that carries a superseded figure outside a note like this one.</w:t>
      </w:r>
    </w:p>
    <w:p>
      <w:pPr>
        <w:spacing w:before="120" w:after="120"/>
        <w:ind w:left="480"/>
      </w:pPr>
      <w:r>
        <w:rPr>
          <w:b/>
          <w:i/>
          <w:color w:val="444444"/>
          <w:sz w:val="20"/>
        </w:rPr>
        <w:t>Retracted cost ranges — three, in the order they were published.</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Range</w:t>
            </w:r>
          </w:p>
        </w:tc>
        <w:tc>
          <w:tcPr>
            <w:tcW w:type="dxa" w:w="4320"/>
          </w:tcPr>
          <w:p>
            <w:pPr>
              <w:spacing w:before="20" w:after="20"/>
              <w:jc w:val="left"/>
            </w:pPr>
            <w:r>
              <w:rPr>
                <w:b/>
                <w:sz w:val="17"/>
              </w:rPr>
              <w:t>Why it is wrong</w:t>
            </w:r>
          </w:p>
        </w:tc>
      </w:tr>
      <w:tr>
        <w:tc>
          <w:tcPr>
            <w:tcW w:type="dxa" w:w="4320"/>
          </w:tcPr>
          <w:p>
            <w:pPr>
              <w:spacing w:before="20" w:after="20"/>
              <w:jc w:val="left"/>
            </w:pPr>
            <w:r>
              <w:rPr>
                <w:sz w:val="17"/>
              </w:rPr>
              <w:t>"under $2 million one-time, under $100,000 per year"</w:t>
            </w:r>
          </w:p>
        </w:tc>
        <w:tc>
          <w:tcPr>
            <w:tcW w:type="dxa" w:w="4320"/>
          </w:tcPr>
          <w:p>
            <w:pPr>
              <w:spacing w:before="20" w:after="20"/>
              <w:jc w:val="left"/>
            </w:pPr>
            <w:r>
              <w:rPr>
                <w:sz w:val="17"/>
              </w:rPr>
              <w:t>Brief v1.0/v1.1 and Annex B v1.1. Built on state classified employees only (about 2,600 people) and on the price-discount channel only, leaving out retirement-date acceleration — which is 20%–49% of the cost. Annex B § 7.4 records exactly what was wrong with it, so the retraction can be defended rather than merely asserted</w:t>
            </w:r>
          </w:p>
        </w:tc>
      </w:tr>
      <w:tr>
        <w:tc>
          <w:tcPr>
            <w:tcW w:type="dxa" w:w="4320"/>
          </w:tcPr>
          <w:p>
            <w:pPr>
              <w:spacing w:before="20" w:after="20"/>
              <w:jc w:val="left"/>
            </w:pPr>
            <w:r>
              <w:rPr>
                <w:rFonts w:ascii="Consolas" w:hAnsi="Consolas"/>
                <w:color w:val="303030"/>
                <w:sz w:val="18"/>
              </w:rPr>
              <w:t>$13M–$182M</w:t>
            </w:r>
          </w:p>
        </w:tc>
        <w:tc>
          <w:tcPr>
            <w:tcW w:type="dxa" w:w="4320"/>
          </w:tcPr>
          <w:p>
            <w:pPr>
              <w:spacing w:before="20" w:after="20"/>
              <w:jc w:val="left"/>
            </w:pPr>
            <w:r>
              <w:rPr>
                <w:sz w:val="17"/>
              </w:rPr>
              <w:t xml:space="preserve">Took its </w:t>
            </w:r>
            <w:r>
              <w:rPr>
                <w:b/>
                <w:sz w:val="17"/>
              </w:rPr>
              <w:t>floor</w:t>
            </w:r>
            <w:r>
              <w:rPr>
                <w:sz w:val="17"/>
              </w:rPr>
              <w:t xml:space="preserve"> from the 5% take-up row, which belongs to the superseded v1.1 band of 5%–15%, and its </w:t>
            </w:r>
            <w:r>
              <w:rPr>
                <w:b/>
                <w:sz w:val="17"/>
              </w:rPr>
              <w:t>ceiling</w:t>
            </w:r>
            <w:r>
              <w:rPr>
                <w:sz w:val="17"/>
              </w:rPr>
              <w:t xml:space="preserve"> from the 30% row of the current scenario set — one range built from two assumption sets (red team </w:t>
            </w:r>
            <w:r>
              <w:rPr>
                <w:b/>
                <w:sz w:val="17"/>
              </w:rPr>
              <w:t>S-5</w:t>
            </w:r>
            <w:r>
              <w:rPr>
                <w:sz w:val="17"/>
              </w:rPr>
              <w:t>)</w:t>
            </w:r>
          </w:p>
        </w:tc>
      </w:tr>
      <w:tr>
        <w:tc>
          <w:tcPr>
            <w:tcW w:type="dxa" w:w="4320"/>
          </w:tcPr>
          <w:p>
            <w:pPr>
              <w:spacing w:before="20" w:after="20"/>
              <w:jc w:val="left"/>
            </w:pPr>
            <w:r>
              <w:rPr>
                <w:rFonts w:ascii="Consolas" w:hAnsi="Consolas"/>
                <w:color w:val="303030"/>
                <w:sz w:val="18"/>
              </w:rPr>
              <w:t>$26M–$182M</w:t>
            </w:r>
          </w:p>
        </w:tc>
        <w:tc>
          <w:tcPr>
            <w:tcW w:type="dxa" w:w="4320"/>
          </w:tcPr>
          <w:p>
            <w:pPr>
              <w:spacing w:before="20" w:after="20"/>
              <w:jc w:val="left"/>
            </w:pPr>
            <w:r>
              <w:rPr>
                <w:sz w:val="17"/>
              </w:rPr>
              <w:t xml:space="preserve">The interim figure carried in Annex B A-22 between the two corrections. It fixed the floor but still stood on an eligible pool whose two ends were paired with the opposite ends of the past-window population (red team </w:t>
            </w:r>
            <w:r>
              <w:rPr>
                <w:b/>
                <w:sz w:val="17"/>
              </w:rPr>
              <w:t>S-3</w:t>
            </w:r>
            <w:r>
              <w:rPr>
                <w:sz w:val="17"/>
              </w:rPr>
              <w:t>)</w:t>
            </w:r>
          </w:p>
        </w:tc>
      </w:tr>
    </w:tbl>
    <w:p>
      <w:pPr>
        <w:spacing w:before="0" w:after="0" w:line="80" w:lineRule="exact"/>
      </w:pPr>
      <w:r>
        <w:rPr>
          <w:sz w:val="8"/>
        </w:rPr>
      </w:r>
    </w:p>
    <w:p>
      <w:pPr>
        <w:spacing w:before="120" w:after="120"/>
        <w:ind w:left="480"/>
      </w:pPr>
      <w:r>
        <w:rPr>
          <w:b/>
          <w:i/>
          <w:color w:val="444444"/>
          <w:sz w:val="20"/>
        </w:rPr>
        <w:t xml:space="preserve">The current band is </w:t>
      </w:r>
      <w:r>
        <w:rPr>
          <w:rFonts w:ascii="Consolas" w:hAnsi="Consolas"/>
          <w:b/>
          <w:i/>
          <w:color w:val="303030"/>
          <w:sz w:val="18"/>
        </w:rPr>
        <w:t>$28M–$166M</w:t>
      </w:r>
      <w:r>
        <w:rPr>
          <w:i/>
          <w:color w:val="444444"/>
          <w:sz w:val="20"/>
        </w:rPr>
        <w:t xml:space="preserve"> — one-time present value of recommendation A-3, on the single reconciled eligible pool of </w:t>
      </w:r>
      <w:r>
        <w:rPr>
          <w:b/>
          <w:i/>
          <w:color w:val="444444"/>
          <w:sz w:val="20"/>
        </w:rPr>
        <w:t>11,565–24,036</w:t>
      </w:r>
      <w:r>
        <w:rPr>
          <w:i/>
          <w:color w:val="444444"/>
          <w:sz w:val="20"/>
        </w:rPr>
        <w:t xml:space="preserve"> and the current 10%–30% take-up set. That is </w:t>
      </w:r>
      <w:r>
        <w:rPr>
          <w:b/>
          <w:i/>
          <w:color w:val="444444"/>
          <w:sz w:val="20"/>
        </w:rPr>
        <w:t>0.11%–0.62% of VRS covered payroll</w:t>
      </w:r>
      <w:r>
        <w:rPr>
          <w:i/>
          <w:color w:val="444444"/>
          <w:sz w:val="20"/>
        </w:rPr>
        <w:t xml:space="preserve">, or about </w:t>
      </w:r>
      <w:r>
        <w:rPr>
          <w:b/>
          <w:i/>
          <w:color w:val="444444"/>
          <w:sz w:val="20"/>
        </w:rPr>
        <w:t>0.8 to 4.4 basis points</w:t>
      </w:r>
      <w:r>
        <w:rPr>
          <w:i/>
          <w:color w:val="444444"/>
          <w:sz w:val="20"/>
        </w:rPr>
        <w:t xml:space="preserve"> on employer contribution rates amortised over 20 years. The authority is the banner at the top of </w:t>
      </w:r>
      <w:hyperlink r:id="rId11">
        <w:r>
          <w:rPr>
            <w:rFonts w:ascii="Calibri" w:hAnsi="Calibri"/>
            <w:color w:val="1A4F8A"/>
            <w:u w:val="single"/>
            <w:sz w:val="20"/>
          </w:rPr>
          <w:t xml:space="preserve">00-ONE-PAGE-BRIEF.md</w:t>
        </w:r>
      </w:hyperlink>
      <w:r>
        <w:rPr>
          <w:i/>
          <w:color w:val="444444"/>
          <w:sz w:val="20"/>
        </w:rPr>
        <w:t xml:space="preserve"> v1.3; reproduce it with </w:t>
      </w:r>
      <w:r>
        <w:rPr>
          <w:rFonts w:ascii="Consolas" w:hAnsi="Consolas"/>
          <w:i/>
          <w:color w:val="303030"/>
          <w:sz w:val="18"/>
        </w:rPr>
        <w:t>models/fm_model.py</w:t>
      </w:r>
      <w:r>
        <w:rPr>
          <w:i/>
          <w:color w:val="444444"/>
          <w:sz w:val="20"/>
        </w:rPr>
        <w:t>, section 3.</w:t>
      </w:r>
    </w:p>
    <w:p>
      <w:pPr>
        <w:spacing w:before="120" w:after="120"/>
        <w:ind w:left="480"/>
      </w:pPr>
      <w:r>
        <w:rPr>
          <w:b/>
          <w:i/>
          <w:color w:val="444444"/>
          <w:sz w:val="20"/>
        </w:rPr>
        <w:t>Retracted derived figures.</w:t>
      </w:r>
      <w:r>
        <w:rPr>
          <w:i/>
          <w:color w:val="444444"/>
          <w:sz w:val="20"/>
        </w:rPr>
        <w:t xml:space="preserve"> The eligible pool </w:t>
      </w:r>
      <w:r>
        <w:rPr>
          <w:b/>
          <w:i/>
          <w:color w:val="444444"/>
          <w:sz w:val="20"/>
        </w:rPr>
        <w:t>10,561–26,321</w:t>
      </w:r>
      <w:r>
        <w:rPr>
          <w:i/>
          <w:color w:val="444444"/>
          <w:sz w:val="20"/>
        </w:rPr>
        <w:t xml:space="preserve"> and its by-plan legs 3,966 / 2,417 / 4,177 and 9,027 / 5,502 / 11,792 (S-3 — superseded by one pool of 11,565–24,036, which the by-plan and by-employer-group derivations now both produce). The residual after a lawful graded schedule of </w:t>
      </w:r>
      <w:r>
        <w:rPr>
          <w:b/>
          <w:i/>
          <w:color w:val="444444"/>
          <w:sz w:val="20"/>
        </w:rPr>
        <w:t>$20M–$48M</w:t>
      </w:r>
      <w:r>
        <w:rPr>
          <w:i/>
          <w:color w:val="444444"/>
          <w:sz w:val="20"/>
        </w:rPr>
        <w:t xml:space="preserve"> at 20% take-up (recomputed on the corrected pool as </w:t>
      </w:r>
      <w:r>
        <w:rPr>
          <w:b/>
          <w:i/>
          <w:color w:val="444444"/>
          <w:sz w:val="20"/>
        </w:rPr>
        <w:t>$22M–$44M</w:t>
      </w:r>
      <w:r>
        <w:rPr>
          <w:i/>
          <w:color w:val="444444"/>
          <w:sz w:val="20"/>
        </w:rPr>
        <w:t>; the recovery band of 0%–96%, and its 59%–66% class mean, are pool-independent and did not move). "About 5 cents out of every $100 of payroll", and "about 3,400 in the state classified workforce".</w:t>
      </w:r>
    </w:p>
    <w:p>
      <w:pPr>
        <w:spacing w:before="120" w:after="120"/>
        <w:ind w:left="480"/>
      </w:pPr>
      <w:r>
        <w:rPr>
          <w:b/>
          <w:i/>
          <w:color w:val="444444"/>
          <w:sz w:val="20"/>
        </w:rPr>
        <w:t>Retracted claims, which matter more than the figures because they do not look like errors.</w:t>
      </w:r>
    </w:p>
    <w:p>
      <w:pPr>
        <w:pStyle w:val="ListBullet"/>
        <w:ind w:left="840"/>
      </w:pPr>
      <w:r>
        <w:rPr>
          <w:b/>
        </w:rPr>
        <w:t>"General fund cost: $0."</w:t>
      </w:r>
      <w:r>
        <w:t xml:space="preserve"> Rated </w:t>
      </w:r>
      <w:r>
        <w:rPr>
          <w:b/>
        </w:rPr>
        <w:t>fatal</w:t>
      </w:r>
      <w:r>
        <w:t xml:space="preserve"> at red team F-2 and refuted by this</w:t>
      </w:r>
    </w:p>
    <w:p>
      <w:pPr>
        <w:spacing w:before="120" w:after="120"/>
        <w:ind w:left="480"/>
      </w:pPr>
      <w:r>
        <w:rPr>
          <w:i/>
          <w:color w:val="444444"/>
          <w:sz w:val="20"/>
        </w:rPr>
        <w:t xml:space="preserve">package's own who-bears table, which books the state share as general fund </w:t>
      </w:r>
      <w:r>
        <w:rPr>
          <w:i/>
          <w:color w:val="444444"/>
          <w:sz w:val="20"/>
        </w:rPr>
        <w:t>and</w:t>
      </w:r>
      <w:r>
        <w:rPr>
          <w:i/>
          <w:color w:val="444444"/>
          <w:sz w:val="20"/>
        </w:rPr>
        <w:t xml:space="preserve"> nongeneral fund. The defensible form is </w:t>
      </w:r>
      <w:r>
        <w:rPr>
          <w:b/>
          <w:i/>
          <w:color w:val="444444"/>
          <w:sz w:val="20"/>
        </w:rPr>
        <w:t>"this bill requests no appropriation"</w:t>
      </w:r>
      <w:r>
        <w:rPr>
          <w:i/>
          <w:color w:val="444444"/>
          <w:sz w:val="20"/>
        </w:rPr>
        <w:t xml:space="preserve"> — the cost is absorbed in the employer contribution rates the VRS Board certifies under § 51.1-145, and those reach the general fund in a later biennium for state agencies and for the Commonwealth's share of teacher rates. Fixed in 00 v1.3 and 01 v1.3. VRS's own HB 1867 statement is evidence </w:t>
      </w:r>
      <w:r>
        <w:rPr>
          <w:i/>
          <w:color w:val="444444"/>
          <w:sz w:val="20"/>
        </w:rPr>
        <w:t>for</w:t>
      </w:r>
      <w:r>
        <w:rPr>
          <w:i/>
          <w:color w:val="444444"/>
          <w:sz w:val="20"/>
        </w:rPr>
        <w:t xml:space="preserve"> F-2, not against it: it says "no </w:t>
      </w:r>
      <w:r>
        <w:rPr>
          <w:b/>
          <w:i/>
          <w:color w:val="444444"/>
          <w:sz w:val="20"/>
        </w:rPr>
        <w:t>immediate</w:t>
      </w:r>
      <w:r>
        <w:rPr>
          <w:i/>
          <w:color w:val="444444"/>
          <w:sz w:val="20"/>
        </w:rPr>
        <w:t xml:space="preserve"> impact" and, beside that, that contribution rates may move over time (Annex B F-61).</w:t>
      </w:r>
    </w:p>
    <w:p>
      <w:pPr>
        <w:pStyle w:val="ListBullet"/>
        <w:ind w:left="840"/>
      </w:pPr>
      <w:r>
        <w:rPr>
          <w:b/>
        </w:rPr>
        <w:t>"At 100% recovery the bill is actuarially neutral and the fiscal note is zero."</w:t>
      </w:r>
    </w:p>
    <w:p>
      <w:pPr>
        <w:spacing w:before="120" w:after="120"/>
        <w:ind w:left="480"/>
      </w:pPr>
      <w:r>
        <w:rPr>
          <w:i/>
          <w:color w:val="444444"/>
          <w:sz w:val="20"/>
        </w:rPr>
        <w:t xml:space="preserve">Withdrawn at red team </w:t>
      </w:r>
      <w:r>
        <w:rPr>
          <w:b/>
          <w:i/>
          <w:color w:val="444444"/>
          <w:sz w:val="20"/>
        </w:rPr>
        <w:t>F-1</w:t>
      </w:r>
      <w:r>
        <w:rPr>
          <w:i/>
          <w:color w:val="444444"/>
          <w:sz w:val="20"/>
        </w:rPr>
        <w:t xml:space="preserve">. That arithmetic prices each member individually, which the uniformity-within-classification requirement and the </w:t>
      </w:r>
      <w:r>
        <w:rPr>
          <w:b/>
          <w:i/>
          <w:color w:val="444444"/>
          <w:sz w:val="20"/>
        </w:rPr>
        <w:t>individual</w:t>
      </w:r>
      <w:r>
        <w:rPr>
          <w:i/>
          <w:color w:val="444444"/>
          <w:sz w:val="20"/>
        </w:rPr>
        <w:t xml:space="preserve"> actuarial-equivalent-cost ceiling in Annex A § 2.2 together forbid. The guardrail is a </w:t>
      </w:r>
      <w:r>
        <w:rPr>
          <w:b/>
          <w:i/>
          <w:color w:val="444444"/>
          <w:sz w:val="20"/>
        </w:rPr>
        <w:t>mitigation</w:t>
      </w:r>
      <w:r>
        <w:rPr>
          <w:i/>
          <w:color w:val="444444"/>
          <w:sz w:val="20"/>
        </w:rPr>
        <w:t>, not a neutrality device (Annex 2 Closure § 4.8.1).</w:t>
      </w:r>
    </w:p>
    <w:p>
      <w:pPr>
        <w:pStyle w:val="ListBullet"/>
        <w:ind w:left="840"/>
      </w:pPr>
      <w:r>
        <w:rPr>
          <w:b/>
        </w:rPr>
        <w:t>"This bill costs the Fund less per member than the one VRS already scored."</w:t>
      </w:r>
    </w:p>
    <w:p>
      <w:pPr>
        <w:spacing w:before="120" w:after="120"/>
        <w:ind w:left="480"/>
      </w:pPr>
      <w:r>
        <w:rPr>
          <w:i/>
          <w:color w:val="444444"/>
          <w:sz w:val="20"/>
        </w:rPr>
        <w:t xml:space="preserve">Withdrawn at red team </w:t>
      </w:r>
      <w:r>
        <w:rPr>
          <w:b/>
          <w:i/>
          <w:color w:val="444444"/>
          <w:sz w:val="20"/>
        </w:rPr>
        <w:t>S-1</w:t>
      </w:r>
      <w:r>
        <w:rPr>
          <w:i/>
          <w:color w:val="444444"/>
          <w:sz w:val="20"/>
        </w:rPr>
        <w:t>: it set a 2.5-year paid purchase against a 4-year free grant. HB 1867 is now cited only for what it is — evidence that VRS will file a number of its own.</w:t>
      </w:r>
    </w:p>
    <w:p>
      <w:pPr>
        <w:pStyle w:val="ListBullet"/>
        <w:ind w:left="840"/>
      </w:pPr>
      <w:r>
        <w:rPr>
          <w:b/>
        </w:rPr>
        <w:t>"Below about age 47–48 a veteran pays more than the credit is actuarially worth."</w:t>
      </w:r>
    </w:p>
    <w:p>
      <w:pPr>
        <w:spacing w:before="120" w:after="120"/>
        <w:ind w:left="480"/>
      </w:pPr>
      <w:r>
        <w:rPr>
          <w:i/>
          <w:color w:val="444444"/>
          <w:sz w:val="20"/>
        </w:rPr>
        <w:t xml:space="preserve">Withdrawn at red team </w:t>
      </w:r>
      <w:r>
        <w:rPr>
          <w:b/>
          <w:i/>
          <w:color w:val="444444"/>
          <w:sz w:val="20"/>
        </w:rPr>
        <w:t>S-2</w:t>
      </w:r>
      <w:r>
        <w:rPr>
          <w:i/>
          <w:color w:val="444444"/>
          <w:sz w:val="20"/>
        </w:rPr>
        <w:t xml:space="preserve"> wherever it appears </w:t>
      </w:r>
      <w:r>
        <w:rPr>
          <w:b/>
          <w:i/>
          <w:color w:val="444444"/>
          <w:sz w:val="20"/>
        </w:rPr>
        <w:t>unqualified</w:t>
      </w:r>
      <w:r>
        <w:rPr>
          <w:i/>
          <w:color w:val="444444"/>
          <w:sz w:val="20"/>
        </w:rPr>
        <w:t xml:space="preserve">. It is true of the benefit-amount channel alone; on the full basis the bill is priced on, there is no such age. It survives in </w:t>
      </w:r>
      <w:r>
        <w:rPr>
          <w:rFonts w:ascii="Consolas" w:hAnsi="Consolas"/>
          <w:i/>
          <w:color w:val="303030"/>
          <w:sz w:val="18"/>
        </w:rPr>
        <w:t>01</w:t>
      </w:r>
      <w:r>
        <w:rPr>
          <w:i/>
          <w:color w:val="444444"/>
          <w:sz w:val="20"/>
        </w:rPr>
        <w:t xml:space="preserve"> only with that qualifier attached.</w:t>
      </w:r>
    </w:p>
    <w:p>
      <w:pPr>
        <w:pStyle w:val="ListBullet"/>
        <w:ind w:left="840"/>
      </w:pPr>
      <w:r>
        <w:rPr>
          <w:b/>
        </w:rPr>
        <w:t>"Every veteran in VRS."</w:t>
      </w:r>
      <w:r>
        <w:t xml:space="preserve"> Withdrawn at red team </w:t>
      </w:r>
      <w:r>
        <w:rPr>
          <w:b/>
        </w:rPr>
        <w:t>S-4</w:t>
      </w:r>
      <w:r>
        <w:t>: § 51.1-142.2 B 3 bars a</w:t>
      </w:r>
    </w:p>
    <w:p>
      <w:pPr>
        <w:spacing w:before="120" w:after="120"/>
        <w:ind w:left="480"/>
      </w:pPr>
      <w:r>
        <w:rPr>
          <w:i/>
          <w:color w:val="444444"/>
          <w:sz w:val="20"/>
        </w:rPr>
        <w:t>veteran whose service already counts toward a military retirement they draw, which is why the population estimate is labelled a ceiling.</w:t>
      </w:r>
    </w:p>
    <w:p>
      <w:pPr>
        <w:pStyle w:val="ListBullet"/>
        <w:ind w:left="840"/>
      </w:pPr>
      <w:r>
        <w:rPr>
          <w:b/>
        </w:rPr>
        <w:t>"It stays the same tiny share of payroll."</w:t>
      </w:r>
      <w:r>
        <w:t xml:space="preserve"> The payroll share rises with the</w:t>
      </w:r>
    </w:p>
    <w:p>
      <w:pPr>
        <w:spacing w:before="120" w:after="120"/>
        <w:ind w:left="480"/>
      </w:pPr>
      <w:r>
        <w:rPr>
          <w:i/>
          <w:color w:val="444444"/>
          <w:sz w:val="20"/>
        </w:rPr>
        <w:t>re-scope, because the eligible pool grew by more than the denominator did.</w:t>
      </w:r>
    </w:p>
    <w:p>
      <w:pPr>
        <w:spacing w:before="120" w:after="120"/>
        <w:ind w:left="480"/>
      </w:pPr>
      <w:r>
        <w:rPr>
          <w:b/>
          <w:i/>
          <w:color w:val="444444"/>
          <w:sz w:val="20"/>
        </w:rPr>
        <w:t>Annex B states no total-cost figure by design</w:t>
      </w:r>
      <w:r>
        <w:rPr>
          <w:i/>
          <w:color w:val="444444"/>
          <w:sz w:val="20"/>
        </w:rPr>
        <w:t>, and records at its § 7.4 why the original one was wrong. Annex 2 Closure holds every derived and estimated figure.</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The general fund ask leads as the headline claim; the range is stated in our own words with take-up named as the swing factor and the data request attached; the HB 1867 cross-check closes rather than opens.</w:t>
      </w:r>
    </w:p>
    <w:p>
      <w:pPr>
        <w:spacing w:before="120" w:after="120"/>
        <w:ind w:left="480"/>
      </w:pPr>
      <w:r>
        <w:rPr>
          <w:b/>
          <w:i/>
          <w:color w:val="444444"/>
          <w:sz w:val="20"/>
        </w:rPr>
        <w:t>Option C stands as a framing decision and is not reopened here.</w:t>
      </w:r>
      <w:r>
        <w:rPr>
          <w:i/>
          <w:color w:val="444444"/>
          <w:sz w:val="20"/>
        </w:rPr>
        <w:t xml:space="preserve"> But it was decided before the red team verdict was recorded, and two of the numbers it was expressed in have since changed. </w:t>
      </w:r>
      <w:r>
        <w:rPr>
          <w:b/>
          <w:i/>
          <w:color w:val="444444"/>
          <w:sz w:val="20"/>
        </w:rPr>
        <w:t>Both changes are now carried in v1.3:</w:t>
      </w:r>
      <w:r>
        <w:rPr>
          <w:i/>
          <w:color w:val="444444"/>
          <w:sz w:val="20"/>
        </w:rPr>
        <w:t xml:space="preserve"> the headline reads "this bill requests no appropriation" rather than "general fund cost: $0" (F-2), and the range is </w:t>
      </w:r>
      <w:r>
        <w:rPr>
          <w:b/>
          <w:i/>
          <w:color w:val="444444"/>
          <w:sz w:val="20"/>
        </w:rPr>
        <w:t>$28M–$166M</w:t>
      </w:r>
      <w:r>
        <w:rPr>
          <w:i/>
          <w:color w:val="444444"/>
          <w:sz w:val="20"/>
        </w:rPr>
        <w:t xml:space="preserve"> rather than $13M–$182M (S-3 and S-5). Option C's framing is intact under the restated numbers — the general-fund position still leads, the range is still in our own words, take-up is still named as the swing factor, and HB 1867 still closes. The one-pager remains on hold for the Policy Director's clearance only.</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0-ONE-PAGE-BRIEF.pdf" TargetMode="External"/><Relationship Id="rId11" Type="http://schemas.openxmlformats.org/officeDocument/2006/relationships/hyperlink" Target="00-ONE-PAGE-BRIEF.md" TargetMode="External"/><Relationship Id="rId12" Type="http://schemas.openxmlformats.org/officeDocument/2006/relationships/hyperlink" Target="00-ONE-PAGE-BRIEF.html" TargetMode="External"/><Relationship Id="rId13" Type="http://schemas.openxmlformats.org/officeDocument/2006/relationships/hyperlink" Target="01-JLC-Legislative-Change-Brief.md" TargetMode="External"/><Relationship Id="rId14" Type="http://schemas.openxmlformats.org/officeDocument/2006/relationships/hyperlink" Target="02-Annex-A-Legal-Analysis-and-Draft-Bill.md" TargetMode="External"/><Relationship Id="rId15" Type="http://schemas.openxmlformats.org/officeDocument/2006/relationships/hyperlink" Target="03-Annex-B-Fiscal-Assumptions-and-Sources.md" TargetMode="External"/><Relationship Id="rId16" Type="http://schemas.openxmlformats.org/officeDocument/2006/relationships/hyperlink" Target="04-Annex-2-Closure-FM1-FM5.md" TargetMode="External"/><Relationship Id="rId17" Type="http://schemas.openxmlformats.org/officeDocument/2006/relationships/hyperlink" Target="06-Annex-C-Stakeholder-Analysis.md" TargetMode="External"/><Relationship Id="rId18" Type="http://schemas.openxmlformats.org/officeDocument/2006/relationships/hyperlink" Target="07-Annex-D-JLC-Sponsor-and-December-Submission.md" TargetMode="External"/><Relationship Id="rId19" Type="http://schemas.openxmlformats.org/officeDocument/2006/relationships/hyperlink" Target="models/fm_model.py" TargetMode="External"/><Relationship Id="rId20" Type="http://schemas.openxmlformats.org/officeDocument/2006/relationships/hyperlink" Target="00-ONE-PAGE-BRIEF.docx" TargetMode="External"/><Relationship Id="rId21" Type="http://schemas.openxmlformats.org/officeDocument/2006/relationships/hyperlink" Target="../../tools/README.md" TargetMode="External"/><Relationship Id="rId22" Type="http://schemas.openxmlformats.org/officeDocument/2006/relationships/hyperlink" Target="05-Red-Team-Review.md" TargetMode="External"/><Relationship Id="rId23" Type="http://schemas.openxmlformats.org/officeDocument/2006/relationships/hyperlink" Target="05-Red-Team-and-Counsel-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