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Annex C — Stakeholder and Political Analysis</w:t>
      </w:r>
    </w:p>
    <w:p>
      <w:r>
        <w:rPr>
          <w:b/>
        </w:rPr>
        <w:t>Version 1.3 — 2026-10-25</w:t>
      </w:r>
      <w:r>
        <w:t xml:space="preserve"> </w:t>
      </w:r>
      <w:r>
        <w:rPr>
          <w:b/>
        </w:rPr>
        <w:t>Prepared by:</w:t>
      </w:r>
      <w:r>
        <w:t xml:space="preserve"> Stakeholder Analyst, Virginia Policy Lab </w:t>
      </w:r>
      <w:r>
        <w:rPr>
          <w:b/>
        </w:rPr>
        <w:t>Issue:</w:t>
      </w:r>
      <w:r>
        <w:t xml:space="preserve"> MOO-290 (parent MOO-287); sequencing decision at MOO-302 </w:t>
      </w:r>
      <w:r>
        <w:rPr>
          <w:b/>
        </w:rPr>
        <w:t>Status:</w:t>
      </w:r>
      <w:r>
        <w:t xml:space="preserve"> Pre-decisional and internal. Not for distribution outside Paperclip until Policy Director releases it.</w:t>
      </w:r>
    </w:p>
    <w:p>
      <w:pPr>
        <w:pStyle w:val="Heading3"/>
        <w:ind w:left="480"/>
      </w:pPr>
      <w:r>
        <w:t>The sequencing decision has been taken — read this before § 4, § 8 or § 11</w:t>
      </w:r>
    </w:p>
    <w:p>
      <w:pPr>
        <w:spacing w:before="120" w:after="120"/>
        <w:ind w:left="480"/>
      </w:pPr>
      <w:r>
        <w:rPr>
          <w:i/>
          <w:color w:val="444444"/>
          <w:sz w:val="20"/>
        </w:rPr>
        <w:t xml:space="preserve">On </w:t>
      </w:r>
      <w:r>
        <w:rPr>
          <w:b/>
          <w:i/>
          <w:color w:val="444444"/>
          <w:sz w:val="20"/>
        </w:rPr>
        <w:t>2026-10-25</w:t>
      </w:r>
      <w:r>
        <w:rPr>
          <w:i/>
          <w:color w:val="444444"/>
          <w:sz w:val="20"/>
        </w:rPr>
        <w:t xml:space="preserve"> the board chose the </w:t>
      </w:r>
      <w:r>
        <w:rPr>
          <w:b/>
          <w:i/>
          <w:color w:val="444444"/>
          <w:sz w:val="20"/>
        </w:rPr>
        <w:t>2028 cycle</w:t>
      </w:r>
      <w:r>
        <w:rPr>
          <w:i/>
          <w:color w:val="444444"/>
          <w:sz w:val="20"/>
        </w:rPr>
        <w:t xml:space="preserve"> over the 2027 slate, and authorised approaching the </w:t>
      </w:r>
      <w:r>
        <w:rPr>
          <w:b/>
          <w:i/>
          <w:color w:val="444444"/>
          <w:sz w:val="20"/>
        </w:rPr>
        <w:t>Veterans of Foreign Wars, Department of Virginia</w:t>
      </w:r>
      <w:r>
        <w:rPr>
          <w:i/>
          <w:color w:val="444444"/>
          <w:sz w:val="20"/>
        </w:rPr>
        <w:t xml:space="preserve"> as sponsoring member organisation. </w:t>
      </w:r>
      <w:r>
        <w:rPr>
          <w:b/>
          <w:i/>
          <w:color w:val="444444"/>
          <w:sz w:val="20"/>
        </w:rPr>
        <w:t>The 2026-12-17 JLC meeting is no longer a gate.</w:t>
      </w:r>
    </w:p>
    <w:p>
      <w:pPr>
        <w:spacing w:before="120" w:after="120"/>
        <w:ind w:left="480"/>
      </w:pPr>
      <w:r>
        <w:rPr>
          <w:i/>
          <w:color w:val="444444"/>
          <w:sz w:val="20"/>
        </w:rPr>
        <w:t>Three consequences for this annex, which is otherwise unchanged:</w:t>
      </w:r>
    </w:p>
    <w:p>
      <w:pPr>
        <w:spacing w:after="60"/>
        <w:ind w:left="912" w:hanging="432"/>
      </w:pPr>
      <w:r>
        <w:rPr>
          <w:b/>
        </w:rPr>
        <w:t>1.</w:t>
        <w:tab/>
      </w:r>
      <w:r>
        <w:rPr>
          <w:b/>
        </w:rPr>
        <w:t>§ 4.3's short-session analysis now cuts the other way.</w:t>
      </w:r>
      <w:r>
        <w:t xml:space="preserve"> It argued that a 30-day</w:t>
      </w:r>
    </w:p>
    <w:p>
      <w:pPr>
        <w:spacing w:before="120" w:after="120"/>
        <w:ind w:left="480"/>
      </w:pPr>
      <w:r>
        <w:rPr>
          <w:i/>
          <w:color w:val="444444"/>
          <w:sz w:val="20"/>
        </w:rPr>
        <w:t xml:space="preserve">(conventionally 45-day) session makes the tabling motion cheap. </w:t>
      </w:r>
      <w:r>
        <w:rPr>
          <w:b/>
          <w:i/>
          <w:color w:val="444444"/>
          <w:sz w:val="20"/>
        </w:rPr>
        <w:t>2028 is the long session — 60 days under Art. IV, § 6</w:t>
      </w:r>
      <w:r>
        <w:rPr>
          <w:i/>
          <w:color w:val="444444"/>
          <w:sz w:val="20"/>
        </w:rPr>
        <w:t xml:space="preserve"> — so that pressure is reduced, not removed. The venue and subcommittee analysis is unaffected.</w:t>
      </w:r>
    </w:p>
    <w:p>
      <w:pPr>
        <w:spacing w:after="60"/>
        <w:ind w:left="912" w:hanging="432"/>
      </w:pPr>
      <w:r>
        <w:rPr>
          <w:b/>
        </w:rPr>
        <w:t>2.</w:t>
        <w:tab/>
      </w:r>
      <w:r>
        <w:rPr>
          <w:b/>
        </w:rPr>
        <w:t>§ 8's patron recommendation now runs to December 2027, not December 2026.</w:t>
      </w:r>
    </w:p>
    <w:p>
      <w:pPr>
        <w:spacing w:before="120" w:after="120"/>
        <w:ind w:left="480"/>
      </w:pPr>
      <w:r>
        <w:rPr>
          <w:b/>
          <w:i/>
          <w:color w:val="444444"/>
          <w:sz w:val="20"/>
        </w:rPr>
        <w:t>U-2</w:t>
      </w:r>
      <w:r>
        <w:rPr>
          <w:i/>
          <w:color w:val="444444"/>
          <w:sz w:val="20"/>
        </w:rPr>
        <w:t xml:space="preserve"> (the GAMVC roster and the Reeves co-chair claim, Low–Medium on a 2018-era source) must be resolved before it is acted on. There is now time to.</w:t>
      </w:r>
    </w:p>
    <w:p>
      <w:pPr>
        <w:spacing w:after="60"/>
        <w:ind w:left="912" w:hanging="432"/>
      </w:pPr>
      <w:r>
        <w:rPr>
          <w:b/>
        </w:rPr>
        <w:t>3.</w:t>
        <w:tab/>
      </w:r>
      <w:r>
        <w:rPr>
          <w:b/>
        </w:rPr>
        <w:t>§ 11's Policy Director handoff is superseded</w:t>
      </w:r>
      <w:r>
        <w:t xml:space="preserve"> as to sequencing. The live</w:t>
      </w:r>
    </w:p>
    <w:p>
      <w:pPr>
        <w:spacing w:before="120" w:after="120"/>
        <w:ind w:left="480"/>
      </w:pPr>
      <w:r>
        <w:rPr>
          <w:i/>
          <w:color w:val="444444"/>
          <w:sz w:val="20"/>
        </w:rPr>
        <w:t xml:space="preserve">calendar, the sponsor dossier and the operative gate — the VFW Winter Council of Administration on </w:t>
      </w:r>
      <w:r>
        <w:rPr>
          <w:b/>
          <w:i/>
          <w:color w:val="444444"/>
          <w:sz w:val="20"/>
        </w:rPr>
        <w:t>2027-01-13</w:t>
      </w:r>
      <w:r>
        <w:rPr>
          <w:i/>
          <w:color w:val="444444"/>
          <w:sz w:val="20"/>
        </w:rPr>
        <w:t xml:space="preserve">, not the June 2027 JLC deadline — are in </w:t>
      </w:r>
      <w:hyperlink r:id="rId10">
        <w:r>
          <w:rPr>
            <w:rFonts w:ascii="Calibri" w:hAnsi="Calibri"/>
            <w:color w:val="1A4F8A"/>
            <w:u w:val="single"/>
            <w:sz w:val="20"/>
            <w:b/>
          </w:rPr>
          <w:t xml:space="preserve">Annex D v2.0</w:t>
        </w:r>
      </w:hyperlink>
      <w:r>
        <w:rPr>
          <w:i/>
          <w:color w:val="444444"/>
          <w:sz w:val="20"/>
        </w:rPr>
        <w:t>.</w:t>
      </w:r>
    </w:p>
    <w:p>
      <w:pPr>
        <w:spacing w:before="120" w:after="120"/>
        <w:ind w:left="480"/>
      </w:pPr>
      <w:r>
        <w:rPr>
          <w:b/>
          <w:i/>
          <w:color w:val="444444"/>
          <w:sz w:val="20"/>
        </w:rPr>
        <w:t>VACo's 2026-11-10 adoption (U-3) is still live and now matters for longer</w:t>
      </w:r>
      <w:r>
        <w:rPr>
          <w:i/>
          <w:color w:val="444444"/>
          <w:sz w:val="20"/>
        </w:rPr>
        <w:t>, because VACo adopts a program every year between now and the 2028 session.</w:t>
      </w:r>
    </w:p>
    <w:p>
      <w:pPr>
        <w:spacing w:before="120" w:after="120"/>
        <w:ind w:left="480"/>
      </w:pPr>
      <w:r>
        <w:rPr>
          <w:b/>
          <w:i/>
          <w:color w:val="444444"/>
          <w:sz w:val="20"/>
        </w:rPr>
        <w:t>Method and limits.</w:t>
      </w:r>
      <w:r>
        <w:rPr>
          <w:i/>
          <w:color w:val="444444"/>
          <w:sz w:val="20"/>
        </w:rPr>
        <w:t xml:space="preserve"> This annex is desk research on the public record only. No stakeholder, legislator, staffer, or association was contacted, and none will be. Every position below is labelled </w:t>
      </w:r>
      <w:r>
        <w:rPr>
          <w:b/>
          <w:i/>
          <w:color w:val="444444"/>
          <w:sz w:val="20"/>
        </w:rPr>
        <w:t>documented</w:t>
      </w:r>
      <w:r>
        <w:rPr>
          <w:i/>
          <w:color w:val="444444"/>
          <w:sz w:val="20"/>
        </w:rPr>
        <w:t xml:space="preserve"> (the actor has taken a public position on this or a closely adjacent question), </w:t>
      </w:r>
      <w:r>
        <w:rPr>
          <w:b/>
          <w:i/>
          <w:color w:val="444444"/>
          <w:sz w:val="20"/>
        </w:rPr>
        <w:t>inferred — pattern</w:t>
      </w:r>
      <w:r>
        <w:rPr>
          <w:i/>
          <w:color w:val="444444"/>
          <w:sz w:val="20"/>
        </w:rPr>
        <w:t xml:space="preserve"> (a consistent public record on analogous questions), or </w:t>
      </w:r>
      <w:r>
        <w:rPr>
          <w:b/>
          <w:i/>
          <w:color w:val="444444"/>
          <w:sz w:val="20"/>
        </w:rPr>
        <w:t>inferred — interest</w:t>
      </w:r>
      <w:r>
        <w:rPr>
          <w:i/>
          <w:color w:val="444444"/>
          <w:sz w:val="20"/>
        </w:rPr>
        <w:t xml:space="preserve"> (reasoning from who bears the cost, with no public record found). Confidence labels are </w:t>
      </w:r>
      <w:r>
        <w:rPr>
          <w:b/>
          <w:i/>
          <w:color w:val="444444"/>
          <w:sz w:val="20"/>
        </w:rPr>
        <w:t>High / Medium / Low</w:t>
      </w:r>
      <w:r>
        <w:rPr>
          <w:i/>
          <w:color w:val="444444"/>
          <w:sz w:val="20"/>
        </w:rPr>
        <w:t xml:space="preserve"> and mean exactly that distinction. Retrieval dates are given for every source in § 10.</w:t>
      </w:r>
    </w:p>
    <w:p>
      <w:pPr>
        <w:spacing w:before="120" w:after="120"/>
        <w:ind w:left="480"/>
      </w:pPr>
      <w:r>
        <w:rPr>
          <w:i/>
          <w:color w:val="444444"/>
          <w:sz w:val="20"/>
        </w:rPr>
        <w:t xml:space="preserve">Cost figures are the Fiscal &amp; Impact Modeler's (Annex 2 Closure). Where a stakeholder makes a cost claim, it is reported as </w:t>
      </w:r>
      <w:r>
        <w:rPr>
          <w:i/>
          <w:color w:val="444444"/>
          <w:sz w:val="20"/>
        </w:rPr>
        <w:t>their claim</w:t>
      </w:r>
      <w:r>
        <w:rPr>
          <w:i/>
          <w:color w:val="444444"/>
          <w:sz w:val="20"/>
        </w:rPr>
        <w:t xml:space="preserve"> and flagged. Legal risk belongs to Red Team / Counsel Reviewer. Bill text belongs to the Drafting Specialist.</w:t>
      </w:r>
    </w:p>
    <w:p>
      <w:pPr>
        <w:spacing w:before="120" w:after="120"/>
        <w:ind w:left="480"/>
      </w:pPr>
      <w:r>
        <w:rPr>
          <w:b/>
          <w:i/>
          <w:color w:val="444444"/>
          <w:sz w:val="20"/>
        </w:rPr>
        <w:t>Reconciled against the Red Team Review (05, 2026-10-25).</w:t>
      </w:r>
      <w:r>
        <w:rPr>
          <w:i/>
          <w:color w:val="444444"/>
          <w:sz w:val="20"/>
        </w:rPr>
        <w:t xml:space="preserve"> That review landed while this annex was being written, and two of its findings bear directly on the political analysis, so this annex adopts them rather than working around them: </w:t>
      </w:r>
      <w:r>
        <w:rPr>
          <w:b/>
          <w:i/>
          <w:color w:val="444444"/>
          <w:sz w:val="20"/>
        </w:rPr>
        <w:t>F-1</w:t>
      </w:r>
      <w:r>
        <w:rPr>
          <w:i/>
          <w:color w:val="444444"/>
          <w:sz w:val="20"/>
        </w:rPr>
        <w:t xml:space="preserve"> (the 100%-recovery guardrail cannot be built from the authority Annex A § 2.2 grants) changes what we can say to the money committees about cost control — see § 5, which now proposes a statutory recovery floor on the Ohio model instead. </w:t>
      </w:r>
      <w:r>
        <w:rPr>
          <w:b/>
          <w:i/>
          <w:color w:val="444444"/>
          <w:sz w:val="20"/>
        </w:rPr>
        <w:t>F-2</w:t>
      </w:r>
      <w:r>
        <w:rPr>
          <w:i/>
          <w:color w:val="444444"/>
          <w:sz w:val="20"/>
        </w:rPr>
        <w:t xml:space="preserve"> ("General fund cost: $0" is contradicted by the package's own who-bears table) changes the headline claim and raises the stakes on the Commission on Local Government — see § 2 and § 3.3. Neither finding weakens the political case; both narrow the claims it can be built from.</w:t>
      </w:r>
    </w:p>
    <w:p>
      <w:pPr>
        <w:pStyle w:val="Heading3"/>
        <w:ind w:left="480"/>
      </w:pPr>
      <w:r>
        <w:t>What changed in v1.2 (2026-10-25)</w:t>
      </w:r>
    </w:p>
    <w:p>
      <w:pPr>
        <w:spacing w:before="120" w:after="120"/>
        <w:ind w:left="480"/>
      </w:pPr>
      <w:r>
        <w:rPr>
          <w:b/>
          <w:i/>
          <w:color w:val="444444"/>
          <w:sz w:val="20"/>
        </w:rPr>
        <w:t>Three corrections, none of which changes a political read.</w:t>
      </w:r>
    </w:p>
    <w:p>
      <w:pPr>
        <w:spacing w:after="60"/>
        <w:ind w:left="912" w:hanging="432"/>
      </w:pPr>
      <w:r>
        <w:rPr>
          <w:b/>
        </w:rPr>
        <w:t>1.</w:t>
        <w:tab/>
      </w:r>
      <w:r>
        <w:rPr>
          <w:b/>
        </w:rPr>
        <w:t>Every cost figure in this annex is now a pointer, not a restatement.</w:t>
      </w:r>
      <w:r>
        <w:t xml:space="preserve"> v1.1</w:t>
      </w:r>
    </w:p>
    <w:p>
      <w:pPr>
        <w:spacing w:before="120" w:after="120"/>
        <w:ind w:left="480"/>
      </w:pPr>
      <w:r>
        <w:rPr>
          <w:i/>
          <w:color w:val="444444"/>
          <w:sz w:val="20"/>
        </w:rPr>
        <w:t xml:space="preserve">carried </w:t>
      </w:r>
      <w:r>
        <w:rPr>
          <w:b/>
          <w:i/>
          <w:color w:val="444444"/>
          <w:sz w:val="20"/>
        </w:rPr>
        <w:t>"$13M–$182M"</w:t>
      </w:r>
      <w:r>
        <w:rPr>
          <w:i/>
          <w:color w:val="444444"/>
          <w:sz w:val="20"/>
        </w:rPr>
        <w:t xml:space="preserve"> in four places. That band is </w:t>
      </w:r>
      <w:r>
        <w:rPr>
          <w:b/>
          <w:i/>
          <w:color w:val="444444"/>
          <w:sz w:val="20"/>
        </w:rPr>
        <w:t>retracted package-wide</w:t>
      </w:r>
      <w:r>
        <w:rPr>
          <w:i/>
          <w:color w:val="444444"/>
          <w:sz w:val="20"/>
        </w:rPr>
        <w:t xml:space="preserve"> (red team S-3 and S-5; see the lead attorney's banner in the brief README). The current authority is </w:t>
      </w:r>
      <w:r>
        <w:rPr>
          <w:rFonts w:ascii="Consolas" w:hAnsi="Consolas"/>
          <w:b/>
          <w:i/>
          <w:color w:val="303030"/>
          <w:sz w:val="18"/>
        </w:rPr>
        <w:t>00-ONE-PAGE-BRIEF.md</w:t>
      </w:r>
      <w:r>
        <w:rPr>
          <w:b/>
          <w:i/>
          <w:color w:val="444444"/>
          <w:sz w:val="20"/>
        </w:rPr>
        <w:t xml:space="preserve"> v1.3</w:t>
      </w:r>
      <w:r>
        <w:rPr>
          <w:i/>
          <w:color w:val="444444"/>
          <w:sz w:val="20"/>
        </w:rPr>
        <w:t xml:space="preserve">. Cost figures are the Fiscal &amp; Impact Modeler's, and this annex should never have been a second place to read them — the four occurrences are replaced with a pointer so this annex cannot diverge from the model again. </w:t>
      </w:r>
      <w:r>
        <w:rPr>
          <w:b/>
          <w:i/>
          <w:color w:val="444444"/>
          <w:sz w:val="20"/>
        </w:rPr>
        <w:t>The three-way exposure-split figures in § 2 and § 3.3 are now the corrected ones — $20M–$37M state, $13M–$31M school divisions, $23M–$42M localities, at 20% take-up.</w:t>
      </w:r>
      <w:r>
        <w:rPr>
          <w:i/>
          <w:color w:val="444444"/>
          <w:sz w:val="20"/>
        </w:rPr>
        <w:t xml:space="preserve"> They replace the pre-correction $20M–$40M / $13M–$33M / $23M–$45M. The </w:t>
      </w:r>
      <w:r>
        <w:rPr>
          <w:i/>
          <w:color w:val="444444"/>
          <w:sz w:val="20"/>
        </w:rPr>
        <w:t>shape</w:t>
      </w:r>
      <w:r>
        <w:rPr>
          <w:i/>
          <w:color w:val="444444"/>
          <w:sz w:val="20"/>
        </w:rPr>
        <w:t xml:space="preserve"> of the split, which is all this annex relies on, is unchanged: the political-subdivision line is still the largest of the three and still arrives without a local opt-in. Source: Annex 2 Closure § 4.7, whose three buckets now sum to the headline grid at both ends.</w:t>
      </w:r>
    </w:p>
    <w:p>
      <w:pPr>
        <w:spacing w:after="60"/>
        <w:ind w:left="912" w:hanging="432"/>
      </w:pPr>
      <w:r>
        <w:rPr>
          <w:b/>
        </w:rPr>
        <w:t>2.</w:t>
        <w:tab/>
      </w:r>
      <w:r>
        <w:rPr>
          <w:b/>
        </w:rPr>
        <w:t>The Virginia National Guard Association's name is corrected</w:t>
      </w:r>
      <w:r>
        <w:t xml:space="preserve"> in § 3.4 (v1.1</w:t>
      </w:r>
    </w:p>
    <w:p>
      <w:pPr>
        <w:spacing w:before="120" w:after="120"/>
        <w:ind w:left="480"/>
      </w:pPr>
      <w:r>
        <w:rPr>
          <w:i/>
          <w:color w:val="444444"/>
          <w:sz w:val="20"/>
        </w:rPr>
        <w:t>said "National Guard Association of Virginia"), and its JLC seat is now documented rather than inferred.</w:t>
      </w:r>
    </w:p>
    <w:p>
      <w:pPr>
        <w:spacing w:after="60"/>
        <w:ind w:left="912" w:hanging="432"/>
      </w:pPr>
      <w:r>
        <w:rPr>
          <w:b/>
        </w:rPr>
        <w:t>3.</w:t>
        <w:tab/>
      </w:r>
      <w:r>
        <w:rPr>
          <w:b/>
        </w:rPr>
        <w:t>The sponsoring-organisation question in § 11 has been answered</w:t>
      </w:r>
      <w:r>
        <w:t xml:space="preserve"> and is now</w:t>
      </w:r>
    </w:p>
    <w:p>
      <w:pPr>
        <w:spacing w:before="120" w:after="120"/>
        <w:ind w:left="480"/>
      </w:pPr>
      <w:hyperlink r:id="rId10">
        <w:r>
          <w:rPr>
            <w:rFonts w:ascii="Calibri" w:hAnsi="Calibri"/>
            <w:color w:val="1A4F8A"/>
            <w:u w:val="single"/>
            <w:sz w:val="20"/>
            <w:b/>
          </w:rPr>
          <w:t xml:space="preserve">Annex D</w:t>
        </w:r>
      </w:hyperlink>
      <w:r>
        <w:rPr>
          <w:i/>
          <w:color w:val="444444"/>
          <w:sz w:val="20"/>
        </w:rPr>
        <w:t xml:space="preserve">. Annex D's § 4 finds a statutory eligibility asymmetry that </w:t>
      </w:r>
      <w:r>
        <w:rPr>
          <w:b/>
          <w:i/>
          <w:color w:val="444444"/>
          <w:sz w:val="20"/>
        </w:rPr>
        <w:t>changes the § 3.4 read on which member organisations are well served by this bill</w:t>
      </w:r>
      <w:r>
        <w:rPr>
          <w:i/>
          <w:color w:val="444444"/>
          <w:sz w:val="20"/>
        </w:rPr>
        <w:t xml:space="preserve"> — § 51.1-142.2 B 3 bars the regular 20-year retiree and the 10 U.S.C. ch. 1223 exception protects the Guard and Reserve member. § 3.4's row on individual member organisations is corrected accordingly.</w:t>
      </w:r>
    </w:p>
    <w:p>
      <w:pPr>
        <w:pStyle w:val="Heading3"/>
        <w:ind w:left="480"/>
      </w:pPr>
      <w:r>
        <w:t>What changed in v1.1 (2026-10-25)</w:t>
      </w:r>
    </w:p>
    <w:p>
      <w:pPr>
        <w:spacing w:before="120" w:after="120"/>
        <w:ind w:left="480"/>
      </w:pPr>
      <w:r>
        <w:rPr>
          <w:b/>
          <w:i/>
          <w:color w:val="444444"/>
          <w:sz w:val="20"/>
        </w:rPr>
        <w:t>The board answered the three questions put to it on 2026-10-25 and assigned me U-1 ("unknown — find out").</w:t>
      </w:r>
      <w:r>
        <w:rPr>
          <w:i/>
          <w:color w:val="444444"/>
          <w:sz w:val="20"/>
        </w:rPr>
        <w:t xml:space="preserve"> Decisions recorded: (1) </w:t>
      </w:r>
      <w:r>
        <w:rPr>
          <w:b/>
          <w:i/>
          <w:color w:val="444444"/>
          <w:sz w:val="20"/>
        </w:rPr>
        <w:t>find out</w:t>
      </w:r>
      <w:r>
        <w:rPr>
          <w:i/>
          <w:color w:val="444444"/>
          <w:sz w:val="20"/>
        </w:rPr>
        <w:t xml:space="preserve"> whether this proposal is on the JLC's adopted 2027 slate; (2) the § 51.1-153 B 4 local opt-in </w:t>
      </w:r>
      <w:r>
        <w:rPr>
          <w:b/>
          <w:i/>
          <w:color w:val="444444"/>
          <w:sz w:val="20"/>
        </w:rPr>
        <w:t>stays on the Q12 concession ladder as rung two</w:t>
      </w:r>
      <w:r>
        <w:rPr>
          <w:i/>
          <w:color w:val="444444"/>
          <w:sz w:val="20"/>
        </w:rPr>
        <w:t xml:space="preserve">, as recommended in § 6; (3) </w:t>
      </w:r>
      <w:r>
        <w:rPr>
          <w:b/>
          <w:i/>
          <w:color w:val="444444"/>
          <w:sz w:val="20"/>
        </w:rPr>
        <w:t>Senate first</w:t>
      </w:r>
      <w:r>
        <w:rPr>
          <w:i/>
          <w:color w:val="444444"/>
          <w:sz w:val="20"/>
        </w:rPr>
        <w:t xml:space="preserve"> as chamber of origin, as recommended in § 8. Items (2) and (3) ratify v1.0 recommendations and change no analysis.</w:t>
      </w:r>
    </w:p>
    <w:p>
      <w:pPr>
        <w:spacing w:before="120" w:after="120"/>
        <w:ind w:left="480"/>
      </w:pPr>
      <w:r>
        <w:rPr>
          <w:b/>
          <w:i/>
          <w:color w:val="444444"/>
          <w:sz w:val="20"/>
        </w:rPr>
        <w:t>U-1 is now substantially resolved as to process and calendar, and my v1.0 framing of it was wrong in the client's favour.</w:t>
      </w:r>
      <w:r>
        <w:rPr>
          <w:i/>
          <w:color w:val="444444"/>
          <w:sz w:val="20"/>
        </w:rPr>
        <w:t xml:space="preserve"> v1.0 said the 2027 slate "would have been adopted around June 2026, four months ago" and that this "may be a closed window." Both halves were wrong. The JLC's 2027 initiative cycle ran </w:t>
      </w:r>
      <w:r>
        <w:rPr>
          <w:b/>
          <w:i/>
          <w:color w:val="444444"/>
          <w:sz w:val="20"/>
        </w:rPr>
        <w:t>2026-03-17</w:t>
      </w:r>
      <w:r>
        <w:rPr>
          <w:i/>
          <w:color w:val="444444"/>
          <w:sz w:val="20"/>
        </w:rPr>
        <w:t xml:space="preserve"> (initial plan) → </w:t>
      </w:r>
      <w:r>
        <w:rPr>
          <w:b/>
          <w:i/>
          <w:color w:val="444444"/>
          <w:sz w:val="20"/>
        </w:rPr>
        <w:t>2026-04-14</w:t>
      </w:r>
      <w:r>
        <w:rPr>
          <w:i/>
          <w:color w:val="444444"/>
          <w:sz w:val="20"/>
        </w:rPr>
        <w:t xml:space="preserve"> (Legislative Committee screen) → </w:t>
      </w:r>
      <w:r>
        <w:rPr>
          <w:b/>
          <w:i/>
          <w:color w:val="444444"/>
          <w:sz w:val="20"/>
        </w:rPr>
        <w:t>2026-09-16</w:t>
      </w:r>
      <w:r>
        <w:rPr>
          <w:i/>
          <w:color w:val="444444"/>
          <w:sz w:val="20"/>
        </w:rPr>
        <w:t xml:space="preserve"> ("Review of 2027 Legislative Initiatives," a 40-minute agenda item chaired by the JLC Chair), and </w:t>
      </w:r>
      <w:r>
        <w:rPr>
          <w:b/>
          <w:i/>
          <w:color w:val="444444"/>
          <w:sz w:val="20"/>
        </w:rPr>
        <w:t>there is one more JLC board meeting before the 2027 session: 2026-12-17</w:t>
      </w:r>
      <w:r>
        <w:rPr>
          <w:i/>
          <w:color w:val="444444"/>
          <w:sz w:val="20"/>
        </w:rPr>
        <w:t xml:space="preserve">. Under the JLC's own published Work Plan structure, the December meeting is where the Council "review[s] and approve[s] any additional [session-year] Initiatives that were not voted on" at the fall meeting, and where it "review[s] [the] list of approved General Assembly Patrons." </w:t>
      </w:r>
      <w:r>
        <w:rPr>
          <w:b/>
          <w:i/>
          <w:color w:val="444444"/>
          <w:sz w:val="20"/>
        </w:rPr>
        <w:t>The internal window is not closed. It closes on 2026-12-17, 53 days from today.</w:t>
      </w:r>
      <w:r>
        <w:rPr>
          <w:i/>
          <w:color w:val="444444"/>
          <w:sz w:val="20"/>
        </w:rPr>
        <w:t xml:space="preserve"> Details, sources and the remaining unknown are in § 3.4 and § 9 (U-1).</w:t>
      </w:r>
    </w:p>
    <w:p>
      <w:pPr>
        <w:spacing w:before="120" w:after="120"/>
        <w:ind w:left="480"/>
      </w:pPr>
      <w:r>
        <w:rPr>
          <w:i/>
          <w:color w:val="444444"/>
          <w:sz w:val="20"/>
        </w:rPr>
        <w:t xml:space="preserve">Two corrections of fact follow from the same retrieval and are applied in § 3.4: </w:t>
      </w:r>
      <w:r>
        <w:rPr>
          <w:b/>
          <w:i/>
          <w:color w:val="444444"/>
          <w:sz w:val="20"/>
        </w:rPr>
        <w:t>the DVS Commissioner has changed</w:t>
      </w:r>
      <w:r>
        <w:rPr>
          <w:i/>
          <w:color w:val="444444"/>
          <w:sz w:val="20"/>
        </w:rPr>
        <w:t xml:space="preserve"> (Charles Zingler → </w:t>
      </w:r>
      <w:r>
        <w:rPr>
          <w:b/>
          <w:i/>
          <w:color w:val="444444"/>
          <w:sz w:val="20"/>
        </w:rPr>
        <w:t>John Maxwell</w:t>
      </w:r>
      <w:r>
        <w:rPr>
          <w:i/>
          <w:color w:val="444444"/>
          <w:sz w:val="20"/>
        </w:rPr>
        <w:t xml:space="preserve">, in post by 2026-03-17), which weakens the v1.0 read built on Zingler's April 2025 remarks; and </w:t>
      </w:r>
      <w:r>
        <w:rPr>
          <w:b/>
          <w:i/>
          <w:color w:val="444444"/>
          <w:sz w:val="20"/>
        </w:rPr>
        <w:t>the JLC chair has changed</w:t>
      </w:r>
      <w:r>
        <w:rPr>
          <w:i/>
          <w:color w:val="444444"/>
          <w:sz w:val="20"/>
        </w:rPr>
        <w:t xml:space="preserve"> (Bill Aramony → </w:t>
      </w:r>
      <w:r>
        <w:rPr>
          <w:b/>
          <w:i/>
          <w:color w:val="444444"/>
          <w:sz w:val="20"/>
        </w:rPr>
        <w:t>Katherine Martinez</w:t>
      </w:r>
      <w:r>
        <w:rPr>
          <w:i/>
          <w:color w:val="444444"/>
          <w:sz w:val="20"/>
        </w:rPr>
        <w:t xml:space="preserve">, in the chair by 2026-09-16). </w:t>
      </w:r>
      <w:r>
        <w:rPr>
          <w:b/>
          <w:i/>
          <w:color w:val="444444"/>
          <w:sz w:val="20"/>
        </w:rPr>
        <w:t>Glenn Yarborough</w:t>
      </w:r>
      <w:r>
        <w:rPr>
          <w:i/>
          <w:color w:val="444444"/>
          <w:sz w:val="20"/>
        </w:rPr>
        <w:t xml:space="preserve"> remains Legislative Officer across both cycles.</w:t>
      </w:r>
    </w:p>
    <w:p>
      <w:pPr>
        <w:jc w:val="center"/>
      </w:pPr>
      <w:r>
        <w:rPr>
          <w:color w:val="909090"/>
          <w:sz w:val="18"/>
        </w:rPr>
        <w:t>* * *</w:t>
      </w:r>
    </w:p>
    <w:p>
      <w:pPr>
        <w:pStyle w:val="Heading2"/>
      </w:pPr>
      <w:r>
        <w:t>1. The one-line political read</w:t>
      </w:r>
    </w:p>
    <w:p>
      <w:r>
        <w:rPr>
          <w:b/>
        </w:rPr>
        <w:t>This is not a veterans bill fight — it is a 2015 cost-neutrality bargain being reopened, and the House Appropriations Subcommittee on Compensation and Retirement is the only room that matters.</w:t>
      </w:r>
      <w:r>
        <w:t xml:space="preserve"> The 24-month window we are removing was created by Chapter 508 of the 2015 Acts of Assembly, patroned by the then-chair of House Appropriations, for the stated purpose of making purchase of service credit "more cost-neutral to the Retirement System fund" — and it passed 99–0 and 38–0. In 2026 that same subcommittee killed 27 of the 28 VRS bills before it. The single survivor was patroned by a member of the subcommittee and was described by VRS as codifying existing VRS policy. That is the shape of the win condition.</w:t>
      </w:r>
    </w:p>
    <w:p>
      <w:r>
        <w:rPr>
          <w:b/>
        </w:rPr>
        <w:t>And one line on sequencing, added in v1.1, because it has a date on it.</w:t>
      </w:r>
      <w:r>
        <w:t xml:space="preserve"> Before any of that matters, the bill needs a constituency, and the body that supplies it is our own client. The JLC's last board meeting before the 2027 session is </w:t>
      </w:r>
      <w:r>
        <w:rPr>
          <w:b/>
        </w:rPr>
        <w:t>2026-12-17</w:t>
      </w:r>
      <w:r>
        <w:t xml:space="preserve"> — the Council's documented occasion for taking up initiatives not voted on at the fall meeting, and for reviewing the patron list. That is the gate, and it is 53 days out.</w:t>
      </w:r>
    </w:p>
    <w:p>
      <w:pPr>
        <w:jc w:val="center"/>
      </w:pPr>
      <w:r>
        <w:rPr>
          <w:color w:val="909090"/>
          <w:sz w:val="18"/>
        </w:rPr>
        <w:t>* * *</w:t>
      </w:r>
    </w:p>
    <w:p>
      <w:pPr>
        <w:pStyle w:val="Heading2"/>
      </w:pPr>
      <w:r>
        <w:t>2. The proposal's concrete effects</w:t>
      </w:r>
    </w:p>
    <w:p>
      <w:r>
        <w:t>Positions follow effects, so the effects come first. Under the scope decided by JLCVSO on 2026-10-24 (all VRS members, no local opt-in, immediate access):</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Who</w:t>
            </w:r>
          </w:p>
        </w:tc>
        <w:tc>
          <w:tcPr>
            <w:tcW w:type="dxa" w:w="4320"/>
          </w:tcPr>
          <w:p>
            <w:pPr>
              <w:spacing w:before="20" w:after="20"/>
              <w:jc w:val="left"/>
            </w:pPr>
            <w:r>
              <w:rPr>
                <w:b/>
                <w:sz w:val="17"/>
              </w:rPr>
              <w:t>What they get</w:t>
            </w:r>
          </w:p>
        </w:tc>
      </w:tr>
      <w:tr>
        <w:tc>
          <w:tcPr>
            <w:tcW w:type="dxa" w:w="4320"/>
          </w:tcPr>
          <w:p>
            <w:pPr>
              <w:spacing w:before="20" w:after="20"/>
              <w:jc w:val="left"/>
            </w:pPr>
            <w:r>
              <w:rPr>
                <w:b/>
                <w:sz w:val="17"/>
              </w:rPr>
              <w:t>Veteran VRS members past 24 months of service</w:t>
            </w:r>
          </w:p>
        </w:tc>
        <w:tc>
          <w:tcPr>
            <w:tcW w:type="dxa" w:w="4320"/>
          </w:tcPr>
          <w:p>
            <w:pPr>
              <w:spacing w:before="20" w:after="20"/>
              <w:jc w:val="left"/>
            </w:pPr>
            <w:r>
              <w:rPr>
                <w:b/>
                <w:sz w:val="17"/>
              </w:rPr>
              <w:t>A benefit.</w:t>
            </w:r>
            <w:r>
              <w:rPr>
                <w:sz w:val="17"/>
              </w:rPr>
              <w:t xml:space="preserve"> Access to up to four years of military service credit at the published approximate normal cost instead of actuarial equivalent cost. The benefit is largest for long-service Plan 1 members near unreduced eligibility — precisely the cohort the pricing guardrail would charge most.</w:t>
            </w:r>
          </w:p>
        </w:tc>
      </w:tr>
      <w:tr>
        <w:tc>
          <w:tcPr>
            <w:tcW w:type="dxa" w:w="4320"/>
          </w:tcPr>
          <w:p>
            <w:pPr>
              <w:spacing w:before="20" w:after="20"/>
              <w:jc w:val="left"/>
            </w:pPr>
            <w:r>
              <w:rPr>
                <w:b/>
                <w:sz w:val="17"/>
              </w:rPr>
              <w:t>The VRS trust funds (state, teacher, political subdivision)</w:t>
            </w:r>
          </w:p>
        </w:tc>
        <w:tc>
          <w:tcPr>
            <w:tcW w:type="dxa" w:w="4320"/>
          </w:tcPr>
          <w:p>
            <w:pPr>
              <w:spacing w:before="20" w:after="20"/>
              <w:jc w:val="left"/>
            </w:pPr>
            <w:r>
              <w:rPr>
                <w:b/>
                <w:sz w:val="17"/>
              </w:rPr>
              <w:t>A cost.</w:t>
            </w:r>
            <w:r>
              <w:rPr>
                <w:sz w:val="17"/>
              </w:rPr>
              <w:t xml:space="preserve"> Unfunded liability from (i) the gap between approximate normal cost and actuarial equivalent cost, and (ii) retirement-date acceleration. Modelled one-time present value depending on pool and take-up — </w:t>
            </w:r>
            <w:r>
              <w:rPr>
                <w:b/>
                <w:sz w:val="17"/>
              </w:rPr>
              <w:t xml:space="preserve">for the figure, see the current package authority at </w:t>
            </w:r>
            <w:r>
              <w:rPr>
                <w:rFonts w:ascii="Consolas" w:hAnsi="Consolas"/>
                <w:b/>
                <w:color w:val="303030"/>
                <w:sz w:val="18"/>
              </w:rPr>
              <w:t>00-ONE-PAGE-BRIEF.md</w:t>
            </w:r>
            <w:r>
              <w:rPr>
                <w:b/>
                <w:sz w:val="17"/>
              </w:rPr>
              <w:t xml:space="preserve"> v1.3; "$13M–$182M" is retracted.</w:t>
            </w:r>
          </w:p>
        </w:tc>
      </w:tr>
      <w:tr>
        <w:tc>
          <w:tcPr>
            <w:tcW w:type="dxa" w:w="4320"/>
          </w:tcPr>
          <w:p>
            <w:pPr>
              <w:spacing w:before="20" w:after="20"/>
              <w:jc w:val="left"/>
            </w:pPr>
            <w:r>
              <w:rPr>
                <w:b/>
                <w:sz w:val="17"/>
              </w:rPr>
              <w:t>All VRS-participating employers in each pooled plan</w:t>
            </w:r>
          </w:p>
        </w:tc>
        <w:tc>
          <w:tcPr>
            <w:tcW w:type="dxa" w:w="4320"/>
          </w:tcPr>
          <w:p>
            <w:pPr>
              <w:spacing w:before="20" w:after="20"/>
              <w:jc w:val="left"/>
            </w:pPr>
            <w:r>
              <w:rPr>
                <w:b/>
                <w:sz w:val="17"/>
              </w:rPr>
              <w:t>A cost, shared.</w:t>
            </w:r>
            <w:r>
              <w:rPr>
                <w:sz w:val="17"/>
              </w:rPr>
              <w:t xml:space="preserve"> Because the plans are pooled, cost lands on employer contribution rates, not on the employers whose own veterans purchase. VRS stated this mechanic itself in 2023: "Granting of service in a pooled plan will effectively spread the cost of each period of granted service over all of the employers in the Teacher plan."</w:t>
            </w:r>
          </w:p>
        </w:tc>
      </w:tr>
      <w:tr>
        <w:tc>
          <w:tcPr>
            <w:tcW w:type="dxa" w:w="4320"/>
          </w:tcPr>
          <w:p>
            <w:pPr>
              <w:spacing w:before="20" w:after="20"/>
              <w:jc w:val="left"/>
            </w:pPr>
            <w:r>
              <w:rPr>
                <w:b/>
                <w:sz w:val="17"/>
              </w:rPr>
              <w:t>School divisions and the localities that fund them</w:t>
            </w:r>
          </w:p>
        </w:tc>
        <w:tc>
          <w:tcPr>
            <w:tcW w:type="dxa" w:w="4320"/>
          </w:tcPr>
          <w:p>
            <w:pPr>
              <w:spacing w:before="20" w:after="20"/>
              <w:jc w:val="left"/>
            </w:pPr>
            <w:r>
              <w:rPr>
                <w:b/>
                <w:sz w:val="17"/>
              </w:rPr>
              <w:t>A cost they cannot decline.</w:t>
            </w:r>
            <w:r>
              <w:rPr>
                <w:sz w:val="17"/>
              </w:rPr>
              <w:t xml:space="preserve"> Teacher plan rates are set statewide; political subdivisions set their own rates under § 51.1-145 but cannot opt out of a statutory change to § 51.1-142.2.</w:t>
            </w:r>
          </w:p>
        </w:tc>
      </w:tr>
      <w:tr>
        <w:tc>
          <w:tcPr>
            <w:tcW w:type="dxa" w:w="4320"/>
          </w:tcPr>
          <w:p>
            <w:pPr>
              <w:spacing w:before="20" w:after="20"/>
              <w:jc w:val="left"/>
            </w:pPr>
            <w:r>
              <w:rPr>
                <w:b/>
                <w:sz w:val="17"/>
              </w:rPr>
              <w:t>The general fund</w:t>
            </w:r>
          </w:p>
        </w:tc>
        <w:tc>
          <w:tcPr>
            <w:tcW w:type="dxa" w:w="4320"/>
          </w:tcPr>
          <w:p>
            <w:pPr>
              <w:spacing w:before="20" w:after="20"/>
              <w:jc w:val="left"/>
            </w:pPr>
            <w:r>
              <w:rPr>
                <w:b/>
                <w:sz w:val="17"/>
              </w:rPr>
              <w:t>No appropriation ask — but not "no cost," and the distinction is now contested inside our own package.</w:t>
            </w:r>
            <w:r>
              <w:rPr>
                <w:sz w:val="17"/>
              </w:rPr>
              <w:t xml:space="preserve"> The bill contains no appropriation clause, and VRS recorded "GF budget impacts: No immediate impact" on the closest analogue (HB 1867, 2023). But Red Team </w:t>
            </w:r>
            <w:r>
              <w:rPr>
                <w:b/>
                <w:sz w:val="17"/>
              </w:rPr>
              <w:t>F-2</w:t>
            </w:r>
            <w:r>
              <w:rPr>
                <w:sz w:val="17"/>
              </w:rPr>
              <w:t xml:space="preserve"> finds that the one-pager's "General fund cost: $0 — that is structural, not a rounding" is contradicted by our own model, which assigns $20M–$37M of present value to state agencies (GF </w:t>
            </w:r>
            <w:r>
              <w:rPr>
                <w:b/>
                <w:sz w:val="17"/>
              </w:rPr>
              <w:t>and</w:t>
            </w:r>
            <w:r>
              <w:rPr>
                <w:sz w:val="17"/>
              </w:rPr>
              <w:t xml:space="preserve"> NGF) and $13M–$31M to school divisions through the Standards of Quality. </w:t>
            </w:r>
            <w:r>
              <w:rPr>
                <w:b/>
                <w:sz w:val="17"/>
              </w:rPr>
              <w:t>I adopt the Red Team's reading for political purposes</w:t>
            </w:r>
            <w:r>
              <w:rPr>
                <w:sz w:val="17"/>
              </w:rPr>
              <w:t>: the defensible sentence is "this bill requests no appropriation," not "this bill costs the general fund nothing." The political cost of the broader claim is asymmetric and severe — see § 3.3 (CLG) and § 5.</w:t>
            </w:r>
          </w:p>
        </w:tc>
      </w:tr>
      <w:tr>
        <w:tc>
          <w:tcPr>
            <w:tcW w:type="dxa" w:w="4320"/>
          </w:tcPr>
          <w:p>
            <w:pPr>
              <w:spacing w:before="20" w:after="20"/>
              <w:jc w:val="left"/>
            </w:pPr>
            <w:r>
              <w:rPr>
                <w:b/>
                <w:sz w:val="17"/>
              </w:rPr>
              <w:t>VRS as administrator</w:t>
            </w:r>
          </w:p>
        </w:tc>
        <w:tc>
          <w:tcPr>
            <w:tcW w:type="dxa" w:w="4320"/>
          </w:tcPr>
          <w:p>
            <w:pPr>
              <w:spacing w:before="20" w:after="20"/>
              <w:jc w:val="left"/>
            </w:pPr>
            <w:r>
              <w:rPr>
                <w:b/>
                <w:sz w:val="17"/>
              </w:rPr>
              <w:t>A duty, and a modest one.</w:t>
            </w:r>
            <w:r>
              <w:rPr>
                <w:sz w:val="17"/>
              </w:rPr>
              <w:t xml:space="preserve"> Every rate group already has a Board-adopted approximate normal cost rate (Annex 2 Closure FM-3). The analogue administrative cost VRS quoted in 2023 was approximately $78,000 one-time for handbook, manual, e-course, web and employer communications revisions.</w:t>
            </w:r>
          </w:p>
        </w:tc>
      </w:tr>
      <w:tr>
        <w:tc>
          <w:tcPr>
            <w:tcW w:type="dxa" w:w="4320"/>
          </w:tcPr>
          <w:p>
            <w:pPr>
              <w:spacing w:before="20" w:after="20"/>
              <w:jc w:val="left"/>
            </w:pPr>
            <w:r>
              <w:rPr>
                <w:b/>
                <w:sz w:val="17"/>
              </w:rPr>
              <w:t>The VRS Board of Trustees</w:t>
            </w:r>
          </w:p>
        </w:tc>
        <w:tc>
          <w:tcPr>
            <w:tcW w:type="dxa" w:w="4320"/>
          </w:tcPr>
          <w:p>
            <w:pPr>
              <w:spacing w:before="20" w:after="20"/>
              <w:jc w:val="left"/>
            </w:pPr>
            <w:r>
              <w:rPr>
                <w:b/>
                <w:sz w:val="17"/>
              </w:rPr>
              <w:t>A duty and new discretion.</w:t>
            </w:r>
            <w:r>
              <w:rPr>
                <w:sz w:val="17"/>
              </w:rPr>
              <w:t xml:space="preserve"> Must file the § 30-19.1:7 impact statement, and under the Annex A v1.1 schedule authority would gain a rate-setting dial graded on age, creditable service and amount purchased.</w:t>
            </w:r>
          </w:p>
        </w:tc>
      </w:tr>
      <w:tr>
        <w:tc>
          <w:tcPr>
            <w:tcW w:type="dxa" w:w="4320"/>
          </w:tcPr>
          <w:p>
            <w:pPr>
              <w:spacing w:before="20" w:after="20"/>
              <w:jc w:val="left"/>
            </w:pPr>
            <w:r>
              <w:rPr>
                <w:b/>
                <w:sz w:val="17"/>
              </w:rPr>
              <w:t>Employers who currently pay for purchases on behalf of employees</w:t>
            </w:r>
          </w:p>
        </w:tc>
        <w:tc>
          <w:tcPr>
            <w:tcW w:type="dxa" w:w="4320"/>
          </w:tcPr>
          <w:p>
            <w:pPr>
              <w:spacing w:before="20" w:after="20"/>
              <w:jc w:val="left"/>
            </w:pPr>
            <w:r>
              <w:rPr>
                <w:b/>
                <w:sz w:val="17"/>
              </w:rPr>
              <w:t>No change, but a talking point against us.</w:t>
            </w:r>
            <w:r>
              <w:rPr>
                <w:sz w:val="17"/>
              </w:rPr>
              <w:t xml:space="preserve"> VRS noted in 2023 that "Employers currently can choose to pay for purchase of this service credit on behalf of the employee" — the existing non-legislative path, which opponents will offer as the sufficient remedy.</w:t>
            </w:r>
          </w:p>
        </w:tc>
      </w:tr>
      <w:tr>
        <w:tc>
          <w:tcPr>
            <w:tcW w:type="dxa" w:w="4320"/>
          </w:tcPr>
          <w:p>
            <w:pPr>
              <w:spacing w:before="20" w:after="20"/>
              <w:jc w:val="left"/>
            </w:pPr>
            <w:r>
              <w:rPr>
                <w:b/>
                <w:sz w:val="17"/>
              </w:rPr>
              <w:t>Non-veteran members holding other purchasable categories under subdivision B 1</w:t>
            </w:r>
          </w:p>
        </w:tc>
        <w:tc>
          <w:tcPr>
            <w:tcW w:type="dxa" w:w="4320"/>
          </w:tcPr>
          <w:p>
            <w:pPr>
              <w:spacing w:before="20" w:after="20"/>
              <w:jc w:val="left"/>
            </w:pPr>
            <w:r>
              <w:rPr>
                <w:b/>
                <w:sz w:val="17"/>
              </w:rPr>
              <w:t>A new inequity.</w:t>
            </w:r>
            <w:r>
              <w:rPr>
                <w:sz w:val="17"/>
              </w:rPr>
              <w:t xml:space="preserve"> Educational leave, FMLA leave, refunded service and other B 1 categories keep the 24-month cliff. This is the pressure point employee associations will push on.</w:t>
            </w:r>
          </w:p>
        </w:tc>
      </w:tr>
    </w:tbl>
    <w:p>
      <w:pPr>
        <w:spacing w:before="0" w:after="0" w:line="80" w:lineRule="exact"/>
      </w:pPr>
      <w:r>
        <w:rPr>
          <w:sz w:val="8"/>
        </w:rPr>
      </w:r>
    </w:p>
    <w:p>
      <w:r>
        <w:rPr>
          <w:b/>
        </w:rPr>
        <w:t>The silent beneficiary.</w:t>
      </w:r>
      <w:r>
        <w:t xml:space="preserve"> The members who gain most — mid- and late-career veteran state employees, teachers and local employees — are unorganized as veterans. They are scattered across 100+ employers, they do not know they are a class, and they will not appear at a subcommittee docket. Their silence is not consent and must not be read as weak demand. The organised veteran community (§ 3.4) speaks for </w:t>
      </w:r>
      <w:r>
        <w:rPr>
          <w:i/>
        </w:rPr>
        <w:t>veterans</w:t>
      </w:r>
      <w:r>
        <w:t xml:space="preserve">, not for </w:t>
      </w:r>
      <w:r>
        <w:rPr>
          <w:i/>
        </w:rPr>
        <w:t>veteran public employees</w:t>
      </w:r>
      <w:r>
        <w:t>, and those are different constituencies with different asks.</w:t>
      </w:r>
    </w:p>
    <w:p>
      <w:pPr>
        <w:jc w:val="center"/>
      </w:pPr>
      <w:r>
        <w:rPr>
          <w:color w:val="909090"/>
          <w:sz w:val="18"/>
        </w:rPr>
        <w:t>* * *</w:t>
      </w:r>
    </w:p>
    <w:p>
      <w:pPr>
        <w:pStyle w:val="Heading2"/>
      </w:pPr>
      <w:r>
        <w:t>3. Stakeholder map</w:t>
      </w:r>
    </w:p>
    <w:p>
      <w:pPr>
        <w:pStyle w:val="Heading3"/>
      </w:pPr>
      <w:r>
        <w:t>3.1 The administering agency</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Actor</w:t>
            </w:r>
          </w:p>
        </w:tc>
        <w:tc>
          <w:tcPr>
            <w:tcW w:type="dxa" w:w="1440"/>
          </w:tcPr>
          <w:p>
            <w:pPr>
              <w:spacing w:before="20" w:after="20"/>
              <w:jc w:val="left"/>
            </w:pPr>
            <w:r>
              <w:rPr>
                <w:b/>
                <w:sz w:val="17"/>
              </w:rPr>
              <w:t>Type</w:t>
            </w:r>
          </w:p>
        </w:tc>
        <w:tc>
          <w:tcPr>
            <w:tcW w:type="dxa" w:w="1440"/>
          </w:tcPr>
          <w:p>
            <w:pPr>
              <w:spacing w:before="20" w:after="20"/>
              <w:jc w:val="left"/>
            </w:pPr>
            <w:r>
              <w:rPr>
                <w:b/>
                <w:sz w:val="17"/>
              </w:rPr>
              <w:t>Likely position</w:t>
            </w:r>
          </w:p>
        </w:tc>
        <w:tc>
          <w:tcPr>
            <w:tcW w:type="dxa" w:w="1440"/>
          </w:tcPr>
          <w:p>
            <w:pPr>
              <w:spacing w:before="20" w:after="20"/>
              <w:jc w:val="left"/>
            </w:pPr>
            <w:r>
              <w:rPr>
                <w:b/>
                <w:sz w:val="17"/>
              </w:rPr>
              <w:t>Reason</w:t>
            </w:r>
          </w:p>
        </w:tc>
        <w:tc>
          <w:tcPr>
            <w:tcW w:type="dxa" w:w="1440"/>
          </w:tcPr>
          <w:p>
            <w:pPr>
              <w:spacing w:before="20" w:after="20"/>
              <w:jc w:val="left"/>
            </w:pPr>
            <w:r>
              <w:rPr>
                <w:b/>
                <w:sz w:val="17"/>
              </w:rPr>
              <w:t>Confidence</w:t>
            </w:r>
          </w:p>
        </w:tc>
        <w:tc>
          <w:tcPr>
            <w:tcW w:type="dxa" w:w="1440"/>
          </w:tcPr>
          <w:p>
            <w:pPr>
              <w:spacing w:before="20" w:after="20"/>
              <w:jc w:val="left"/>
            </w:pPr>
            <w:r>
              <w:rPr>
                <w:b/>
                <w:sz w:val="17"/>
              </w:rPr>
              <w:t>Public record</w:t>
            </w:r>
          </w:p>
        </w:tc>
      </w:tr>
      <w:tr>
        <w:tc>
          <w:tcPr>
            <w:tcW w:type="dxa" w:w="1440"/>
          </w:tcPr>
          <w:p>
            <w:pPr>
              <w:spacing w:before="20" w:after="20"/>
              <w:jc w:val="left"/>
            </w:pPr>
            <w:r>
              <w:rPr>
                <w:b/>
                <w:sz w:val="17"/>
              </w:rPr>
              <w:t>Virginia Retirement System (staff / Policy, Planning &amp; Compliance)</w:t>
            </w:r>
          </w:p>
        </w:tc>
        <w:tc>
          <w:tcPr>
            <w:tcW w:type="dxa" w:w="1440"/>
          </w:tcPr>
          <w:p>
            <w:pPr>
              <w:spacing w:before="20" w:after="20"/>
              <w:jc w:val="left"/>
            </w:pPr>
            <w:r>
              <w:rPr>
                <w:sz w:val="17"/>
              </w:rPr>
              <w:t>State agency</w:t>
            </w:r>
          </w:p>
        </w:tc>
        <w:tc>
          <w:tcPr>
            <w:tcW w:type="dxa" w:w="1440"/>
          </w:tcPr>
          <w:p>
            <w:pPr>
              <w:spacing w:before="20" w:after="20"/>
              <w:jc w:val="left"/>
            </w:pPr>
            <w:r>
              <w:rPr>
                <w:b/>
                <w:sz w:val="17"/>
              </w:rPr>
              <w:t>Not supportive. Will file a § 30-19.1:7 statement that is formally neutral and substantively cautionary</w:t>
            </w:r>
            <w:r>
              <w:rPr>
                <w:sz w:val="17"/>
              </w:rPr>
              <w:t>, emphasising unquantifiable take-up, pooled-plan cost spreading, and erosion of the 2015 cost-neutrality design. Will not actively lobby against.</w:t>
            </w:r>
          </w:p>
        </w:tc>
        <w:tc>
          <w:tcPr>
            <w:tcW w:type="dxa" w:w="1440"/>
          </w:tcPr>
          <w:p>
            <w:pPr>
              <w:spacing w:before="20" w:after="20"/>
              <w:jc w:val="left"/>
            </w:pPr>
            <w:r>
              <w:rPr>
                <w:sz w:val="17"/>
              </w:rPr>
              <w:t xml:space="preserve">VRS's filed statement on the closest analogue (HB 1867, 2023, free grant of up to four years of active duty military service to teachers) is a template for what we will receive: it put per-member unfunded liability at </w:t>
            </w:r>
            <w:r>
              <w:rPr>
                <w:b/>
                <w:sz w:val="17"/>
              </w:rPr>
              <w:t>$10,000–$60,000</w:t>
            </w:r>
            <w:r>
              <w:rPr>
                <w:sz w:val="17"/>
              </w:rPr>
              <w:t xml:space="preserve">, said "VRS is not able to determine the number of current teachers or future teachers who would have prior active military service to purchase," then </w:t>
            </w:r>
            <w:r>
              <w:rPr>
                <w:i/>
                <w:sz w:val="17"/>
              </w:rPr>
              <w:t>constructed its own illustrative scenario</w:t>
            </w:r>
            <w:r>
              <w:rPr>
                <w:sz w:val="17"/>
              </w:rPr>
              <w:t xml:space="preserve"> — 1% take-up × $35,000 average = </w:t>
            </w:r>
            <w:r>
              <w:rPr>
                <w:b/>
                <w:sz w:val="17"/>
              </w:rPr>
              <w:t>$50 million</w:t>
            </w:r>
            <w:r>
              <w:rPr>
                <w:sz w:val="17"/>
              </w:rPr>
              <w:t xml:space="preserve"> — and set it against the Teacher Plan's then-$11.8 billion unfunded liability. It also observed that "</w:t>
            </w:r>
            <w:r>
              <w:rPr>
                <w:b/>
                <w:sz w:val="17"/>
              </w:rPr>
              <w:t>As initiatives to recruit veterans as teachers increase, correspondingly the number of those who have qualifying service will also increase</w:t>
            </w:r>
            <w:r>
              <w:rPr>
                <w:sz w:val="17"/>
              </w:rPr>
              <w:t>," i.e. VRS treats growth in the eligible pool as a cost risk rather than a policy success.</w:t>
            </w:r>
          </w:p>
        </w:tc>
        <w:tc>
          <w:tcPr>
            <w:tcW w:type="dxa" w:w="1440"/>
          </w:tcPr>
          <w:p>
            <w:pPr>
              <w:spacing w:before="20" w:after="20"/>
              <w:jc w:val="left"/>
            </w:pPr>
            <w:r>
              <w:rPr>
                <w:b/>
                <w:sz w:val="17"/>
              </w:rPr>
              <w:t>High</w:t>
            </w:r>
            <w:r>
              <w:rPr>
                <w:sz w:val="17"/>
              </w:rPr>
              <w:t xml:space="preserve"> (for the characterization pattern and the arithmetic method VRS will use). </w:t>
            </w:r>
            <w:r>
              <w:rPr>
                <w:b/>
                <w:sz w:val="17"/>
              </w:rPr>
              <w:t>Medium</w:t>
            </w:r>
            <w:r>
              <w:rPr>
                <w:sz w:val="17"/>
              </w:rPr>
              <w:t xml:space="preserve"> (for the ultimate position — HB 1867 was a </w:t>
            </w:r>
            <w:r>
              <w:rPr>
                <w:i/>
                <w:sz w:val="17"/>
              </w:rPr>
              <w:t>free grant</w:t>
            </w:r>
            <w:r>
              <w:rPr>
                <w:sz w:val="17"/>
              </w:rPr>
              <w:t>; ours is a priced purchase, which is a materially better fact for us and VRS has not spoken to it).</w:t>
            </w:r>
          </w:p>
        </w:tc>
        <w:tc>
          <w:tcPr>
            <w:tcW w:type="dxa" w:w="1440"/>
          </w:tcPr>
          <w:p>
            <w:pPr>
              <w:spacing w:before="20" w:after="20"/>
              <w:jc w:val="left"/>
            </w:pPr>
            <w:r>
              <w:rPr>
                <w:sz w:val="17"/>
              </w:rPr>
              <w:t xml:space="preserve">VRS, </w:t>
            </w:r>
            <w:r>
              <w:rPr>
                <w:i/>
                <w:sz w:val="17"/>
              </w:rPr>
              <w:t>2023 Fiscal Impact Statement, HB 1867</w:t>
            </w:r>
            <w:r>
              <w:rPr>
                <w:sz w:val="17"/>
              </w:rPr>
              <w:t xml:space="preserve">, dated 1/16/2023 (document HB1867.DOC/VRS), LIS doc </w:t>
            </w:r>
            <w:r>
              <w:rPr>
                <w:rFonts w:ascii="Consolas" w:hAnsi="Consolas"/>
                <w:color w:val="303030"/>
                <w:sz w:val="18"/>
              </w:rPr>
              <w:t>231+oth+HB1867F158</w:t>
            </w:r>
            <w:r>
              <w:rPr>
                <w:sz w:val="17"/>
              </w:rPr>
              <w:t>.</w:t>
            </w:r>
          </w:p>
        </w:tc>
      </w:tr>
      <w:tr>
        <w:tc>
          <w:tcPr>
            <w:tcW w:type="dxa" w:w="1440"/>
          </w:tcPr>
          <w:p>
            <w:pPr>
              <w:spacing w:before="20" w:after="20"/>
              <w:jc w:val="left"/>
            </w:pPr>
            <w:r>
              <w:rPr>
                <w:b/>
                <w:sz w:val="17"/>
              </w:rPr>
              <w:t>VRS Board of Trustees</w:t>
            </w:r>
          </w:p>
        </w:tc>
        <w:tc>
          <w:tcPr>
            <w:tcW w:type="dxa" w:w="1440"/>
          </w:tcPr>
          <w:p>
            <w:pPr>
              <w:spacing w:before="20" w:after="20"/>
              <w:jc w:val="left"/>
            </w:pPr>
            <w:r>
              <w:rPr>
                <w:sz w:val="17"/>
              </w:rPr>
              <w:t>State board</w:t>
            </w:r>
          </w:p>
        </w:tc>
        <w:tc>
          <w:tcPr>
            <w:tcW w:type="dxa" w:w="1440"/>
          </w:tcPr>
          <w:p>
            <w:pPr>
              <w:spacing w:before="20" w:after="20"/>
              <w:jc w:val="left"/>
            </w:pPr>
            <w:r>
              <w:rPr>
                <w:b/>
                <w:sz w:val="17"/>
              </w:rPr>
              <w:t>Will accept an administrable bill; will resist a bill that changes VRS procedure.</w:t>
            </w:r>
          </w:p>
        </w:tc>
        <w:tc>
          <w:tcPr>
            <w:tcW w:type="dxa" w:w="1440"/>
          </w:tcPr>
          <w:p>
            <w:pPr>
              <w:spacing w:before="20" w:after="20"/>
              <w:jc w:val="left"/>
            </w:pPr>
            <w:r>
              <w:rPr>
                <w:sz w:val="17"/>
              </w:rPr>
              <w:t xml:space="preserve">VRS's own stated acceptance criterion is visible in the Board's April 2026 materials. Of the </w:t>
            </w:r>
            <w:r>
              <w:rPr>
                <w:b/>
                <w:sz w:val="17"/>
              </w:rPr>
              <w:t>28 VRS-specific bills VRS tracked in the 2026 session, exactly one survived</w:t>
            </w:r>
            <w:r>
              <w:rPr>
                <w:sz w:val="17"/>
              </w:rPr>
              <w:t xml:space="preserve"> — HB 139 — and VRS described it as a bill where "the bill and substitute </w:t>
            </w:r>
            <w:r>
              <w:rPr>
                <w:b/>
                <w:sz w:val="17"/>
              </w:rPr>
              <w:t>codify for school board employees the existing VRS PPS policy</w:t>
            </w:r>
            <w:r>
              <w:rPr>
                <w:sz w:val="17"/>
              </w:rPr>
              <w:t xml:space="preserve"> regarding unpaid educational leave," and the DC Plans Advisory Committee minutes record it as "a purchase of prior service provision that </w:t>
            </w:r>
            <w:r>
              <w:rPr>
                <w:b/>
                <w:sz w:val="17"/>
              </w:rPr>
              <w:t>would not change VRS current procedures</w:t>
            </w:r>
            <w:r>
              <w:rPr>
                <w:sz w:val="17"/>
              </w:rPr>
              <w:t>." "The remainder of the bills were unsuccessful."</w:t>
            </w:r>
          </w:p>
        </w:tc>
        <w:tc>
          <w:tcPr>
            <w:tcW w:type="dxa" w:w="1440"/>
          </w:tcPr>
          <w:p>
            <w:pPr>
              <w:spacing w:before="20" w:after="20"/>
              <w:jc w:val="left"/>
            </w:pPr>
            <w:r>
              <w:rPr>
                <w:b/>
                <w:sz w:val="17"/>
              </w:rPr>
              <w:t>High</w:t>
            </w:r>
          </w:p>
        </w:tc>
        <w:tc>
          <w:tcPr>
            <w:tcW w:type="dxa" w:w="1440"/>
          </w:tcPr>
          <w:p>
            <w:pPr>
              <w:spacing w:before="20" w:after="20"/>
              <w:jc w:val="left"/>
            </w:pPr>
            <w:r>
              <w:rPr>
                <w:sz w:val="17"/>
              </w:rPr>
              <w:t>VRS Board of Trustees meeting materials, 2026-04-23, pp. 184–208 (2026 Legislation) and committee minutes at pp. 110–120.</w:t>
            </w:r>
          </w:p>
        </w:tc>
      </w:tr>
    </w:tbl>
    <w:p>
      <w:pPr>
        <w:spacing w:before="0" w:after="0" w:line="80" w:lineRule="exact"/>
      </w:pPr>
      <w:r>
        <w:rPr>
          <w:sz w:val="8"/>
        </w:rPr>
      </w:r>
    </w:p>
    <w:p>
      <w:r>
        <w:rPr>
          <w:b/>
        </w:rPr>
        <w:t>Why this matters more than any other row.</w:t>
      </w:r>
      <w:r>
        <w:t xml:space="preserve"> VRS's filter is procedural, not ideological. The drafting implication is direct and should go to the Drafting Specialist: </w:t>
      </w:r>
      <w:r>
        <w:rPr>
          <w:b/>
        </w:rPr>
        <w:t>the bill must be presentable as "same published rate, same 60-month payment term, same VNAV workflow, one deleted deadline."</w:t>
      </w:r>
      <w:r>
        <w:t xml:space="preserve"> Every feature that requires VRS to build something new — a bespoke rate table, a new actuarial product, a new eligibility certification — converts a Medium position into a High-confidence objection. Annex A v1.1's wide schedule authority is the live risk here: counsel's preference for drafting the authority wide and arguing the dial at the Board is legally sound but politically costs us the "no new rate-setting" claim that A-3 was chosen to preserve (brief § A-3, "A-3 requires no new rate-setting by the Board and no new actuarial product"). </w:t>
      </w:r>
      <w:r>
        <w:rPr>
          <w:b/>
        </w:rPr>
        <w:t>Flagged to Policy Director and Red Team as a genuine tension inside our own package.</w:t>
      </w:r>
    </w:p>
    <w:p>
      <w:pPr>
        <w:pStyle w:val="Heading3"/>
      </w:pPr>
      <w:r>
        <w:t>3.2 The employing agency with the policy interest</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Actor</w:t>
            </w:r>
          </w:p>
        </w:tc>
        <w:tc>
          <w:tcPr>
            <w:tcW w:type="dxa" w:w="1440"/>
          </w:tcPr>
          <w:p>
            <w:pPr>
              <w:spacing w:before="20" w:after="20"/>
              <w:jc w:val="left"/>
            </w:pPr>
            <w:r>
              <w:rPr>
                <w:b/>
                <w:sz w:val="17"/>
              </w:rPr>
              <w:t>Type</w:t>
            </w:r>
          </w:p>
        </w:tc>
        <w:tc>
          <w:tcPr>
            <w:tcW w:type="dxa" w:w="1440"/>
          </w:tcPr>
          <w:p>
            <w:pPr>
              <w:spacing w:before="20" w:after="20"/>
              <w:jc w:val="left"/>
            </w:pPr>
            <w:r>
              <w:rPr>
                <w:b/>
                <w:sz w:val="17"/>
              </w:rPr>
              <w:t>Likely position</w:t>
            </w:r>
          </w:p>
        </w:tc>
        <w:tc>
          <w:tcPr>
            <w:tcW w:type="dxa" w:w="1440"/>
          </w:tcPr>
          <w:p>
            <w:pPr>
              <w:spacing w:before="20" w:after="20"/>
              <w:jc w:val="left"/>
            </w:pPr>
            <w:r>
              <w:rPr>
                <w:b/>
                <w:sz w:val="17"/>
              </w:rPr>
              <w:t>Reason</w:t>
            </w:r>
          </w:p>
        </w:tc>
        <w:tc>
          <w:tcPr>
            <w:tcW w:type="dxa" w:w="1440"/>
          </w:tcPr>
          <w:p>
            <w:pPr>
              <w:spacing w:before="20" w:after="20"/>
              <w:jc w:val="left"/>
            </w:pPr>
            <w:r>
              <w:rPr>
                <w:b/>
                <w:sz w:val="17"/>
              </w:rPr>
              <w:t>Confidence</w:t>
            </w:r>
          </w:p>
        </w:tc>
        <w:tc>
          <w:tcPr>
            <w:tcW w:type="dxa" w:w="1440"/>
          </w:tcPr>
          <w:p>
            <w:pPr>
              <w:spacing w:before="20" w:after="20"/>
              <w:jc w:val="left"/>
            </w:pPr>
            <w:r>
              <w:rPr>
                <w:b/>
                <w:sz w:val="17"/>
              </w:rPr>
              <w:t>Public record</w:t>
            </w:r>
          </w:p>
        </w:tc>
      </w:tr>
      <w:tr>
        <w:tc>
          <w:tcPr>
            <w:tcW w:type="dxa" w:w="1440"/>
          </w:tcPr>
          <w:p>
            <w:pPr>
              <w:spacing w:before="20" w:after="20"/>
              <w:jc w:val="left"/>
            </w:pPr>
            <w:r>
              <w:rPr>
                <w:b/>
                <w:sz w:val="17"/>
              </w:rPr>
              <w:t>Department of Human Resource Management (DHRM)</w:t>
            </w:r>
          </w:p>
        </w:tc>
        <w:tc>
          <w:tcPr>
            <w:tcW w:type="dxa" w:w="1440"/>
          </w:tcPr>
          <w:p>
            <w:pPr>
              <w:spacing w:before="20" w:after="20"/>
              <w:jc w:val="left"/>
            </w:pPr>
            <w:r>
              <w:rPr>
                <w:sz w:val="17"/>
              </w:rPr>
              <w:t>State agency</w:t>
            </w:r>
          </w:p>
        </w:tc>
        <w:tc>
          <w:tcPr>
            <w:tcW w:type="dxa" w:w="1440"/>
          </w:tcPr>
          <w:p>
            <w:pPr>
              <w:spacing w:before="20" w:after="20"/>
              <w:jc w:val="left"/>
            </w:pPr>
            <w:r>
              <w:rPr>
                <w:b/>
                <w:sz w:val="17"/>
              </w:rPr>
              <w:t>Quietly favourable, publicly silent unless asked.</w:t>
            </w:r>
            <w:r>
              <w:rPr>
                <w:sz w:val="17"/>
              </w:rPr>
              <w:t xml:space="preserve"> Will not patron, will not testify unprompted, will supply supportive workforce data if the Secretary of Administration clears it.</w:t>
            </w:r>
          </w:p>
        </w:tc>
        <w:tc>
          <w:tcPr>
            <w:tcW w:type="dxa" w:w="1440"/>
          </w:tcPr>
          <w:p>
            <w:pPr>
              <w:spacing w:before="20" w:after="20"/>
              <w:jc w:val="left"/>
            </w:pPr>
            <w:r>
              <w:rPr>
                <w:sz w:val="17"/>
              </w:rPr>
              <w:t xml:space="preserve">DHRM's own February 2026 presentation to the Senate Finance &amp; Appropriations General Government Subcommittee frames its problem as recruitment and retention: FY25 vacancy rate </w:t>
            </w:r>
            <w:r>
              <w:rPr>
                <w:b/>
                <w:sz w:val="17"/>
              </w:rPr>
              <w:t>13.0%</w:t>
            </w:r>
            <w:r>
              <w:rPr>
                <w:sz w:val="17"/>
              </w:rPr>
              <w:t xml:space="preserve">, turnover </w:t>
            </w:r>
            <w:r>
              <w:rPr>
                <w:b/>
                <w:sz w:val="17"/>
              </w:rPr>
              <w:t>12.8%</w:t>
            </w:r>
            <w:r>
              <w:rPr>
                <w:sz w:val="17"/>
              </w:rPr>
              <w:t xml:space="preserve">, probationary turnover </w:t>
            </w:r>
            <w:r>
              <w:rPr>
                <w:b/>
                <w:sz w:val="17"/>
              </w:rPr>
              <w:t>25.6%</w:t>
            </w:r>
            <w:r>
              <w:rPr>
                <w:sz w:val="17"/>
              </w:rPr>
              <w:t xml:space="preserve">, average time to hire </w:t>
            </w:r>
            <w:r>
              <w:rPr>
                <w:b/>
                <w:sz w:val="17"/>
              </w:rPr>
              <w:t>68 days</w:t>
            </w:r>
            <w:r>
              <w:rPr>
                <w:sz w:val="17"/>
              </w:rPr>
              <w:t xml:space="preserve">, and the key message that "voluntary resignations in </w:t>
            </w:r>
            <w:r>
              <w:rPr>
                <w:b/>
                <w:sz w:val="17"/>
              </w:rPr>
              <w:t>first 5 years</w:t>
            </w:r>
            <w:r>
              <w:rPr>
                <w:sz w:val="17"/>
              </w:rPr>
              <w:t xml:space="preserve"> remain significant." The </w:t>
            </w:r>
            <w:r>
              <w:rPr>
                <w:b/>
                <w:sz w:val="17"/>
              </w:rPr>
              <w:t>average age of new hires is 39.1 years</w:t>
            </w:r>
            <w:r>
              <w:rPr>
                <w:sz w:val="17"/>
              </w:rPr>
              <w:t xml:space="preserve"> against an average workforce age of 46.1 — the Commonwealth hires mid-career, which is the structural fact our bill is responding to. DHRM administers the § 2.2-2903 veteran preference and executive-branch agencies are charged with achieving V3 certification, so veteran recruitment is an assigned objective.</w:t>
            </w:r>
          </w:p>
        </w:tc>
        <w:tc>
          <w:tcPr>
            <w:tcW w:type="dxa" w:w="1440"/>
          </w:tcPr>
          <w:p>
            <w:pPr>
              <w:spacing w:before="20" w:after="20"/>
              <w:jc w:val="left"/>
            </w:pPr>
            <w:r>
              <w:rPr>
                <w:b/>
                <w:sz w:val="17"/>
              </w:rPr>
              <w:t>Medium</w:t>
            </w:r>
            <w:r>
              <w:rPr>
                <w:sz w:val="17"/>
              </w:rPr>
              <w:t xml:space="preserve"> (inferred from a consistent public record on the adjacent question; no DHRM position on VRS purchase-of-service found).</w:t>
            </w:r>
          </w:p>
        </w:tc>
        <w:tc>
          <w:tcPr>
            <w:tcW w:type="dxa" w:w="1440"/>
          </w:tcPr>
          <w:p>
            <w:pPr>
              <w:spacing w:before="20" w:after="20"/>
              <w:jc w:val="left"/>
            </w:pPr>
            <w:r>
              <w:rPr>
                <w:sz w:val="17"/>
              </w:rPr>
              <w:t xml:space="preserve">DHRM, </w:t>
            </w:r>
            <w:r>
              <w:rPr>
                <w:i/>
                <w:sz w:val="17"/>
              </w:rPr>
              <w:t>State Employee Workforce, Compensation, Health Benefits Update</w:t>
            </w:r>
            <w:r>
              <w:rPr>
                <w:sz w:val="17"/>
              </w:rPr>
              <w:t>, presented to SFAC General Government Subcommittee, 2026-02-03, slides 10–13, 48–52; § 2.2-2903; DHRM Policy 2.10 (Hiring).</w:t>
            </w:r>
          </w:p>
        </w:tc>
      </w:tr>
    </w:tbl>
    <w:p>
      <w:pPr>
        <w:spacing w:before="0" w:after="0" w:line="80" w:lineRule="exact"/>
      </w:pPr>
      <w:r>
        <w:rPr>
          <w:sz w:val="8"/>
        </w:rPr>
      </w:r>
    </w:p>
    <w:p>
      <w:r>
        <w:rPr>
          <w:b/>
        </w:rPr>
        <w:t>Two honest problems with the DHRM argument, which the subcommittee will find if we do not state them first.</w:t>
      </w:r>
    </w:p>
    <w:p>
      <w:pPr>
        <w:spacing w:after="60"/>
        <w:ind w:left="432" w:hanging="432"/>
      </w:pPr>
      <w:r>
        <w:rPr>
          <w:b/>
        </w:rPr>
        <w:t>1.</w:t>
        <w:tab/>
      </w:r>
      <w:r>
        <w:rPr>
          <w:b/>
        </w:rPr>
        <w:t>The retention case points the wrong way in time.</w:t>
      </w:r>
      <w:r>
        <w:t xml:space="preserve"> DHRM's attrition problem is concentrated in years 0–5 — which is </w:t>
      </w:r>
      <w:r>
        <w:rPr>
          <w:i/>
        </w:rPr>
        <w:t>inside</w:t>
      </w:r>
      <w:r>
        <w:t xml:space="preserve"> the existing 24-month window. A veteran who leaves in year three was always able to buy at the discounted price. Our bill helps retention in years 5–25. That is a real benefit (it gives a mid-career veteran a reason to stay for a milestone) but it is </w:t>
      </w:r>
      <w:r>
        <w:rPr>
          <w:b/>
        </w:rPr>
        <w:t>not</w:t>
      </w:r>
      <w:r>
        <w:t xml:space="preserve"> the problem DHRM told Senate Finance it has, and claiming otherwise is how we lose credibility with Michael Jay and Mike Tweedy.</w:t>
      </w:r>
    </w:p>
    <w:p>
      <w:pPr>
        <w:spacing w:after="60"/>
        <w:ind w:left="432" w:hanging="432"/>
      </w:pPr>
      <w:r>
        <w:rPr>
          <w:b/>
        </w:rPr>
        <w:t>2.</w:t>
        <w:tab/>
      </w:r>
      <w:r>
        <w:rPr>
          <w:b/>
        </w:rPr>
        <w:t>DHRM cannot count veterans.</w:t>
      </w:r>
      <w:r>
        <w:t xml:space="preserve"> Its own slide reports classified employees as </w:t>
      </w:r>
      <w:r>
        <w:rPr>
          <w:b/>
        </w:rPr>
        <w:t>6% veteran, 25% not a veteran, 69% unknown</w:t>
      </w:r>
      <w:r>
        <w:t xml:space="preserve">. The denominator for any take-up estimate does not exist in DHRM's data, and VRS said the same of teachers in 2023. </w:t>
      </w:r>
      <w:r>
        <w:rPr>
          <w:b/>
        </w:rPr>
        <w:t>This is the single most consequential operational fact in the whole political analysis</w:t>
      </w:r>
      <w:r>
        <w:t xml:space="preserve"> and it is addressed in § 5.</w:t>
      </w:r>
    </w:p>
    <w:p>
      <w:pPr>
        <w:pStyle w:val="Heading3"/>
      </w:pPr>
      <w:r>
        <w:t>3.3 Local government</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Actor</w:t>
            </w:r>
          </w:p>
        </w:tc>
        <w:tc>
          <w:tcPr>
            <w:tcW w:type="dxa" w:w="1440"/>
          </w:tcPr>
          <w:p>
            <w:pPr>
              <w:spacing w:before="20" w:after="20"/>
              <w:jc w:val="left"/>
            </w:pPr>
            <w:r>
              <w:rPr>
                <w:b/>
                <w:sz w:val="17"/>
              </w:rPr>
              <w:t>Type</w:t>
            </w:r>
          </w:p>
        </w:tc>
        <w:tc>
          <w:tcPr>
            <w:tcW w:type="dxa" w:w="1440"/>
          </w:tcPr>
          <w:p>
            <w:pPr>
              <w:spacing w:before="20" w:after="20"/>
              <w:jc w:val="left"/>
            </w:pPr>
            <w:r>
              <w:rPr>
                <w:b/>
                <w:sz w:val="17"/>
              </w:rPr>
              <w:t>Likely position</w:t>
            </w:r>
          </w:p>
        </w:tc>
        <w:tc>
          <w:tcPr>
            <w:tcW w:type="dxa" w:w="1440"/>
          </w:tcPr>
          <w:p>
            <w:pPr>
              <w:spacing w:before="20" w:after="20"/>
              <w:jc w:val="left"/>
            </w:pPr>
            <w:r>
              <w:rPr>
                <w:b/>
                <w:sz w:val="17"/>
              </w:rPr>
              <w:t>Reason</w:t>
            </w:r>
          </w:p>
        </w:tc>
        <w:tc>
          <w:tcPr>
            <w:tcW w:type="dxa" w:w="1440"/>
          </w:tcPr>
          <w:p>
            <w:pPr>
              <w:spacing w:before="20" w:after="20"/>
              <w:jc w:val="left"/>
            </w:pPr>
            <w:r>
              <w:rPr>
                <w:b/>
                <w:sz w:val="17"/>
              </w:rPr>
              <w:t>Confidence</w:t>
            </w:r>
          </w:p>
        </w:tc>
        <w:tc>
          <w:tcPr>
            <w:tcW w:type="dxa" w:w="1440"/>
          </w:tcPr>
          <w:p>
            <w:pPr>
              <w:spacing w:before="20" w:after="20"/>
              <w:jc w:val="left"/>
            </w:pPr>
            <w:r>
              <w:rPr>
                <w:b/>
                <w:sz w:val="17"/>
              </w:rPr>
              <w:t>Public record</w:t>
            </w:r>
          </w:p>
        </w:tc>
      </w:tr>
      <w:tr>
        <w:tc>
          <w:tcPr>
            <w:tcW w:type="dxa" w:w="1440"/>
          </w:tcPr>
          <w:p>
            <w:pPr>
              <w:spacing w:before="20" w:after="20"/>
              <w:jc w:val="left"/>
            </w:pPr>
            <w:r>
              <w:rPr>
                <w:b/>
                <w:sz w:val="17"/>
              </w:rPr>
              <w:t>Virginia Association of Counties (VACo)</w:t>
            </w:r>
          </w:p>
        </w:tc>
        <w:tc>
          <w:tcPr>
            <w:tcW w:type="dxa" w:w="1440"/>
          </w:tcPr>
          <w:p>
            <w:pPr>
              <w:spacing w:before="20" w:after="20"/>
              <w:jc w:val="left"/>
            </w:pPr>
            <w:r>
              <w:rPr>
                <w:sz w:val="17"/>
              </w:rPr>
              <w:t>Local government association</w:t>
            </w:r>
          </w:p>
        </w:tc>
        <w:tc>
          <w:tcPr>
            <w:tcW w:type="dxa" w:w="1440"/>
          </w:tcPr>
          <w:p>
            <w:pPr>
              <w:spacing w:before="20" w:after="20"/>
              <w:jc w:val="left"/>
            </w:pPr>
            <w:r>
              <w:rPr>
                <w:b/>
                <w:sz w:val="17"/>
              </w:rPr>
              <w:t>Oppose as drafted; negotiable.</w:t>
            </w:r>
            <w:r>
              <w:rPr>
                <w:sz w:val="17"/>
              </w:rPr>
              <w:t xml:space="preserve"> The objection will be categorical ("unfunded mandate, state-imposed cost on localities") rather than specific to pensions, and the amendment they ask for is already written in their program.</w:t>
            </w:r>
          </w:p>
        </w:tc>
        <w:tc>
          <w:tcPr>
            <w:tcW w:type="dxa" w:w="1440"/>
          </w:tcPr>
          <w:p>
            <w:pPr>
              <w:spacing w:before="20" w:after="20"/>
              <w:jc w:val="left"/>
            </w:pPr>
            <w:r>
              <w:rPr>
                <w:sz w:val="17"/>
              </w:rPr>
              <w:t xml:space="preserve">VACo's </w:t>
            </w:r>
            <w:r>
              <w:rPr>
                <w:b/>
                <w:sz w:val="17"/>
              </w:rPr>
              <w:t>2027 Preliminary Legislative Program</w:t>
            </w:r>
            <w:r>
              <w:rPr>
                <w:sz w:val="17"/>
              </w:rPr>
              <w:t xml:space="preserve"> (released 2026-10-09) contains </w:t>
            </w:r>
            <w:r>
              <w:rPr>
                <w:b/>
                <w:sz w:val="17"/>
              </w:rPr>
              <w:t>no</w:t>
            </w:r>
            <w:r>
              <w:rPr>
                <w:sz w:val="17"/>
              </w:rPr>
              <w:t xml:space="preserve"> position on retirement, VRS, pensions or veterans — searched; zero occurrences. What it does contain, as a </w:t>
            </w:r>
            <w:r>
              <w:rPr>
                <w:i/>
                <w:sz w:val="17"/>
              </w:rPr>
              <w:t>Priority</w:t>
            </w:r>
            <w:r>
              <w:rPr>
                <w:sz w:val="17"/>
              </w:rPr>
              <w:t xml:space="preserve"> under General Government, is: "</w:t>
            </w:r>
            <w:r>
              <w:rPr>
                <w:b/>
                <w:sz w:val="17"/>
              </w:rPr>
              <w:t>Unfunded Mandates</w:t>
            </w:r>
            <w:r>
              <w:rPr>
                <w:sz w:val="17"/>
              </w:rPr>
              <w:t xml:space="preserve"> — VACo opposes unfunded mandates and shifting fiscal responsibility for existing and new programs by the Commonwealth from the state to localities… </w:t>
            </w:r>
            <w:r>
              <w:rPr>
                <w:b/>
                <w:sz w:val="17"/>
              </w:rPr>
              <w:t>When legislation with a cost to localities is passed by the General Assembly, the cost should be borne by the Commonwealth, and the legislation should contain a sunset clause providing that the mandate is not binding on localities until funding by the Commonwealth is provided</w:t>
            </w:r>
            <w:r>
              <w:rPr>
                <w:sz w:val="17"/>
              </w:rPr>
              <w:t xml:space="preserve">" (lines 740–748). Separately, under Finance: VACo "supports… </w:t>
            </w:r>
            <w:r>
              <w:rPr>
                <w:b/>
                <w:sz w:val="17"/>
              </w:rPr>
              <w:t>improvements to the process of local mandate review at the Commission on Local Government</w:t>
            </w:r>
            <w:r>
              <w:rPr>
                <w:sz w:val="17"/>
              </w:rPr>
              <w:t xml:space="preserve"> to capture the effects of mandates on localities more accurately" (lines 671–677).</w:t>
            </w:r>
          </w:p>
        </w:tc>
        <w:tc>
          <w:tcPr>
            <w:tcW w:type="dxa" w:w="1440"/>
          </w:tcPr>
          <w:p>
            <w:pPr>
              <w:spacing w:before="20" w:after="20"/>
              <w:jc w:val="left"/>
            </w:pPr>
            <w:r>
              <w:rPr>
                <w:b/>
                <w:sz w:val="17"/>
              </w:rPr>
              <w:t>High</w:t>
            </w:r>
            <w:r>
              <w:rPr>
                <w:sz w:val="17"/>
              </w:rPr>
              <w:t xml:space="preserve"> for the categorical position and for the </w:t>
            </w:r>
            <w:r>
              <w:rPr>
                <w:i/>
                <w:sz w:val="17"/>
              </w:rPr>
              <w:t>form</w:t>
            </w:r>
            <w:r>
              <w:rPr>
                <w:sz w:val="17"/>
              </w:rPr>
              <w:t xml:space="preserve"> of the amendment they will seek (that final sentence is a drafted template). </w:t>
            </w:r>
            <w:r>
              <w:rPr>
                <w:b/>
                <w:sz w:val="17"/>
              </w:rPr>
              <w:t>Medium</w:t>
            </w:r>
            <w:r>
              <w:rPr>
                <w:sz w:val="17"/>
              </w:rPr>
              <w:t xml:space="preserve"> for intensity — with no retirement plank, no VACo staff member owns this fight.</w:t>
            </w:r>
          </w:p>
        </w:tc>
        <w:tc>
          <w:tcPr>
            <w:tcW w:type="dxa" w:w="1440"/>
          </w:tcPr>
          <w:p>
            <w:pPr>
              <w:spacing w:before="20" w:after="20"/>
              <w:jc w:val="left"/>
            </w:pPr>
            <w:r>
              <w:rPr>
                <w:sz w:val="17"/>
              </w:rPr>
              <w:t xml:space="preserve">VACo, </w:t>
            </w:r>
            <w:r>
              <w:rPr>
                <w:i/>
                <w:sz w:val="17"/>
              </w:rPr>
              <w:t>2027 Preliminary Legislative Program</w:t>
            </w:r>
            <w:r>
              <w:rPr>
                <w:sz w:val="17"/>
              </w:rPr>
              <w:t>, 2026-10-09. Final adoption scheduled 2026-11-10 (steering committees 11/08, Resolutions Committee 11/09).</w:t>
            </w:r>
          </w:p>
        </w:tc>
      </w:tr>
      <w:tr>
        <w:tc>
          <w:tcPr>
            <w:tcW w:type="dxa" w:w="1440"/>
          </w:tcPr>
          <w:p>
            <w:pPr>
              <w:spacing w:before="20" w:after="20"/>
              <w:jc w:val="left"/>
            </w:pPr>
            <w:r>
              <w:rPr>
                <w:b/>
                <w:sz w:val="17"/>
              </w:rPr>
              <w:t>Virginia Municipal League (VML)</w:t>
            </w:r>
          </w:p>
        </w:tc>
        <w:tc>
          <w:tcPr>
            <w:tcW w:type="dxa" w:w="1440"/>
          </w:tcPr>
          <w:p>
            <w:pPr>
              <w:spacing w:before="20" w:after="20"/>
              <w:jc w:val="left"/>
            </w:pPr>
            <w:r>
              <w:rPr>
                <w:sz w:val="17"/>
              </w:rPr>
              <w:t>Local government association</w:t>
            </w:r>
          </w:p>
        </w:tc>
        <w:tc>
          <w:tcPr>
            <w:tcW w:type="dxa" w:w="1440"/>
          </w:tcPr>
          <w:p>
            <w:pPr>
              <w:spacing w:before="20" w:after="20"/>
              <w:jc w:val="left"/>
            </w:pPr>
            <w:r>
              <w:rPr>
                <w:b/>
                <w:sz w:val="17"/>
              </w:rPr>
              <w:t>Same as VACo, lower intensity.</w:t>
            </w:r>
          </w:p>
        </w:tc>
        <w:tc>
          <w:tcPr>
            <w:tcW w:type="dxa" w:w="1440"/>
          </w:tcPr>
          <w:p>
            <w:pPr>
              <w:spacing w:before="20" w:after="20"/>
              <w:jc w:val="left"/>
            </w:pPr>
            <w:r>
              <w:rPr>
                <w:sz w:val="17"/>
              </w:rPr>
              <w:t xml:space="preserve">VML's </w:t>
            </w:r>
            <w:r>
              <w:rPr>
                <w:b/>
                <w:sz w:val="17"/>
              </w:rPr>
              <w:t>2027 Legislative Program, approved 2026-10-12</w:t>
            </w:r>
            <w:r>
              <w:rPr>
                <w:sz w:val="17"/>
              </w:rPr>
              <w:t xml:space="preserve">, likewise contains </w:t>
            </w:r>
            <w:r>
              <w:rPr>
                <w:b/>
                <w:sz w:val="17"/>
              </w:rPr>
              <w:t>no</w:t>
            </w:r>
            <w:r>
              <w:rPr>
                <w:sz w:val="17"/>
              </w:rPr>
              <w:t xml:space="preserve"> retirement, VRS, pension or veteran position — searched; zero occurrences. Its applicable language is general: "Any mandate from the state should include full funding for the locality," plus repeated opposition to shifting state funding responsibility onto localities. VML's identified VRS interest in the 2026–27 cycle has been in the </w:t>
            </w:r>
            <w:r>
              <w:rPr>
                <w:i/>
                <w:sz w:val="17"/>
              </w:rPr>
              <w:t>opposite</w:t>
            </w:r>
            <w:r>
              <w:rPr>
                <w:sz w:val="17"/>
              </w:rPr>
              <w:t xml:space="preserve"> direction: seeking state </w:t>
            </w:r>
            <w:r>
              <w:rPr>
                <w:b/>
                <w:sz w:val="17"/>
              </w:rPr>
              <w:t>funding</w:t>
            </w:r>
            <w:r>
              <w:rPr>
                <w:sz w:val="17"/>
              </w:rPr>
              <w:t xml:space="preserve"> for enhanced hazardous-duty benefits for dispatchers and animal control officers.</w:t>
            </w:r>
          </w:p>
        </w:tc>
        <w:tc>
          <w:tcPr>
            <w:tcW w:type="dxa" w:w="1440"/>
          </w:tcPr>
          <w:p>
            <w:pPr>
              <w:spacing w:before="20" w:after="20"/>
              <w:jc w:val="left"/>
            </w:pPr>
            <w:r>
              <w:rPr>
                <w:b/>
                <w:sz w:val="17"/>
              </w:rPr>
              <w:t>Medium</w:t>
            </w:r>
            <w:r>
              <w:rPr>
                <w:sz w:val="17"/>
              </w:rPr>
              <w:t xml:space="preserve"> (inferred — pattern; the program is silent on the specific question).</w:t>
            </w:r>
          </w:p>
        </w:tc>
        <w:tc>
          <w:tcPr>
            <w:tcW w:type="dxa" w:w="1440"/>
          </w:tcPr>
          <w:p>
            <w:pPr>
              <w:spacing w:before="20" w:after="20"/>
              <w:jc w:val="left"/>
            </w:pPr>
            <w:r>
              <w:rPr>
                <w:sz w:val="17"/>
              </w:rPr>
              <w:t xml:space="preserve">VML, </w:t>
            </w:r>
            <w:r>
              <w:rPr>
                <w:i/>
                <w:sz w:val="17"/>
              </w:rPr>
              <w:t>2027 Legislative Program</w:t>
            </w:r>
            <w:r>
              <w:rPr>
                <w:sz w:val="17"/>
              </w:rPr>
              <w:t>, approved 2026-10-12.</w:t>
            </w:r>
          </w:p>
        </w:tc>
      </w:tr>
      <w:tr>
        <w:tc>
          <w:tcPr>
            <w:tcW w:type="dxa" w:w="1440"/>
          </w:tcPr>
          <w:p>
            <w:pPr>
              <w:spacing w:before="20" w:after="20"/>
              <w:jc w:val="left"/>
            </w:pPr>
            <w:r>
              <w:rPr>
                <w:b/>
                <w:sz w:val="17"/>
              </w:rPr>
              <w:t>Commission on Local Government (CLG)</w:t>
            </w:r>
          </w:p>
        </w:tc>
        <w:tc>
          <w:tcPr>
            <w:tcW w:type="dxa" w:w="1440"/>
          </w:tcPr>
          <w:p>
            <w:pPr>
              <w:spacing w:before="20" w:after="20"/>
              <w:jc w:val="left"/>
            </w:pPr>
            <w:r>
              <w:rPr>
                <w:sz w:val="17"/>
              </w:rPr>
              <w:t>State commission (within DHCD)</w:t>
            </w:r>
          </w:p>
        </w:tc>
        <w:tc>
          <w:tcPr>
            <w:tcW w:type="dxa" w:w="1440"/>
          </w:tcPr>
          <w:p>
            <w:pPr>
              <w:spacing w:before="20" w:after="20"/>
              <w:jc w:val="left"/>
            </w:pPr>
            <w:r>
              <w:rPr>
                <w:b/>
                <w:sz w:val="17"/>
              </w:rPr>
              <w:t>Will transmit, and will very likely file its own local fiscal impact statement that reads as adverse. Takes no policy side, but the document will not be neutral in effect.</w:t>
            </w:r>
          </w:p>
        </w:tc>
        <w:tc>
          <w:tcPr>
            <w:tcW w:type="dxa" w:w="1440"/>
          </w:tcPr>
          <w:p>
            <w:pPr>
              <w:spacing w:before="20" w:after="20"/>
              <w:jc w:val="left"/>
            </w:pPr>
            <w:r>
              <w:rPr>
                <w:sz w:val="17"/>
              </w:rPr>
              <w:t xml:space="preserve">CLG is a named recipient of the VRS impact statement under § 30-19.1:7. Separately, under § 30-19.03 CLG must file a local fiscal impact statement for each bill identified by the Division of Legislative Services, DPB and others as likely to impose a net additional expenditure on one or more localities — and those statements are </w:t>
            </w:r>
            <w:r>
              <w:rPr>
                <w:b/>
                <w:sz w:val="17"/>
              </w:rPr>
              <w:t>built from the analyses of local officials in a cross-section of roughly 40 localities</w:t>
            </w:r>
            <w:r>
              <w:rPr>
                <w:sz w:val="17"/>
              </w:rPr>
              <w:t xml:space="preserve">. That is the channel through which diffuse local opposition becomes a document in the bill file. </w:t>
            </w:r>
            <w:r>
              <w:rPr>
                <w:b/>
                <w:sz w:val="17"/>
              </w:rPr>
              <w:t>Red Team F-2 sharpens this row</w:t>
            </w:r>
            <w:r>
              <w:rPr>
                <w:sz w:val="17"/>
              </w:rPr>
              <w:t>: because our own model assigns $23M–$42M to localities through rates they never vote on, a § 30-19.03 statement is close to unavoidable, and it will be the document that contradicts a "$0" headline.</w:t>
            </w:r>
          </w:p>
        </w:tc>
        <w:tc>
          <w:tcPr>
            <w:tcW w:type="dxa" w:w="1440"/>
          </w:tcPr>
          <w:p>
            <w:pPr>
              <w:spacing w:before="20" w:after="20"/>
              <w:jc w:val="left"/>
            </w:pPr>
            <w:r>
              <w:rPr>
                <w:b/>
                <w:sz w:val="17"/>
              </w:rPr>
              <w:t>High</w:t>
            </w:r>
            <w:r>
              <w:rPr>
                <w:sz w:val="17"/>
              </w:rPr>
              <w:t xml:space="preserve"> for the institutional role and for the likelihood of a filing; </w:t>
            </w:r>
            <w:r>
              <w:rPr>
                <w:b/>
                <w:sz w:val="17"/>
              </w:rPr>
              <w:t>Low</w:t>
            </w:r>
            <w:r>
              <w:rPr>
                <w:sz w:val="17"/>
              </w:rPr>
              <w:t xml:space="preserve"> for the specific content.</w:t>
            </w:r>
          </w:p>
        </w:tc>
        <w:tc>
          <w:tcPr>
            <w:tcW w:type="dxa" w:w="1440"/>
          </w:tcPr>
          <w:p>
            <w:pPr>
              <w:spacing w:before="20" w:after="20"/>
              <w:jc w:val="left"/>
            </w:pPr>
            <w:r>
              <w:rPr>
                <w:sz w:val="17"/>
              </w:rPr>
              <w:t xml:space="preserve">§ 30-19.1:7; § 30-19.03; § 15.2-2903; DHCD/CLG, </w:t>
            </w:r>
            <w:r>
              <w:rPr>
                <w:i/>
                <w:sz w:val="17"/>
              </w:rPr>
              <w:t>Fiscal Impact Review</w:t>
            </w:r>
            <w:r>
              <w:rPr>
                <w:sz w:val="17"/>
              </w:rPr>
              <w:t xml:space="preserve">; CLG </w:t>
            </w:r>
            <w:r>
              <w:rPr>
                <w:i/>
                <w:sz w:val="17"/>
              </w:rPr>
              <w:t>Catalog of State and Federal Mandates on Local Governments</w:t>
            </w:r>
            <w:r>
              <w:rPr>
                <w:sz w:val="17"/>
              </w:rPr>
              <w:t xml:space="preserve"> (RD336, published 2026); Red Team Review F-2.</w:t>
            </w:r>
          </w:p>
        </w:tc>
      </w:tr>
      <w:tr>
        <w:tc>
          <w:tcPr>
            <w:tcW w:type="dxa" w:w="1440"/>
          </w:tcPr>
          <w:p>
            <w:pPr>
              <w:spacing w:before="20" w:after="20"/>
              <w:jc w:val="left"/>
            </w:pPr>
            <w:r>
              <w:rPr>
                <w:b/>
                <w:sz w:val="17"/>
              </w:rPr>
              <w:t>Individual large localities (e.g. Fairfax County)</w:t>
            </w:r>
          </w:p>
        </w:tc>
        <w:tc>
          <w:tcPr>
            <w:tcW w:type="dxa" w:w="1440"/>
          </w:tcPr>
          <w:p>
            <w:pPr>
              <w:spacing w:before="20" w:after="20"/>
              <w:jc w:val="left"/>
            </w:pPr>
            <w:r>
              <w:rPr>
                <w:sz w:val="17"/>
              </w:rPr>
              <w:t>Locality</w:t>
            </w:r>
          </w:p>
        </w:tc>
        <w:tc>
          <w:tcPr>
            <w:tcW w:type="dxa" w:w="1440"/>
          </w:tcPr>
          <w:p>
            <w:pPr>
              <w:spacing w:before="20" w:after="20"/>
              <w:jc w:val="left"/>
            </w:pPr>
            <w:r>
              <w:rPr>
                <w:b/>
                <w:sz w:val="17"/>
              </w:rPr>
              <w:t>Will not lead on this.</w:t>
            </w:r>
            <w:r>
              <w:rPr>
                <w:sz w:val="17"/>
              </w:rPr>
              <w:t xml:space="preserve"> Several publish their own legislative programs; Fairfax's 2027 draft went to its Board of Supervisors on 2026-10-06 and the surrounding coverage frames 2027 programs around state mandates and local cost impacts.</w:t>
            </w:r>
          </w:p>
        </w:tc>
        <w:tc>
          <w:tcPr>
            <w:tcW w:type="dxa" w:w="1440"/>
          </w:tcPr>
          <w:p>
            <w:pPr>
              <w:spacing w:before="20" w:after="20"/>
              <w:jc w:val="left"/>
            </w:pPr>
            <w:r>
              <w:rPr>
                <w:b/>
                <w:sz w:val="17"/>
              </w:rPr>
              <w:t>Low</w:t>
            </w:r>
            <w:r>
              <w:rPr>
                <w:sz w:val="17"/>
              </w:rPr>
              <w:t xml:space="preserve"> (inferred — interest; no locality-specific position on this bill found).</w:t>
            </w:r>
          </w:p>
        </w:tc>
        <w:tc>
          <w:tcPr>
            <w:tcW w:type="dxa" w:w="1440"/>
          </w:tcPr>
          <w:p>
            <w:pPr>
              <w:spacing w:before="20" w:after="20"/>
              <w:jc w:val="left"/>
            </w:pPr>
            <w:r>
              <w:rPr>
                <w:sz w:val="17"/>
              </w:rPr>
              <w:t xml:space="preserve">Fairfax County, </w:t>
            </w:r>
            <w:r>
              <w:rPr>
                <w:i/>
                <w:sz w:val="17"/>
              </w:rPr>
              <w:t>2027 Draft Legislative Program</w:t>
            </w:r>
            <w:r>
              <w:rPr>
                <w:sz w:val="17"/>
              </w:rPr>
              <w:t>, Board of Supervisors 2026-10-06.</w:t>
            </w:r>
          </w:p>
        </w:tc>
        <w:tc>
          <w:tcPr>
            <w:tcW w:type="dxa" w:w="1440"/>
          </w:tcPr>
          <w:p>
            <w:pPr>
              <w:spacing w:before="20" w:after="20"/>
              <w:jc w:val="left"/>
            </w:pPr>
          </w:p>
        </w:tc>
      </w:tr>
    </w:tbl>
    <w:p>
      <w:pPr>
        <w:spacing w:before="0" w:after="0" w:line="80" w:lineRule="exact"/>
      </w:pPr>
      <w:r>
        <w:rPr>
          <w:sz w:val="8"/>
        </w:rPr>
      </w:r>
    </w:p>
    <w:p>
      <w:r>
        <w:rPr>
          <w:b/>
        </w:rPr>
        <w:t>The Dillon's Rule reading.</w:t>
      </w:r>
      <w:r>
        <w:t xml:space="preserve"> Virginia localities oppose preemption and unfunded mandates as a </w:t>
      </w:r>
      <w:r>
        <w:rPr>
          <w:i/>
        </w:rPr>
        <w:t>category</w:t>
      </w:r>
      <w:r>
        <w:t xml:space="preserve">, nearly independent of the policy. The useful consequence is that the objection is not about veterans and is therefore purchasable. The two things VACo's own program says it wants are (a) the Commonwealth bearing the cost, or (b) the provision not binding localities until funded. </w:t>
      </w:r>
      <w:r>
        <w:rPr>
          <w:b/>
        </w:rPr>
        <w:t>Option (b) is functionally the opt-in-by-resolution structure modelled on § 51.1-153 B 4</w:t>
      </w:r>
      <w:r>
        <w:t xml:space="preserve"> that JLCVSO rejected on 2026-10-24. See § 6.</w:t>
      </w:r>
    </w:p>
    <w:p>
      <w:r>
        <w:rPr>
          <w:b/>
        </w:rPr>
        <w:t>Conflict to flag to the Fiscal &amp; Impact Modeler.</w:t>
      </w:r>
      <w:r>
        <w:t xml:space="preserve"> VACo and VML will characterise this as an unfunded mandate with a cost to localities. Our model says no appropriation ask plus a one-time present value borne through employer contribution rates (figure at </w:t>
      </w:r>
      <w:r>
        <w:rPr>
          <w:rFonts w:ascii="Consolas" w:hAnsi="Consolas"/>
          <w:color w:val="303030"/>
          <w:sz w:val="18"/>
        </w:rPr>
        <w:t>00</w:t>
      </w:r>
      <w:r>
        <w:t xml:space="preserve"> v1.3). Both statements can be true at once, and the package already says so. But </w:t>
      </w:r>
      <w:r>
        <w:rPr>
          <w:b/>
        </w:rPr>
        <w:t>present value is the wrong unit for this audience.</w:t>
      </w:r>
      <w:r>
        <w:t xml:space="preserve"> A county administrator responds to "this adds N basis points to your FY29 employer rate," not to a statewide PV range. The political analysis needs a per-employer rate-impact figure for the political subdivision pool and for the Teacher plan, at low and high take-up. </w:t>
      </w:r>
      <w:r>
        <w:rPr>
          <w:b/>
        </w:rPr>
        <w:t>Requested of Fiscal &amp; Impact Modeler as a discrete deliverable — partially delivered as of 2026-10-25; see § 11.</w:t>
      </w:r>
      <w:r>
        <w:t xml:space="preserve"> For scale, the Board-certified FY27/FY28 rates are: public school teachers 12.20%, state employees 11.07%, SPORS 31.67%, VaLORS 22.60%, JRS 30.49%; VACo reports the average actuarially determined political-subdivision DB rate at 4.98% without enhanced hazardous duty and 12.32% with it.</w:t>
      </w:r>
    </w:p>
    <w:p>
      <w:pPr>
        <w:pStyle w:val="Heading3"/>
      </w:pPr>
      <w:r>
        <w:t>3.4 Veterans organisations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Actor</w:t>
            </w:r>
          </w:p>
        </w:tc>
        <w:tc>
          <w:tcPr>
            <w:tcW w:type="dxa" w:w="1440"/>
          </w:tcPr>
          <w:p>
            <w:pPr>
              <w:spacing w:before="20" w:after="20"/>
              <w:jc w:val="left"/>
            </w:pPr>
            <w:r>
              <w:rPr>
                <w:b/>
                <w:sz w:val="17"/>
              </w:rPr>
              <w:t>Type</w:t>
            </w:r>
          </w:p>
        </w:tc>
        <w:tc>
          <w:tcPr>
            <w:tcW w:type="dxa" w:w="1440"/>
          </w:tcPr>
          <w:p>
            <w:pPr>
              <w:spacing w:before="20" w:after="20"/>
              <w:jc w:val="left"/>
            </w:pPr>
            <w:r>
              <w:rPr>
                <w:b/>
                <w:sz w:val="17"/>
              </w:rPr>
              <w:t>Likely position</w:t>
            </w:r>
          </w:p>
        </w:tc>
        <w:tc>
          <w:tcPr>
            <w:tcW w:type="dxa" w:w="1440"/>
          </w:tcPr>
          <w:p>
            <w:pPr>
              <w:spacing w:before="20" w:after="20"/>
              <w:jc w:val="left"/>
            </w:pPr>
            <w:r>
              <w:rPr>
                <w:b/>
                <w:sz w:val="17"/>
              </w:rPr>
              <w:t>Reason</w:t>
            </w:r>
          </w:p>
        </w:tc>
        <w:tc>
          <w:tcPr>
            <w:tcW w:type="dxa" w:w="1440"/>
          </w:tcPr>
          <w:p>
            <w:pPr>
              <w:spacing w:before="20" w:after="20"/>
              <w:jc w:val="left"/>
            </w:pPr>
            <w:r>
              <w:rPr>
                <w:b/>
                <w:sz w:val="17"/>
              </w:rPr>
              <w:t>Confidence</w:t>
            </w:r>
          </w:p>
        </w:tc>
        <w:tc>
          <w:tcPr>
            <w:tcW w:type="dxa" w:w="1440"/>
          </w:tcPr>
          <w:p>
            <w:pPr>
              <w:spacing w:before="20" w:after="20"/>
              <w:jc w:val="left"/>
            </w:pPr>
            <w:r>
              <w:rPr>
                <w:b/>
                <w:sz w:val="17"/>
              </w:rPr>
              <w:t>Public record</w:t>
            </w:r>
          </w:p>
        </w:tc>
      </w:tr>
      <w:tr>
        <w:tc>
          <w:tcPr>
            <w:tcW w:type="dxa" w:w="1440"/>
          </w:tcPr>
          <w:p>
            <w:pPr>
              <w:spacing w:before="20" w:after="20"/>
              <w:jc w:val="left"/>
            </w:pPr>
            <w:r>
              <w:rPr>
                <w:b/>
                <w:sz w:val="17"/>
              </w:rPr>
              <w:t>Joint Leadership Council of Veterans Service Organizations (JLC/JLCVSO)</w:t>
            </w:r>
            <w:r>
              <w:rPr>
                <w:sz w:val="17"/>
              </w:rPr>
              <w:t xml:space="preserve"> — 27 member VSOs</w:t>
            </w:r>
          </w:p>
        </w:tc>
        <w:tc>
          <w:tcPr>
            <w:tcW w:type="dxa" w:w="1440"/>
          </w:tcPr>
          <w:p>
            <w:pPr>
              <w:spacing w:before="20" w:after="20"/>
              <w:jc w:val="left"/>
            </w:pPr>
            <w:r>
              <w:rPr>
                <w:sz w:val="17"/>
              </w:rPr>
              <w:t>Statutory advisory council (§ 2.2-2681)</w:t>
            </w:r>
          </w:p>
        </w:tc>
        <w:tc>
          <w:tcPr>
            <w:tcW w:type="dxa" w:w="1440"/>
          </w:tcPr>
          <w:p>
            <w:pPr>
              <w:spacing w:before="20" w:after="20"/>
              <w:jc w:val="left"/>
            </w:pPr>
            <w:r>
              <w:rPr>
                <w:b/>
                <w:sz w:val="17"/>
              </w:rPr>
              <w:t>Supportive — but almost certainly not on the adopted 2027 slate, and the one remaining internal gate is 2026-12-17.</w:t>
            </w:r>
          </w:p>
        </w:tc>
        <w:tc>
          <w:tcPr>
            <w:tcW w:type="dxa" w:w="1440"/>
          </w:tcPr>
          <w:p>
            <w:pPr>
              <w:spacing w:before="20" w:after="20"/>
              <w:jc w:val="left"/>
            </w:pPr>
            <w:r>
              <w:rPr>
                <w:sz w:val="17"/>
              </w:rPr>
              <w:t xml:space="preserve">The JLC's annual cycle is documented end to end (box below). For the 2026 session: at the 2025-04-23 Legislative Committee meeting </w:t>
            </w:r>
            <w:r>
              <w:rPr>
                <w:b/>
                <w:sz w:val="17"/>
              </w:rPr>
              <w:t>seventeen</w:t>
            </w:r>
            <w:r>
              <w:rPr>
                <w:sz w:val="17"/>
              </w:rPr>
              <w:t xml:space="preserve"> suggested initiatives were cut to </w:t>
            </w:r>
            <w:r>
              <w:rPr>
                <w:b/>
                <w:sz w:val="17"/>
              </w:rPr>
              <w:t>nine</w:t>
            </w:r>
            <w:r>
              <w:rPr>
                <w:sz w:val="17"/>
              </w:rPr>
              <w:t xml:space="preserve"> forwarded to the full Council; the Council adopted </w:t>
            </w:r>
            <w:r>
              <w:rPr>
                <w:b/>
                <w:sz w:val="17"/>
              </w:rPr>
              <w:t>six</w:t>
            </w:r>
            <w:r>
              <w:rPr>
                <w:sz w:val="17"/>
              </w:rPr>
              <w:t xml:space="preserve"> (JLC 2026-01 through 2026-06). </w:t>
            </w:r>
            <w:r>
              <w:rPr>
                <w:b/>
                <w:sz w:val="17"/>
              </w:rPr>
              <w:t>None of the nine forwarded, and none of the six adopted, concerned VRS, pensions or service credit.</w:t>
            </w:r>
            <w:r>
              <w:rPr>
                <w:sz w:val="17"/>
              </w:rPr>
              <w:t xml:space="preserve"> Every forwarded item was a tax, fee, tuition, education-program or consumer-protection item. For the 2027 session the same cycle ran on the dates in the box, with "Review of 2027 Legislative Initiatives" taken up at the </w:t>
            </w:r>
            <w:r>
              <w:rPr>
                <w:b/>
                <w:sz w:val="17"/>
              </w:rPr>
              <w:t>2026-09-16</w:t>
            </w:r>
            <w:r>
              <w:rPr>
                <w:sz w:val="17"/>
              </w:rPr>
              <w:t xml:space="preserve"> board meeting; </w:t>
            </w:r>
            <w:r>
              <w:rPr>
                <w:b/>
                <w:sz w:val="17"/>
              </w:rPr>
              <w:t>the minutes of the 2026 meetings are not posted and the DVS page that publishes the numbered initiatives is HTTP 403 to automated retrieval, so I cannot state the adopted 2027 slate's contents.</w:t>
            </w:r>
          </w:p>
        </w:tc>
        <w:tc>
          <w:tcPr>
            <w:tcW w:type="dxa" w:w="1440"/>
          </w:tcPr>
          <w:p>
            <w:pPr>
              <w:spacing w:before="20" w:after="20"/>
              <w:jc w:val="left"/>
            </w:pPr>
            <w:r>
              <w:rPr>
                <w:b/>
                <w:sz w:val="17"/>
              </w:rPr>
              <w:t>High</w:t>
            </w:r>
            <w:r>
              <w:rPr>
                <w:sz w:val="17"/>
              </w:rPr>
              <w:t xml:space="preserve"> that the 2026 slate contained no VRS item; </w:t>
            </w:r>
            <w:r>
              <w:rPr>
                <w:b/>
                <w:sz w:val="17"/>
              </w:rPr>
              <w:t>High</w:t>
            </w:r>
            <w:r>
              <w:rPr>
                <w:sz w:val="17"/>
              </w:rPr>
              <w:t xml:space="preserve"> on the 2027-cycle meeting calendar (primary agendas, retrieved); </w:t>
            </w:r>
            <w:r>
              <w:rPr>
                <w:b/>
                <w:sz w:val="17"/>
              </w:rPr>
              <w:t>Medium</w:t>
            </w:r>
            <w:r>
              <w:rPr>
                <w:sz w:val="17"/>
              </w:rPr>
              <w:t xml:space="preserve"> that the December meeting is a live channel for a late initiative (the add-on item is documented in the 2020 Work Plan, the most recent Work Plan I could retrieve, not in a 2026 one); </w:t>
            </w:r>
            <w:r>
              <w:rPr>
                <w:b/>
                <w:sz w:val="17"/>
              </w:rPr>
              <w:t>Low</w:t>
            </w:r>
            <w:r>
              <w:rPr>
                <w:sz w:val="17"/>
              </w:rPr>
              <w:t xml:space="preserve"> on the composition of the adopted 2027 slate (§ 9, U-1).</w:t>
            </w:r>
          </w:p>
        </w:tc>
        <w:tc>
          <w:tcPr>
            <w:tcW w:type="dxa" w:w="1440"/>
          </w:tcPr>
          <w:p>
            <w:pPr>
              <w:spacing w:before="20" w:after="20"/>
              <w:jc w:val="left"/>
            </w:pPr>
            <w:r>
              <w:rPr>
                <w:sz w:val="17"/>
              </w:rPr>
              <w:t xml:space="preserve">JLC Legislative Committee </w:t>
            </w:r>
            <w:r>
              <w:rPr>
                <w:i/>
                <w:sz w:val="17"/>
              </w:rPr>
              <w:t>Draft Meeting Minutes</w:t>
            </w:r>
            <w:r>
              <w:rPr>
                <w:sz w:val="17"/>
              </w:rPr>
              <w:t xml:space="preserve">, 2025-04-23, Items VII–IX; JLC draft agendas 2026-03-17, 2026-04-14, 2026-06-10, 2026-09-16 and the 2026-12-17 event record (Commonwealth Calendar); </w:t>
            </w:r>
            <w:r>
              <w:rPr>
                <w:i/>
                <w:sz w:val="17"/>
              </w:rPr>
              <w:t>JLC 2020 Work Plan</w:t>
            </w:r>
            <w:r>
              <w:rPr>
                <w:sz w:val="17"/>
              </w:rPr>
              <w:t>, Attachment 4 to the JLC minutes of 2019-12-18; § 2.2-2681; DVS JLC page (HTTP 403 — not retrieved).</w:t>
            </w:r>
          </w:p>
        </w:tc>
      </w:tr>
      <w:tr>
        <w:tc>
          <w:tcPr>
            <w:tcW w:type="dxa" w:w="1440"/>
          </w:tcPr>
          <w:p>
            <w:pPr>
              <w:spacing w:before="20" w:after="20"/>
              <w:jc w:val="left"/>
            </w:pPr>
            <w:r>
              <w:rPr>
                <w:b/>
                <w:sz w:val="17"/>
              </w:rPr>
              <w:t>Individual JLC member organisations</w:t>
            </w:r>
            <w:r>
              <w:rPr>
                <w:sz w:val="17"/>
              </w:rPr>
              <w:t xml:space="preserve"> — American Legion, VFW, DAV, MOAA (Virginia Council of Chapters), AUSA, Fleet Reserve Association, </w:t>
            </w:r>
            <w:r>
              <w:rPr>
                <w:b/>
                <w:sz w:val="17"/>
              </w:rPr>
              <w:t>Virginia National Guard Association</w:t>
            </w:r>
            <w:r>
              <w:rPr>
                <w:sz w:val="17"/>
              </w:rPr>
              <w:t>, Reserve Organization of America, Air Force Sergeants Association, AMVETS, Marine Corps League, Student Veterans of America, IAVA, Northern Virginia Veterans Association, HOPE for the Warriors, Military Order of the World Wars, Missing in America Project</w:t>
            </w:r>
          </w:p>
        </w:tc>
        <w:tc>
          <w:tcPr>
            <w:tcW w:type="dxa" w:w="1440"/>
          </w:tcPr>
          <w:p>
            <w:pPr>
              <w:spacing w:before="20" w:after="20"/>
              <w:jc w:val="left"/>
            </w:pPr>
            <w:r>
              <w:rPr>
                <w:sz w:val="17"/>
              </w:rPr>
              <w:t>Advocacy organisations</w:t>
            </w:r>
          </w:p>
        </w:tc>
        <w:tc>
          <w:tcPr>
            <w:tcW w:type="dxa" w:w="1440"/>
          </w:tcPr>
          <w:p>
            <w:pPr>
              <w:spacing w:before="20" w:after="20"/>
              <w:jc w:val="left"/>
            </w:pPr>
            <w:r>
              <w:rPr>
                <w:b/>
                <w:sz w:val="17"/>
              </w:rPr>
              <w:t>Supportive if asked; unlikely to prioritise.</w:t>
            </w:r>
            <w:r>
              <w:rPr>
                <w:sz w:val="17"/>
              </w:rPr>
              <w:t xml:space="preserve"> </w:t>
            </w:r>
            <w:r>
              <w:rPr>
                <w:b/>
                <w:sz w:val="17"/>
              </w:rPr>
              <w:t>Corrected in v1.2 — and the correction reverses v1.1's witness recommendation.</w:t>
            </w:r>
            <w:r>
              <w:rPr>
                <w:sz w:val="17"/>
              </w:rPr>
              <w:t xml:space="preserve"> v1.1 named MOAA's Virginia chapters and AUSA as the likeliest source of a credible witness "because their members </w:t>
            </w:r>
            <w:r>
              <w:rPr>
                <w:i/>
                <w:sz w:val="17"/>
              </w:rPr>
              <w:t>are</w:t>
            </w:r>
            <w:r>
              <w:rPr>
                <w:sz w:val="17"/>
              </w:rPr>
              <w:t xml:space="preserve"> retired officers who entered public employment after a military career." </w:t>
            </w:r>
            <w:r>
              <w:rPr>
                <w:b/>
                <w:sz w:val="17"/>
              </w:rPr>
              <w:t>That is the one cohort § 51.1-142.2 B 3 bars</w:t>
            </w:r>
            <w:r>
              <w:rPr>
                <w:sz w:val="17"/>
              </w:rPr>
              <w:t xml:space="preserve">: a regular 20-year retiree's active duty is already counted in the allowance they receive, and the 10 U.S.C. ch. 1223 exception rescues </w:t>
            </w:r>
            <w:r>
              <w:rPr>
                <w:b/>
                <w:sz w:val="17"/>
              </w:rPr>
              <w:t>Reserve and Guard</w:t>
            </w:r>
            <w:r>
              <w:rPr>
                <w:sz w:val="17"/>
              </w:rPr>
              <w:t xml:space="preserve"> retirees only. The well-served members are the </w:t>
            </w:r>
            <w:r>
              <w:rPr>
                <w:b/>
                <w:sz w:val="17"/>
              </w:rPr>
              <w:t>Guard, Reserve, enlisted and short-service</w:t>
            </w:r>
            <w:r>
              <w:rPr>
                <w:sz w:val="17"/>
              </w:rPr>
              <w:t xml:space="preserve"> organisations. Full analysis and a ranked sponsor list at </w:t>
            </w:r>
            <w:hyperlink r:id="rId10">
              <w:r>
                <w:rPr>
                  <w:rFonts w:ascii="Calibri" w:hAnsi="Calibri"/>
                  <w:color w:val="1A4F8A"/>
                  <w:u w:val="single"/>
                  <w:sz w:val="17"/>
                  <w:b/>
                </w:rPr>
                <w:t xml:space="preserve">Annex D § 4–5</w:t>
              </w:r>
            </w:hyperlink>
            <w:r>
              <w:rPr>
                <w:sz w:val="17"/>
              </w:rPr>
              <w:t>.</w:t>
            </w:r>
          </w:p>
        </w:tc>
        <w:tc>
          <w:tcPr>
            <w:tcW w:type="dxa" w:w="1440"/>
          </w:tcPr>
          <w:p>
            <w:pPr>
              <w:spacing w:before="20" w:after="20"/>
              <w:jc w:val="left"/>
            </w:pPr>
            <w:r>
              <w:rPr>
                <w:sz w:val="17"/>
              </w:rPr>
              <w:t xml:space="preserve">Member organisations and their representatives are named in the JLC Legislative Committee minutes; JLC seats confirmed against the DVS roster as indexed as of 2026-01-17. </w:t>
            </w:r>
            <w:r>
              <w:rPr>
                <w:b/>
                <w:sz w:val="17"/>
              </w:rPr>
              <w:t>No member organisation was found to have taken a public position on VRS purchase of service credit, in either direction.</w:t>
            </w:r>
            <w:r>
              <w:rPr>
                <w:sz w:val="17"/>
              </w:rPr>
              <w:t xml:space="preserve"> The eligibility asymmetry is Annex A § 4's and red team S-4's construction, not an independent legal reading.</w:t>
            </w:r>
          </w:p>
        </w:tc>
        <w:tc>
          <w:tcPr>
            <w:tcW w:type="dxa" w:w="1440"/>
          </w:tcPr>
          <w:p>
            <w:pPr>
              <w:spacing w:before="20" w:after="20"/>
              <w:jc w:val="left"/>
            </w:pPr>
            <w:r>
              <w:rPr>
                <w:b/>
                <w:sz w:val="17"/>
              </w:rPr>
              <w:t>High</w:t>
            </w:r>
            <w:r>
              <w:rPr>
                <w:sz w:val="17"/>
              </w:rPr>
              <w:t xml:space="preserve"> on the JLC seats and on the statutory asymmetry. </w:t>
            </w:r>
            <w:r>
              <w:rPr>
                <w:b/>
                <w:sz w:val="17"/>
              </w:rPr>
              <w:t>Low</w:t>
            </w:r>
            <w:r>
              <w:rPr>
                <w:sz w:val="17"/>
              </w:rPr>
              <w:t xml:space="preserve"> (inferred — interest) on any organisation's position.</w:t>
            </w:r>
          </w:p>
        </w:tc>
        <w:tc>
          <w:tcPr>
            <w:tcW w:type="dxa" w:w="1440"/>
          </w:tcPr>
          <w:p>
            <w:pPr>
              <w:spacing w:before="20" w:after="20"/>
              <w:jc w:val="left"/>
            </w:pPr>
            <w:r>
              <w:rPr>
                <w:sz w:val="17"/>
              </w:rPr>
              <w:t>JLC Legislative Committee minutes, 2025-04-23, attendance list; DVS JLC roster (403 — reached through the search index); Annex A § 4; red team S-4; Annex D § 4–5.</w:t>
            </w:r>
          </w:p>
        </w:tc>
      </w:tr>
      <w:tr>
        <w:tc>
          <w:tcPr>
            <w:tcW w:type="dxa" w:w="1440"/>
          </w:tcPr>
          <w:p>
            <w:pPr>
              <w:spacing w:before="20" w:after="20"/>
              <w:jc w:val="left"/>
            </w:pPr>
            <w:r>
              <w:rPr>
                <w:b/>
                <w:sz w:val="17"/>
              </w:rPr>
              <w:t>Department of Veterans Services (DVS) / Secretary of Veterans and Defense Affairs</w:t>
            </w:r>
          </w:p>
        </w:tc>
        <w:tc>
          <w:tcPr>
            <w:tcW w:type="dxa" w:w="1440"/>
          </w:tcPr>
          <w:p>
            <w:pPr>
              <w:spacing w:before="20" w:after="20"/>
              <w:jc w:val="left"/>
            </w:pPr>
            <w:r>
              <w:rPr>
                <w:sz w:val="17"/>
              </w:rPr>
              <w:t>State agency / cabinet</w:t>
            </w:r>
          </w:p>
        </w:tc>
        <w:tc>
          <w:tcPr>
            <w:tcW w:type="dxa" w:w="1440"/>
          </w:tcPr>
          <w:p>
            <w:pPr>
              <w:spacing w:before="20" w:after="20"/>
              <w:jc w:val="left"/>
            </w:pPr>
            <w:r>
              <w:rPr>
                <w:b/>
                <w:sz w:val="17"/>
              </w:rPr>
              <w:t>Will not lead. The "may actively steer away" half of the v1.0 read is now weaker, because the official who said it has left.</w:t>
            </w:r>
          </w:p>
        </w:tc>
        <w:tc>
          <w:tcPr>
            <w:tcW w:type="dxa" w:w="1440"/>
          </w:tcPr>
          <w:p>
            <w:pPr>
              <w:spacing w:before="20" w:after="20"/>
              <w:jc w:val="left"/>
            </w:pPr>
            <w:r>
              <w:rPr>
                <w:sz w:val="17"/>
              </w:rPr>
              <w:t xml:space="preserve">DVS Commissioner Zingler's recorded remarks to the JLC Legislative Committee twice pressed members to tie initiatives to the Virginia Veterans strategic plan and emphasised "the importance of </w:t>
            </w:r>
            <w:r>
              <w:rPr>
                <w:b/>
                <w:sz w:val="17"/>
              </w:rPr>
              <w:t>investing in transitioning service members whose needs are very different than older retirees</w:t>
            </w:r>
            <w:r>
              <w:rPr>
                <w:sz w:val="17"/>
              </w:rPr>
              <w:t xml:space="preserve">." A late-career pension purchase window is, on its face, the older-retiree end of that spectrum. </w:t>
            </w:r>
            <w:r>
              <w:rPr>
                <w:b/>
                <w:sz w:val="17"/>
              </w:rPr>
              <w:t>But Zingler is no longer Commissioner: John Maxwell appears as DVS Commissioner on the JLC agendas from 2026-03-17 onward, and Timothy Williams is Secretary of Veterans and Defense Affairs with Lesley Kipling as Deputy.</w:t>
            </w:r>
            <w:r>
              <w:rPr>
                <w:sz w:val="17"/>
              </w:rPr>
              <w:t xml:space="preserve"> The strategic-plan alignment demand is an institutional habit of the agency and survives the personnel change; the specific transitioning-versus-older-retirees framing was one Commissioner's emphasis and should not be attributed to his successor.</w:t>
            </w:r>
          </w:p>
        </w:tc>
        <w:tc>
          <w:tcPr>
            <w:tcW w:type="dxa" w:w="1440"/>
          </w:tcPr>
          <w:p>
            <w:pPr>
              <w:spacing w:before="20" w:after="20"/>
              <w:jc w:val="left"/>
            </w:pPr>
            <w:r>
              <w:rPr>
                <w:b/>
                <w:sz w:val="17"/>
              </w:rPr>
              <w:t>Medium</w:t>
            </w:r>
            <w:r>
              <w:rPr>
                <w:sz w:val="17"/>
              </w:rPr>
              <w:t xml:space="preserve"> that DVS will require strategic-plan alignment (institutional pattern). </w:t>
            </w:r>
            <w:r>
              <w:rPr>
                <w:b/>
                <w:sz w:val="17"/>
              </w:rPr>
              <w:t>Low</w:t>
            </w:r>
            <w:r>
              <w:rPr>
                <w:sz w:val="17"/>
              </w:rPr>
              <w:t xml:space="preserve"> on the current Commissioner's framing preference — no public statement by Maxwell on this question was found.</w:t>
            </w:r>
          </w:p>
        </w:tc>
        <w:tc>
          <w:tcPr>
            <w:tcW w:type="dxa" w:w="1440"/>
          </w:tcPr>
          <w:p>
            <w:pPr>
              <w:spacing w:before="20" w:after="20"/>
              <w:jc w:val="left"/>
            </w:pPr>
            <w:r>
              <w:rPr>
                <w:sz w:val="17"/>
              </w:rPr>
              <w:t>JLC Legislative Committee minutes, 2025-04-23, Items VII and XI; JLC draft agendas 2026-03-17 and 2026-09-16 (Maxwell as Commissioner, Williams as Secretary, Kipling as Deputy Secretary).</w:t>
            </w:r>
          </w:p>
        </w:tc>
      </w:tr>
    </w:tbl>
    <w:p>
      <w:pPr>
        <w:spacing w:before="0" w:after="0" w:line="80" w:lineRule="exact"/>
      </w:pPr>
      <w:r>
        <w:rPr>
          <w:sz w:val="8"/>
        </w:rPr>
      </w:r>
    </w:p>
    <w:p>
      <w:r>
        <w:rPr>
          <w:b/>
        </w:rPr>
        <w:t>The competing-ask question the task asked me to answer.</w:t>
      </w:r>
      <w:r>
        <w:t xml:space="preserve"> I found </w:t>
      </w:r>
      <w:r>
        <w:rPr>
          <w:b/>
        </w:rPr>
        <w:t>no</w:t>
      </w:r>
      <w:r>
        <w:t xml:space="preserve"> JLC member organisation with a </w:t>
      </w:r>
      <w:r>
        <w:rPr>
          <w:i/>
        </w:rPr>
        <w:t>conflicting</w:t>
      </w:r>
      <w:r>
        <w:t xml:space="preserve"> VRS ask. But the JLC's adopted slate is crowded with items that compete for the same thing this bill needs — fiscal headroom and the Council's limited floor time. The 2026-cycle forwarded list included eliminating state income tax for resident active-duty personnel, removing the $40,000 cap on the military benefits subtraction, a $1,500 income tax credit for all Virginia veterans, and two National Guard appropriation increases. Those are large, visible, general-fund asks. </w:t>
      </w:r>
      <w:r>
        <w:rPr>
          <w:b/>
        </w:rPr>
        <w:t>A $0-general-fund, tens-of-millions-of-present-value pension bill is easy for a JLC floor vote to rank tenth.</w:t>
      </w:r>
      <w:r>
        <w:t xml:space="preserve"> That is a coalition problem inside our own client, and Policy Director should see it as one.</w:t>
      </w:r>
    </w:p>
    <w:p>
      <w:pPr>
        <w:pStyle w:val="Heading3"/>
        <w:ind w:left="480"/>
      </w:pPr>
      <w:r>
        <w:t>The JLC's own calendar — the gate that decides whether this bill has a constituency</w:t>
      </w:r>
    </w:p>
    <w:p>
      <w:pPr>
        <w:spacing w:before="120" w:after="120"/>
        <w:ind w:left="480"/>
      </w:pPr>
      <w:r>
        <w:rPr>
          <w:b/>
          <w:i/>
          <w:color w:val="444444"/>
          <w:sz w:val="20"/>
        </w:rPr>
        <w:t>The 2027 cycle, documented from the draft agendas</w:t>
      </w:r>
      <w:r>
        <w:rPr>
          <w:i/>
          <w:color w:val="444444"/>
          <w:sz w:val="20"/>
        </w:rPr>
        <w:t xml:space="preserve"> (Commonwealth Calendar, all retrieved 2026-10-25):</w:t>
      </w:r>
    </w:p>
    <w:tbl>
      <w:tblPr>
        <w:tblStyle w:val="TableGrid"/>
        <w:tblW w:type="auto" w:w="0"/>
        <w:jc w:val="left"/>
        <w:tblLook w:firstColumn="1" w:firstRow="1" w:lastColumn="0" w:lastRow="0" w:noHBand="0" w:noVBand="1" w:val="04A0"/>
        <w:tblInd w:w="480" w:type="dxa"/>
      </w:tblPr>
      <w:tblGrid>
        <w:gridCol w:w="2880"/>
        <w:gridCol w:w="2880"/>
        <w:gridCol w:w="2880"/>
      </w:tblGrid>
      <w:tr>
        <w:trPr>
          <w:tblHeader w:val="true"/>
        </w:trPr>
        <w:tc>
          <w:tcPr>
            <w:tcW w:type="dxa" w:w="2880"/>
          </w:tcPr>
          <w:p>
            <w:pPr>
              <w:spacing w:before="20" w:after="20"/>
              <w:jc w:val="left"/>
            </w:pPr>
            <w:r>
              <w:rPr>
                <w:b/>
                <w:sz w:val="17"/>
              </w:rPr>
              <w:t>Date</w:t>
            </w:r>
          </w:p>
        </w:tc>
        <w:tc>
          <w:tcPr>
            <w:tcW w:type="dxa" w:w="2880"/>
          </w:tcPr>
          <w:p>
            <w:pPr>
              <w:spacing w:before="20" w:after="20"/>
              <w:jc w:val="left"/>
            </w:pPr>
            <w:r>
              <w:rPr>
                <w:b/>
                <w:sz w:val="17"/>
              </w:rPr>
              <w:t>Meeting</w:t>
            </w:r>
          </w:p>
        </w:tc>
        <w:tc>
          <w:tcPr>
            <w:tcW w:type="dxa" w:w="2880"/>
          </w:tcPr>
          <w:p>
            <w:pPr>
              <w:spacing w:before="20" w:after="20"/>
              <w:jc w:val="left"/>
            </w:pPr>
            <w:r>
              <w:rPr>
                <w:b/>
                <w:sz w:val="17"/>
              </w:rPr>
              <w:t>The initiative item, verbatim</w:t>
            </w:r>
          </w:p>
        </w:tc>
      </w:tr>
      <w:tr>
        <w:tc>
          <w:tcPr>
            <w:tcW w:type="dxa" w:w="2880"/>
          </w:tcPr>
          <w:p>
            <w:pPr>
              <w:spacing w:before="20" w:after="20"/>
              <w:jc w:val="left"/>
            </w:pPr>
            <w:r>
              <w:rPr>
                <w:b/>
                <w:sz w:val="17"/>
              </w:rPr>
              <w:t>2026-03-17</w:t>
            </w:r>
          </w:p>
        </w:tc>
        <w:tc>
          <w:tcPr>
            <w:tcW w:type="dxa" w:w="2880"/>
          </w:tcPr>
          <w:p>
            <w:pPr>
              <w:spacing w:before="20" w:after="20"/>
              <w:jc w:val="left"/>
            </w:pPr>
            <w:r>
              <w:rPr>
                <w:sz w:val="17"/>
              </w:rPr>
              <w:t>JLC board, James Monroe Building</w:t>
            </w:r>
          </w:p>
        </w:tc>
        <w:tc>
          <w:tcPr>
            <w:tcW w:type="dxa" w:w="2880"/>
          </w:tcPr>
          <w:p>
            <w:pPr>
              <w:spacing w:before="20" w:after="20"/>
              <w:jc w:val="left"/>
            </w:pPr>
            <w:r>
              <w:rPr>
                <w:sz w:val="17"/>
              </w:rPr>
              <w:t xml:space="preserve">"After Action Review of JLC Initiatives for 2026 General Assembly"; </w:t>
            </w:r>
            <w:r>
              <w:rPr>
                <w:b/>
                <w:sz w:val="17"/>
              </w:rPr>
              <w:t>"Initial plan/discussion for 2027 Initiatives — Glenn Yarborough, Legislative Officer"</w:t>
            </w:r>
          </w:p>
        </w:tc>
      </w:tr>
      <w:tr>
        <w:tc>
          <w:tcPr>
            <w:tcW w:type="dxa" w:w="2880"/>
          </w:tcPr>
          <w:p>
            <w:pPr>
              <w:spacing w:before="20" w:after="20"/>
              <w:jc w:val="left"/>
            </w:pPr>
            <w:r>
              <w:rPr>
                <w:b/>
                <w:sz w:val="17"/>
              </w:rPr>
              <w:t>2026-04-14</w:t>
            </w:r>
          </w:p>
        </w:tc>
        <w:tc>
          <w:tcPr>
            <w:tcW w:type="dxa" w:w="2880"/>
          </w:tcPr>
          <w:p>
            <w:pPr>
              <w:spacing w:before="20" w:after="20"/>
              <w:jc w:val="left"/>
            </w:pPr>
            <w:r>
              <w:rPr>
                <w:b/>
                <w:sz w:val="17"/>
              </w:rPr>
              <w:t>JLC Legislative Committee</w:t>
            </w:r>
            <w:r>
              <w:rPr>
                <w:sz w:val="17"/>
              </w:rPr>
              <w:t>, Virginia War Memorial</w:t>
            </w:r>
          </w:p>
        </w:tc>
        <w:tc>
          <w:tcPr>
            <w:tcW w:type="dxa" w:w="2880"/>
          </w:tcPr>
          <w:p>
            <w:pPr>
              <w:spacing w:before="20" w:after="20"/>
              <w:jc w:val="left"/>
            </w:pPr>
            <w:r>
              <w:rPr>
                <w:sz w:val="17"/>
              </w:rPr>
              <w:t xml:space="preserve">"Item VII. Discussion of Initiatives." "Item VIII. Summary. Legislative Chair discussion of initiatives </w:t>
            </w:r>
            <w:r>
              <w:rPr>
                <w:b/>
                <w:sz w:val="17"/>
              </w:rPr>
              <w:t>to be discussed with DVS and with GAMVC members</w:t>
            </w:r>
            <w:r>
              <w:rPr>
                <w:sz w:val="17"/>
              </w:rPr>
              <w:t>."</w:t>
            </w:r>
          </w:p>
        </w:tc>
      </w:tr>
      <w:tr>
        <w:tc>
          <w:tcPr>
            <w:tcW w:type="dxa" w:w="2880"/>
          </w:tcPr>
          <w:p>
            <w:pPr>
              <w:spacing w:before="20" w:after="20"/>
              <w:jc w:val="left"/>
            </w:pPr>
            <w:r>
              <w:rPr>
                <w:b/>
                <w:sz w:val="17"/>
              </w:rPr>
              <w:t>2026-06-10</w:t>
            </w:r>
          </w:p>
        </w:tc>
        <w:tc>
          <w:tcPr>
            <w:tcW w:type="dxa" w:w="2880"/>
          </w:tcPr>
          <w:p>
            <w:pPr>
              <w:spacing w:before="20" w:after="20"/>
              <w:jc w:val="left"/>
            </w:pPr>
            <w:r>
              <w:rPr>
                <w:sz w:val="17"/>
              </w:rPr>
              <w:t>JLC board</w:t>
            </w:r>
          </w:p>
        </w:tc>
        <w:tc>
          <w:tcPr>
            <w:tcW w:type="dxa" w:w="2880"/>
          </w:tcPr>
          <w:p>
            <w:pPr>
              <w:spacing w:before="20" w:after="20"/>
              <w:jc w:val="left"/>
            </w:pPr>
            <w:r>
              <w:rPr>
                <w:sz w:val="17"/>
              </w:rPr>
              <w:t>"Review of 2026 Legislative Initiatives — Glenn Yarborough, JLC Legislative Officer" (40 minutes)</w:t>
            </w:r>
          </w:p>
        </w:tc>
      </w:tr>
      <w:tr>
        <w:tc>
          <w:tcPr>
            <w:tcW w:type="dxa" w:w="2880"/>
          </w:tcPr>
          <w:p>
            <w:pPr>
              <w:spacing w:before="20" w:after="20"/>
              <w:jc w:val="left"/>
            </w:pPr>
            <w:r>
              <w:rPr>
                <w:b/>
                <w:sz w:val="17"/>
              </w:rPr>
              <w:t>2026-09-16</w:t>
            </w:r>
          </w:p>
        </w:tc>
        <w:tc>
          <w:tcPr>
            <w:tcW w:type="dxa" w:w="2880"/>
          </w:tcPr>
          <w:p>
            <w:pPr>
              <w:spacing w:before="20" w:after="20"/>
              <w:jc w:val="left"/>
            </w:pPr>
            <w:r>
              <w:rPr>
                <w:sz w:val="17"/>
              </w:rPr>
              <w:t>JLC board</w:t>
            </w:r>
          </w:p>
        </w:tc>
        <w:tc>
          <w:tcPr>
            <w:tcW w:type="dxa" w:w="2880"/>
          </w:tcPr>
          <w:p>
            <w:pPr>
              <w:spacing w:before="20" w:after="20"/>
              <w:jc w:val="left"/>
            </w:pPr>
            <w:r>
              <w:rPr>
                <w:b/>
                <w:sz w:val="17"/>
              </w:rPr>
              <w:t>"Review of 2027 Legislative Initiatives — Katherine Martinez, JLC Chair (11:10–11:50)"</w:t>
            </w:r>
          </w:p>
        </w:tc>
      </w:tr>
      <w:tr>
        <w:tc>
          <w:tcPr>
            <w:tcW w:type="dxa" w:w="2880"/>
          </w:tcPr>
          <w:p>
            <w:pPr>
              <w:spacing w:before="20" w:after="20"/>
              <w:jc w:val="left"/>
            </w:pPr>
            <w:r>
              <w:rPr>
                <w:b/>
                <w:sz w:val="17"/>
              </w:rPr>
              <w:t>2026-12-17</w:t>
            </w:r>
          </w:p>
        </w:tc>
        <w:tc>
          <w:tcPr>
            <w:tcW w:type="dxa" w:w="2880"/>
          </w:tcPr>
          <w:p>
            <w:pPr>
              <w:spacing w:before="20" w:after="20"/>
              <w:jc w:val="left"/>
            </w:pPr>
            <w:r>
              <w:rPr>
                <w:sz w:val="17"/>
              </w:rPr>
              <w:t>JLC board, Virginia War Memorial, 10:00–12:00</w:t>
            </w:r>
          </w:p>
        </w:tc>
        <w:tc>
          <w:tcPr>
            <w:tcW w:type="dxa" w:w="2880"/>
          </w:tcPr>
          <w:p>
            <w:pPr>
              <w:spacing w:before="20" w:after="20"/>
              <w:jc w:val="left"/>
            </w:pPr>
            <w:r>
              <w:rPr>
                <w:b/>
                <w:sz w:val="17"/>
              </w:rPr>
              <w:t>No agenda posted yet.</w:t>
            </w:r>
            <w:r>
              <w:rPr>
                <w:sz w:val="17"/>
              </w:rPr>
              <w:t xml:space="preserve"> Under the Work Plan structure this is the meeting that reviews additional initiatives not voted on in the fall and reviews the patron list.</w:t>
            </w:r>
          </w:p>
        </w:tc>
      </w:tr>
    </w:tbl>
    <w:p>
      <w:pPr>
        <w:spacing w:before="0" w:after="0" w:line="80" w:lineRule="exact"/>
      </w:pPr>
      <w:r>
        <w:rPr>
          <w:sz w:val="8"/>
        </w:rPr>
      </w:r>
    </w:p>
    <w:p>
      <w:pPr>
        <w:spacing w:before="120" w:after="120"/>
        <w:ind w:left="480"/>
      </w:pPr>
      <w:r>
        <w:rPr>
          <w:b/>
          <w:i/>
          <w:color w:val="444444"/>
          <w:sz w:val="20"/>
        </w:rPr>
        <w:t>The recurring Work Plan structure</w:t>
      </w:r>
      <w:r>
        <w:rPr>
          <w:i/>
          <w:color w:val="444444"/>
          <w:sz w:val="20"/>
        </w:rPr>
        <w:t xml:space="preserve"> (from the </w:t>
      </w:r>
      <w:r>
        <w:rPr>
          <w:i/>
          <w:color w:val="444444"/>
          <w:sz w:val="20"/>
        </w:rPr>
        <w:t>JLC 2020 Work Plan</w:t>
      </w:r>
      <w:r>
        <w:rPr>
          <w:i/>
          <w:color w:val="444444"/>
          <w:sz w:val="20"/>
        </w:rPr>
        <w:t xml:space="preserve">, Attachment 4 to the minutes of 2019-12-18 — the most recent Work Plan I could retrieve; the current one is behind the 403): spring meeting calls for initiatives for the </w:t>
      </w:r>
      <w:r>
        <w:rPr>
          <w:i/>
          <w:color w:val="444444"/>
          <w:sz w:val="20"/>
        </w:rPr>
        <w:t>following</w:t>
      </w:r>
      <w:r>
        <w:rPr>
          <w:i/>
          <w:color w:val="444444"/>
          <w:sz w:val="20"/>
        </w:rPr>
        <w:t xml:space="preserve"> session → members submit "</w:t>
      </w:r>
      <w:r>
        <w:rPr>
          <w:b/>
          <w:i/>
          <w:color w:val="444444"/>
          <w:sz w:val="20"/>
        </w:rPr>
        <w:t>NLT Monday, June 15</w:t>
      </w:r>
      <w:r>
        <w:rPr>
          <w:i/>
          <w:color w:val="444444"/>
          <w:sz w:val="20"/>
        </w:rPr>
        <w:t xml:space="preserve">… with draft papers </w:t>
      </w:r>
      <w:r>
        <w:rPr>
          <w:b/>
          <w:i/>
          <w:color w:val="444444"/>
          <w:sz w:val="20"/>
        </w:rPr>
        <w:t>preferably in JLC format</w:t>
      </w:r>
      <w:r>
        <w:rPr>
          <w:i/>
          <w:color w:val="444444"/>
          <w:sz w:val="20"/>
        </w:rPr>
        <w:t>" → summer meeting, "</w:t>
      </w:r>
      <w:r>
        <w:rPr>
          <w:b/>
          <w:i/>
          <w:color w:val="444444"/>
          <w:sz w:val="20"/>
        </w:rPr>
        <w:t>sponsors of each potential initiative present to JLC. Each initiative is voted on to either continue forward or be rejected</w:t>
      </w:r>
      <w:r>
        <w:rPr>
          <w:i/>
          <w:color w:val="444444"/>
          <w:sz w:val="20"/>
        </w:rPr>
        <w:t>" → Aug–Oct position papers and technical review by the DVS Policy Director, member feedback NLT September 15 → fall meeting, "</w:t>
      </w:r>
      <w:r>
        <w:rPr>
          <w:b/>
          <w:i/>
          <w:color w:val="444444"/>
          <w:sz w:val="20"/>
        </w:rPr>
        <w:t>final review</w:t>
      </w:r>
      <w:r>
        <w:rPr>
          <w:i/>
          <w:color w:val="444444"/>
          <w:sz w:val="20"/>
        </w:rPr>
        <w:t xml:space="preserve">… </w:t>
      </w:r>
      <w:r>
        <w:rPr>
          <w:b/>
          <w:i/>
          <w:color w:val="444444"/>
          <w:sz w:val="20"/>
        </w:rPr>
        <w:t>adopt and prioritize</w:t>
      </w:r>
      <w:r>
        <w:rPr>
          <w:i/>
          <w:color w:val="444444"/>
          <w:sz w:val="20"/>
        </w:rPr>
        <w:t xml:space="preserve">" → November 1, chairman submits the annual report → </w:t>
      </w:r>
      <w:r>
        <w:rPr>
          <w:b/>
          <w:i/>
          <w:color w:val="444444"/>
          <w:sz w:val="20"/>
        </w:rPr>
        <w:t>December meeting: "Review and approve any additional … Initiatives that were not voted on in October" and "Review list of approved General Assembly Patrons."</w:t>
      </w:r>
    </w:p>
    <w:p>
      <w:pPr>
        <w:spacing w:before="120" w:after="120"/>
        <w:ind w:left="480"/>
      </w:pPr>
      <w:r>
        <w:rPr>
          <w:b/>
          <w:i/>
          <w:color w:val="444444"/>
          <w:sz w:val="20"/>
        </w:rPr>
        <w:t>Four operational consequences, and they are the most actionable thing in this annex.</w:t>
      </w:r>
    </w:p>
    <w:p>
      <w:pPr>
        <w:spacing w:after="60"/>
        <w:ind w:left="912" w:hanging="432"/>
      </w:pPr>
      <w:r>
        <w:rPr>
          <w:b/>
        </w:rPr>
        <w:t>1.</w:t>
        <w:tab/>
      </w:r>
      <w:r>
        <w:rPr>
          <w:b/>
        </w:rPr>
        <w:t>The December 17 meeting is the last internal gate before the 2027 session.</w:t>
      </w:r>
      <w:r>
        <w:t xml:space="preserve"> If this proposal is to be carried by JLC members during session, it has to be in front of the Council on that date — as a position paper </w:t>
      </w:r>
      <w:r>
        <w:rPr>
          <w:b/>
        </w:rPr>
        <w:t>in JLC format</w:t>
      </w:r>
      <w:r>
        <w:t xml:space="preserve">, with a </w:t>
      </w:r>
      <w:r>
        <w:rPr>
          <w:b/>
        </w:rPr>
        <w:t>named sponsoring member organisation prepared to speak to it in front of the whole Council</w:t>
      </w:r>
      <w:r>
        <w:t xml:space="preserve"> (the 2025-04-23 minutes record the Legislative Chair telling members exactly that), and ideally with a patron already confirmed, because the patron list is reviewed at the same meeting.</w:t>
      </w:r>
    </w:p>
    <w:p>
      <w:pPr>
        <w:spacing w:after="60"/>
        <w:ind w:left="912" w:hanging="432"/>
      </w:pPr>
      <w:r>
        <w:rPr>
          <w:b/>
        </w:rPr>
        <w:t>2.</w:t>
        <w:tab/>
      </w:r>
      <w:r>
        <w:rPr>
          <w:b/>
        </w:rPr>
        <w:t>The route runs through one person, and he is not the Chair.</w:t>
      </w:r>
      <w:r>
        <w:t xml:space="preserve"> </w:t>
      </w:r>
      <w:r>
        <w:rPr>
          <w:b/>
        </w:rPr>
        <w:t>Glenn Yarborough (Association of the United States Army)</w:t>
      </w:r>
      <w:r>
        <w:t xml:space="preserve"> is JLC Legislative Officer and ran the initiative item in both cycles. The Chair changed between June and September 2026; the Legislative Officer did not.</w:t>
      </w:r>
    </w:p>
    <w:p>
      <w:pPr>
        <w:spacing w:after="60"/>
        <w:ind w:left="912" w:hanging="432"/>
      </w:pPr>
      <w:r>
        <w:rPr>
          <w:b/>
        </w:rPr>
        <w:t>3.</w:t>
        <w:tab/>
      </w:r>
      <w:r>
        <w:rPr>
          <w:b/>
        </w:rPr>
        <w:t>The JLC routes its initiatives to the General Assembly Military and Veterans Caucus as a matter of standing practice</w:t>
      </w:r>
      <w:r>
        <w:t xml:space="preserve">, not as a favour — the 2026-04-14 agenda says so on its face, and the DVS Commissioner's 2025 annual report says the JLC "works closely with legislators… on the bi-partisan General Assembly Military and Veterans Caucus (GAMVC)" year-round. That makes the caucus a cheaper asset than § 6 assumed, and it is reached </w:t>
      </w:r>
      <w:r>
        <w:rPr>
          <w:i/>
        </w:rPr>
        <w:t>through our own client</w:t>
      </w:r>
      <w:r>
        <w:t>.</w:t>
      </w:r>
    </w:p>
    <w:p>
      <w:pPr>
        <w:spacing w:after="60"/>
        <w:ind w:left="912" w:hanging="432"/>
      </w:pPr>
      <w:r>
        <w:rPr>
          <w:b/>
        </w:rPr>
        <w:t>4.</w:t>
        <w:tab/>
      </w:r>
      <w:r>
        <w:rPr>
          <w:b/>
        </w:rPr>
        <w:t>If December 17 is missed, the clean entry is the 2028 cycle</w:t>
      </w:r>
      <w:r>
        <w:t xml:space="preserve">: a spring 2027 call, submission by </w:t>
      </w:r>
      <w:r>
        <w:rPr>
          <w:b/>
        </w:rPr>
        <w:t>June 15, 2027</w:t>
      </w:r>
      <w:r>
        <w:t>, and screening at the Legislative Committee's spring 2027 meeting. That is a full year's delay and it should be named as such rather than discovered.</w:t>
      </w:r>
    </w:p>
    <w:p>
      <w:pPr>
        <w:spacing w:before="120" w:after="120"/>
        <w:ind w:left="480"/>
      </w:pPr>
      <w:r>
        <w:rPr>
          <w:b/>
          <w:i/>
          <w:color w:val="444444"/>
          <w:sz w:val="20"/>
        </w:rPr>
        <w:t>A JLC precedent in this exact family, and it is better than I reported in v1.0.</w:t>
      </w:r>
      <w:r>
        <w:rPr>
          <w:i/>
          <w:color w:val="444444"/>
          <w:sz w:val="20"/>
        </w:rPr>
        <w:t xml:space="preserve"> On 2019-12-18 the JLC received a formal presentation, </w:t>
      </w:r>
      <w:r>
        <w:rPr>
          <w:i/>
          <w:color w:val="444444"/>
          <w:sz w:val="20"/>
        </w:rPr>
        <w:t>Report on Military Service as Credit for Teachers</w:t>
      </w:r>
      <w:r>
        <w:rPr>
          <w:i/>
          <w:color w:val="444444"/>
          <w:sz w:val="20"/>
        </w:rPr>
        <w:t xml:space="preserve">, from William &amp; Mary MPP students: Maryland and Florida school districts give </w:t>
      </w:r>
      <w:r>
        <w:rPr>
          <w:b/>
          <w:i/>
          <w:color w:val="444444"/>
          <w:sz w:val="20"/>
        </w:rPr>
        <w:t>up to three years of credit for military service</w:t>
      </w:r>
      <w:r>
        <w:rPr>
          <w:i/>
          <w:color w:val="444444"/>
          <w:sz w:val="20"/>
        </w:rPr>
        <w:t>, a few Virginia divisions (Virginia Beach, Chesterfield) give up to two, "</w:t>
      </w:r>
      <w:r>
        <w:rPr>
          <w:b/>
          <w:i/>
          <w:color w:val="444444"/>
          <w:sz w:val="20"/>
        </w:rPr>
        <w:t>but it is not state-wide</w:t>
      </w:r>
      <w:r>
        <w:rPr>
          <w:i/>
          <w:color w:val="444444"/>
          <w:sz w:val="20"/>
        </w:rPr>
        <w:t xml:space="preserve">"; the study costed "the maximum cost of hiring a new veteran teacher with five years creditable military service" across nine named localities, cited </w:t>
      </w:r>
      <w:r>
        <w:rPr>
          <w:b/>
          <w:i/>
          <w:color w:val="444444"/>
          <w:sz w:val="20"/>
        </w:rPr>
        <w:t>the Virginia Education Association</w:t>
      </w:r>
      <w:r>
        <w:rPr>
          <w:i/>
          <w:color w:val="444444"/>
          <w:sz w:val="20"/>
        </w:rPr>
        <w:t xml:space="preserve"> for the Grade 0–Grade 5 salary gap, and recommended </w:t>
      </w:r>
      <w:r>
        <w:rPr>
          <w:b/>
          <w:i/>
          <w:color w:val="444444"/>
          <w:sz w:val="20"/>
        </w:rPr>
        <w:t>"[r]equest collection of veteran data by the Virginia Department of Education."</w:t>
      </w:r>
      <w:r>
        <w:rPr>
          <w:i/>
          <w:color w:val="444444"/>
          <w:sz w:val="20"/>
        </w:rPr>
        <w:t xml:space="preserve"> DVS was working the matter with the Deputy Secretary for K-12 Education. </w:t>
      </w:r>
      <w:r>
        <w:rPr>
          <w:b/>
          <w:i/>
          <w:color w:val="444444"/>
          <w:sz w:val="20"/>
        </w:rPr>
        <w:t>Two uses.</w:t>
      </w:r>
      <w:r>
        <w:rPr>
          <w:i/>
          <w:color w:val="444444"/>
          <w:sz w:val="20"/>
        </w:rPr>
        <w:t xml:space="preserve"> First, it is documented evidence that the JLC has an appetite for "credit for military service" asks aimed at Virginia public employees, and that it has run one through a cost analysis of named localities — the objection pattern we expect is one it has already lived through. Second, </w:t>
      </w:r>
      <w:r>
        <w:rPr>
          <w:b/>
          <w:i/>
          <w:color w:val="444444"/>
          <w:sz w:val="20"/>
        </w:rPr>
        <w:t>the JLC has already recommended that the Commonwealth collect veteran data on its public workforce</w:t>
      </w:r>
      <w:r>
        <w:rPr>
          <w:i/>
          <w:color w:val="444444"/>
          <w:sz w:val="20"/>
        </w:rPr>
        <w:t xml:space="preserve">, which is precisely the denominator gap that killed HB 1867 (§ 5) and that DHRM's "69% unknown" slide still shows. That recommendation is ours to pick up. </w:t>
      </w:r>
      <w:r>
        <w:rPr>
          <w:b/>
          <w:i/>
          <w:color w:val="444444"/>
          <w:sz w:val="20"/>
        </w:rPr>
        <w:t>Label it carefully: that proceeding concerned credit on the teacher salary scale, not creditable service under § 51.1-142.2.</w:t>
      </w:r>
      <w:r>
        <w:rPr>
          <w:i/>
          <w:color w:val="444444"/>
          <w:sz w:val="20"/>
        </w:rPr>
        <w:t xml:space="preserve"> They are different instruments and conflating them in front of the subcommittee would be a gift to the opposition. Confidence </w:t>
      </w:r>
      <w:r>
        <w:rPr>
          <w:b/>
          <w:i/>
          <w:color w:val="444444"/>
          <w:sz w:val="20"/>
        </w:rPr>
        <w:t>High</w:t>
      </w:r>
      <w:r>
        <w:rPr>
          <w:i/>
          <w:color w:val="444444"/>
          <w:sz w:val="20"/>
        </w:rPr>
        <w:t xml:space="preserve"> on the record of the proceeding; </w:t>
      </w:r>
      <w:r>
        <w:rPr>
          <w:b/>
          <w:i/>
          <w:color w:val="444444"/>
          <w:sz w:val="20"/>
        </w:rPr>
        <w:t>Low</w:t>
      </w:r>
      <w:r>
        <w:rPr>
          <w:i/>
          <w:color w:val="444444"/>
          <w:sz w:val="20"/>
        </w:rPr>
        <w:t xml:space="preserve"> on it predicting any current member organisation's position.</w:t>
      </w:r>
    </w:p>
    <w:p>
      <w:pPr>
        <w:pStyle w:val="Heading3"/>
      </w:pPr>
      <w:r>
        <w:t>3.5 Employee associations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Actor</w:t>
            </w:r>
          </w:p>
        </w:tc>
        <w:tc>
          <w:tcPr>
            <w:tcW w:type="dxa" w:w="1440"/>
          </w:tcPr>
          <w:p>
            <w:pPr>
              <w:spacing w:before="20" w:after="20"/>
              <w:jc w:val="left"/>
            </w:pPr>
            <w:r>
              <w:rPr>
                <w:b/>
                <w:sz w:val="17"/>
              </w:rPr>
              <w:t>Type</w:t>
            </w:r>
          </w:p>
        </w:tc>
        <w:tc>
          <w:tcPr>
            <w:tcW w:type="dxa" w:w="1440"/>
          </w:tcPr>
          <w:p>
            <w:pPr>
              <w:spacing w:before="20" w:after="20"/>
              <w:jc w:val="left"/>
            </w:pPr>
            <w:r>
              <w:rPr>
                <w:b/>
                <w:sz w:val="17"/>
              </w:rPr>
              <w:t>Likely position</w:t>
            </w:r>
          </w:p>
        </w:tc>
        <w:tc>
          <w:tcPr>
            <w:tcW w:type="dxa" w:w="1440"/>
          </w:tcPr>
          <w:p>
            <w:pPr>
              <w:spacing w:before="20" w:after="20"/>
              <w:jc w:val="left"/>
            </w:pPr>
            <w:r>
              <w:rPr>
                <w:b/>
                <w:sz w:val="17"/>
              </w:rPr>
              <w:t>Reason</w:t>
            </w:r>
          </w:p>
        </w:tc>
        <w:tc>
          <w:tcPr>
            <w:tcW w:type="dxa" w:w="1440"/>
          </w:tcPr>
          <w:p>
            <w:pPr>
              <w:spacing w:before="20" w:after="20"/>
              <w:jc w:val="left"/>
            </w:pPr>
            <w:r>
              <w:rPr>
                <w:b/>
                <w:sz w:val="17"/>
              </w:rPr>
              <w:t>Confidence</w:t>
            </w:r>
          </w:p>
        </w:tc>
        <w:tc>
          <w:tcPr>
            <w:tcW w:type="dxa" w:w="1440"/>
          </w:tcPr>
          <w:p>
            <w:pPr>
              <w:spacing w:before="20" w:after="20"/>
              <w:jc w:val="left"/>
            </w:pPr>
            <w:r>
              <w:rPr>
                <w:b/>
                <w:sz w:val="17"/>
              </w:rPr>
              <w:t>Public record</w:t>
            </w:r>
          </w:p>
        </w:tc>
      </w:tr>
      <w:tr>
        <w:tc>
          <w:tcPr>
            <w:tcW w:type="dxa" w:w="1440"/>
          </w:tcPr>
          <w:p>
            <w:pPr>
              <w:spacing w:before="20" w:after="20"/>
              <w:jc w:val="left"/>
            </w:pPr>
            <w:r>
              <w:rPr>
                <w:b/>
                <w:sz w:val="17"/>
              </w:rPr>
              <w:t>Virginia Education Association (VEA)</w:t>
            </w:r>
          </w:p>
        </w:tc>
        <w:tc>
          <w:tcPr>
            <w:tcW w:type="dxa" w:w="1440"/>
          </w:tcPr>
          <w:p>
            <w:pPr>
              <w:spacing w:before="20" w:after="20"/>
              <w:jc w:val="left"/>
            </w:pPr>
            <w:r>
              <w:rPr>
                <w:sz w:val="17"/>
              </w:rPr>
              <w:t>Teacher association</w:t>
            </w:r>
          </w:p>
        </w:tc>
        <w:tc>
          <w:tcPr>
            <w:tcW w:type="dxa" w:w="1440"/>
          </w:tcPr>
          <w:p>
            <w:pPr>
              <w:spacing w:before="20" w:after="20"/>
              <w:jc w:val="left"/>
            </w:pPr>
            <w:r>
              <w:rPr>
                <w:b/>
                <w:sz w:val="17"/>
              </w:rPr>
              <w:t>Supportive, and a genuine new ally created by the no-opt-in scope decision — but with a real risk of pressing to extend the relief to all of subdivision B 1.</w:t>
            </w:r>
          </w:p>
        </w:tc>
        <w:tc>
          <w:tcPr>
            <w:tcW w:type="dxa" w:w="1440"/>
          </w:tcPr>
          <w:p>
            <w:pPr>
              <w:spacing w:before="20" w:after="20"/>
              <w:jc w:val="left"/>
            </w:pPr>
            <w:r>
              <w:rPr>
                <w:sz w:val="17"/>
              </w:rPr>
              <w:t xml:space="preserve">Two documented facts. (1) VEA's published legislative agenda states that VEA </w:t>
            </w:r>
            <w:r>
              <w:rPr>
                <w:b/>
                <w:sz w:val="17"/>
              </w:rPr>
              <w:t>opposes</w:t>
            </w:r>
            <w:r>
              <w:rPr>
                <w:sz w:val="17"/>
              </w:rPr>
              <w:t xml:space="preserve"> measures that "undermine or reduce the health or retirement benefits of school personnel." That is a defensive plank: it commits VEA against retrenchment, not for expansion — it is not a position on this bill. (2) VEA is the </w:t>
            </w:r>
            <w:r>
              <w:rPr>
                <w:b/>
                <w:sz w:val="17"/>
              </w:rPr>
              <w:t>direct beneficiary of the only § 51.1-142.2 amendment enacted in 2026.</w:t>
            </w:r>
            <w:r>
              <w:rPr>
                <w:sz w:val="17"/>
              </w:rPr>
              <w:t xml:space="preserve"> HB 139 (Simonds), Chapter 563, approved 2026-04-13, requires school boards to grant unpaid educational leave to state and local employee association officers and permits those officers to purchase service credit for the leave under § 51.1-142.2. VEA also has a standing presence with the VRS Board: Carol Bauer, Virginia Education Association, is recorded as a guest at both days of the 2026 VRS Board of Trustees retreat.</w:t>
            </w:r>
          </w:p>
        </w:tc>
        <w:tc>
          <w:tcPr>
            <w:tcW w:type="dxa" w:w="1440"/>
          </w:tcPr>
          <w:p>
            <w:pPr>
              <w:spacing w:before="20" w:after="20"/>
              <w:jc w:val="left"/>
            </w:pPr>
            <w:r>
              <w:rPr>
                <w:b/>
                <w:sz w:val="17"/>
              </w:rPr>
              <w:t>Medium</w:t>
            </w:r>
            <w:r>
              <w:rPr>
                <w:sz w:val="17"/>
              </w:rPr>
              <w:t xml:space="preserve"> for support (inferred — pattern, plus a fresh demonstrated interest in this exact statute). </w:t>
            </w:r>
            <w:r>
              <w:rPr>
                <w:b/>
                <w:sz w:val="17"/>
              </w:rPr>
              <w:t>Medium</w:t>
            </w:r>
            <w:r>
              <w:rPr>
                <w:sz w:val="17"/>
              </w:rPr>
              <w:t xml:space="preserve"> for the extension risk.</w:t>
            </w:r>
          </w:p>
        </w:tc>
        <w:tc>
          <w:tcPr>
            <w:tcW w:type="dxa" w:w="1440"/>
          </w:tcPr>
          <w:p>
            <w:pPr>
              <w:spacing w:before="20" w:after="20"/>
              <w:jc w:val="left"/>
            </w:pPr>
            <w:r>
              <w:rPr>
                <w:sz w:val="17"/>
              </w:rPr>
              <w:t xml:space="preserve">VEA </w:t>
            </w:r>
            <w:r>
              <w:rPr>
                <w:i/>
                <w:sz w:val="17"/>
              </w:rPr>
              <w:t>Legislative Agenda</w:t>
            </w:r>
            <w:r>
              <w:rPr>
                <w:sz w:val="17"/>
              </w:rPr>
              <w:t xml:space="preserve"> (most recent published version located is 2024); HB 139 (2026), Chapter 563; VRS Board materials 2026-04-23, retreat attendance lists.</w:t>
            </w:r>
          </w:p>
        </w:tc>
      </w:tr>
      <w:tr>
        <w:tc>
          <w:tcPr>
            <w:tcW w:type="dxa" w:w="1440"/>
          </w:tcPr>
          <w:p>
            <w:pPr>
              <w:spacing w:before="20" w:after="20"/>
              <w:jc w:val="left"/>
            </w:pPr>
            <w:r>
              <w:rPr>
                <w:b/>
                <w:sz w:val="17"/>
              </w:rPr>
              <w:t>Virginia Governmental Employees Association (VGEA)</w:t>
            </w:r>
          </w:p>
        </w:tc>
        <w:tc>
          <w:tcPr>
            <w:tcW w:type="dxa" w:w="1440"/>
          </w:tcPr>
          <w:p>
            <w:pPr>
              <w:spacing w:before="20" w:after="20"/>
              <w:jc w:val="left"/>
            </w:pPr>
            <w:r>
              <w:rPr>
                <w:sz w:val="17"/>
              </w:rPr>
              <w:t>State employee association</w:t>
            </w:r>
          </w:p>
        </w:tc>
        <w:tc>
          <w:tcPr>
            <w:tcW w:type="dxa" w:w="1440"/>
          </w:tcPr>
          <w:p>
            <w:pPr>
              <w:spacing w:before="20" w:after="20"/>
              <w:jc w:val="left"/>
            </w:pPr>
            <w:r>
              <w:rPr>
                <w:b/>
                <w:sz w:val="17"/>
              </w:rPr>
              <w:t>Supportive in principle; will not spend capital on it. Will press for the broader ask.</w:t>
            </w:r>
          </w:p>
        </w:tc>
        <w:tc>
          <w:tcPr>
            <w:tcW w:type="dxa" w:w="1440"/>
          </w:tcPr>
          <w:p>
            <w:pPr>
              <w:spacing w:before="20" w:after="20"/>
              <w:jc w:val="left"/>
            </w:pPr>
            <w:r>
              <w:rPr>
                <w:sz w:val="17"/>
              </w:rPr>
              <w:t xml:space="preserve">VGEA's published VRS priorities are </w:t>
            </w:r>
            <w:r>
              <w:rPr>
                <w:b/>
                <w:sz w:val="17"/>
              </w:rPr>
              <w:t>retiree COLA adequacy</w:t>
            </w:r>
            <w:r>
              <w:rPr>
                <w:sz w:val="17"/>
              </w:rPr>
              <w:t xml:space="preserve"> and </w:t>
            </w:r>
            <w:r>
              <w:rPr>
                <w:b/>
                <w:sz w:val="17"/>
              </w:rPr>
              <w:t>Hybrid Retirement Plan adequacy</w:t>
            </w:r>
            <w:r>
              <w:rPr>
                <w:sz w:val="17"/>
              </w:rPr>
              <w:t>, including a stated partnership with JLARC to study whether Hybrid members can save enough and whether the plan is navigable. Its historic signature achievement is the annual VRS retiree COLA. Purchase of service credit does not appear in VGEA's published priorities.</w:t>
            </w:r>
          </w:p>
        </w:tc>
        <w:tc>
          <w:tcPr>
            <w:tcW w:type="dxa" w:w="1440"/>
          </w:tcPr>
          <w:p>
            <w:pPr>
              <w:spacing w:before="20" w:after="20"/>
              <w:jc w:val="left"/>
            </w:pPr>
            <w:r>
              <w:rPr>
                <w:b/>
                <w:sz w:val="17"/>
              </w:rPr>
              <w:t>Medium</w:t>
            </w:r>
            <w:r>
              <w:rPr>
                <w:sz w:val="17"/>
              </w:rPr>
              <w:t xml:space="preserve"> (documented priorities on adjacent questions; no position on purchase of service).</w:t>
            </w:r>
          </w:p>
        </w:tc>
        <w:tc>
          <w:tcPr>
            <w:tcW w:type="dxa" w:w="1440"/>
          </w:tcPr>
          <w:p>
            <w:pPr>
              <w:spacing w:before="20" w:after="20"/>
              <w:jc w:val="left"/>
            </w:pPr>
            <w:r>
              <w:rPr>
                <w:sz w:val="17"/>
              </w:rPr>
              <w:t xml:space="preserve">VGEA, </w:t>
            </w:r>
            <w:r>
              <w:rPr>
                <w:i/>
                <w:sz w:val="17"/>
              </w:rPr>
              <w:t>Advocacy</w:t>
            </w:r>
            <w:r>
              <w:rPr>
                <w:sz w:val="17"/>
              </w:rPr>
              <w:t xml:space="preserve"> and </w:t>
            </w:r>
            <w:r>
              <w:rPr>
                <w:i/>
                <w:sz w:val="17"/>
              </w:rPr>
              <w:t>Commitment to Retirees</w:t>
            </w:r>
            <w:r>
              <w:rPr>
                <w:sz w:val="17"/>
              </w:rPr>
              <w:t xml:space="preserve"> pages; VGEA 2025 Legislative Priorities Survey summary; VGEA Legislation Tracker.</w:t>
            </w:r>
          </w:p>
        </w:tc>
      </w:tr>
      <w:tr>
        <w:tc>
          <w:tcPr>
            <w:tcW w:type="dxa" w:w="1440"/>
          </w:tcPr>
          <w:p>
            <w:pPr>
              <w:spacing w:before="20" w:after="20"/>
              <w:jc w:val="left"/>
            </w:pPr>
            <w:r>
              <w:rPr>
                <w:b/>
                <w:sz w:val="17"/>
              </w:rPr>
              <w:t>Local police and fire associations / hazardous-duty employee groups</w:t>
            </w:r>
          </w:p>
        </w:tc>
        <w:tc>
          <w:tcPr>
            <w:tcW w:type="dxa" w:w="1440"/>
          </w:tcPr>
          <w:p>
            <w:pPr>
              <w:spacing w:before="20" w:after="20"/>
              <w:jc w:val="left"/>
            </w:pPr>
            <w:r>
              <w:rPr>
                <w:sz w:val="17"/>
              </w:rPr>
              <w:t>Labour / professional</w:t>
            </w:r>
          </w:p>
        </w:tc>
        <w:tc>
          <w:tcPr>
            <w:tcW w:type="dxa" w:w="1440"/>
          </w:tcPr>
          <w:p>
            <w:pPr>
              <w:spacing w:before="20" w:after="20"/>
              <w:jc w:val="left"/>
            </w:pPr>
            <w:r>
              <w:rPr>
                <w:b/>
                <w:sz w:val="17"/>
              </w:rPr>
              <w:t>Supportive; and the most natural source of a sympathetic witness.</w:t>
            </w:r>
            <w:r>
              <w:rPr>
                <w:sz w:val="17"/>
              </w:rPr>
              <w:t xml:space="preserve"> Hazardous-duty members are disproportionately veterans, and every rate group including the 10.01% alternate hazardous duty option already has a Board-adopted approximate normal cost rate (Annex 2 Closure FM-3), so the bill reaches them.</w:t>
            </w:r>
          </w:p>
        </w:tc>
        <w:tc>
          <w:tcPr>
            <w:tcW w:type="dxa" w:w="1440"/>
          </w:tcPr>
          <w:p>
            <w:pPr>
              <w:spacing w:before="20" w:after="20"/>
              <w:jc w:val="left"/>
            </w:pPr>
            <w:r>
              <w:rPr>
                <w:sz w:val="17"/>
              </w:rPr>
              <w:t>No public position on this question found.</w:t>
            </w:r>
          </w:p>
        </w:tc>
        <w:tc>
          <w:tcPr>
            <w:tcW w:type="dxa" w:w="1440"/>
          </w:tcPr>
          <w:p>
            <w:pPr>
              <w:spacing w:before="20" w:after="20"/>
              <w:jc w:val="left"/>
            </w:pPr>
            <w:r>
              <w:rPr>
                <w:b/>
                <w:sz w:val="17"/>
              </w:rPr>
              <w:t>Low</w:t>
            </w:r>
            <w:r>
              <w:rPr>
                <w:sz w:val="17"/>
              </w:rPr>
              <w:t xml:space="preserve"> (inferred — interest).</w:t>
            </w:r>
          </w:p>
        </w:tc>
        <w:tc>
          <w:tcPr>
            <w:tcW w:type="dxa" w:w="1440"/>
          </w:tcPr>
          <w:p>
            <w:pPr>
              <w:spacing w:before="20" w:after="20"/>
              <w:jc w:val="left"/>
            </w:pPr>
            <w:r>
              <w:rPr>
                <w:sz w:val="17"/>
              </w:rPr>
              <w:t>—</w:t>
            </w:r>
          </w:p>
        </w:tc>
      </w:tr>
    </w:tbl>
    <w:p>
      <w:pPr>
        <w:spacing w:before="0" w:after="0" w:line="80" w:lineRule="exact"/>
      </w:pPr>
      <w:r>
        <w:rPr>
          <w:sz w:val="8"/>
        </w:rPr>
      </w:r>
    </w:p>
    <w:p>
      <w:r>
        <w:rPr>
          <w:b/>
        </w:rPr>
        <w:t>The extension risk, assessed.</w:t>
      </w:r>
      <w:r>
        <w:t xml:space="preserve"> The task asked whether VGEA or VEA will press to extend relief to all purchase categories under subdivision B 1. My read is </w:t>
      </w:r>
      <w:r>
        <w:rPr>
          <w:b/>
        </w:rPr>
        <w:t>yes, and it will be raised, but not as a condition of their support</w:t>
      </w:r>
      <w:r>
        <w:t xml:space="preserve"> — confidence </w:t>
      </w:r>
      <w:r>
        <w:rPr>
          <w:b/>
        </w:rPr>
        <w:t>Medium</w:t>
      </w:r>
      <w:r>
        <w:t xml:space="preserve">. The reason is that neither association's published priorities include purchase of service, so neither has pre-committed membership to the broader ask. The amendment is far more likely to come from a </w:t>
      </w:r>
      <w:r>
        <w:rPr>
          <w:i/>
        </w:rPr>
        <w:t>legislator</w:t>
      </w:r>
      <w:r>
        <w:t xml:space="preserve"> who sees the equity gap than from an association. Either way the fiscal consequence is severe: subdivision B 1 covers educational leave, FMLA leave, prior public employment, refunded service and more, and extending the removal of the cliff across all of it would multiply the fiscal note by an unknown but large factor. </w:t>
      </w:r>
      <w:r>
        <w:rPr>
          <w:b/>
        </w:rPr>
        <w:t>Recommendation to Drafting Specialist:</w:t>
      </w:r>
      <w:r>
        <w:t xml:space="preserve"> keep the amendment surgically confined to subdivision B 2 and make the no-spillover sentence (Annex A v1.1 § 2.2) load-bearing and conspicuous, so that the bill's own text is the answer to the first floor amendment.</w:t>
      </w:r>
    </w:p>
    <w:p>
      <w:pPr>
        <w:pStyle w:val="Heading3"/>
      </w:pPr>
      <w:r>
        <w:t>3.6 The status quo coalition</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pPr>
              <w:spacing w:before="20" w:after="20"/>
              <w:jc w:val="left"/>
            </w:pPr>
            <w:r>
              <w:rPr>
                <w:b/>
                <w:sz w:val="17"/>
              </w:rPr>
              <w:t>Actor</w:t>
            </w:r>
          </w:p>
        </w:tc>
        <w:tc>
          <w:tcPr>
            <w:tcW w:type="dxa" w:w="1440"/>
          </w:tcPr>
          <w:p>
            <w:pPr>
              <w:spacing w:before="20" w:after="20"/>
              <w:jc w:val="left"/>
            </w:pPr>
            <w:r>
              <w:rPr>
                <w:b/>
                <w:sz w:val="17"/>
              </w:rPr>
              <w:t>Type</w:t>
            </w:r>
          </w:p>
        </w:tc>
        <w:tc>
          <w:tcPr>
            <w:tcW w:type="dxa" w:w="1440"/>
          </w:tcPr>
          <w:p>
            <w:pPr>
              <w:spacing w:before="20" w:after="20"/>
              <w:jc w:val="left"/>
            </w:pPr>
            <w:r>
              <w:rPr>
                <w:b/>
                <w:sz w:val="17"/>
              </w:rPr>
              <w:t>Likely position</w:t>
            </w:r>
          </w:p>
        </w:tc>
        <w:tc>
          <w:tcPr>
            <w:tcW w:type="dxa" w:w="1440"/>
          </w:tcPr>
          <w:p>
            <w:pPr>
              <w:spacing w:before="20" w:after="20"/>
              <w:jc w:val="left"/>
            </w:pPr>
            <w:r>
              <w:rPr>
                <w:b/>
                <w:sz w:val="17"/>
              </w:rPr>
              <w:t>Reason</w:t>
            </w:r>
          </w:p>
        </w:tc>
        <w:tc>
          <w:tcPr>
            <w:tcW w:type="dxa" w:w="1440"/>
          </w:tcPr>
          <w:p>
            <w:pPr>
              <w:spacing w:before="20" w:after="20"/>
              <w:jc w:val="left"/>
            </w:pPr>
            <w:r>
              <w:rPr>
                <w:b/>
                <w:sz w:val="17"/>
              </w:rPr>
              <w:t>Confidence</w:t>
            </w:r>
          </w:p>
        </w:tc>
        <w:tc>
          <w:tcPr>
            <w:tcW w:type="dxa" w:w="1440"/>
          </w:tcPr>
          <w:p>
            <w:pPr>
              <w:spacing w:before="20" w:after="20"/>
              <w:jc w:val="left"/>
            </w:pPr>
            <w:r>
              <w:rPr>
                <w:b/>
                <w:sz w:val="17"/>
              </w:rPr>
              <w:t>Public record</w:t>
            </w:r>
          </w:p>
        </w:tc>
      </w:tr>
      <w:tr>
        <w:tc>
          <w:tcPr>
            <w:tcW w:type="dxa" w:w="1440"/>
          </w:tcPr>
          <w:p>
            <w:pPr>
              <w:spacing w:before="20" w:after="20"/>
              <w:jc w:val="left"/>
            </w:pPr>
            <w:r>
              <w:rPr>
                <w:b/>
                <w:sz w:val="17"/>
              </w:rPr>
              <w:t>The authors and inheritors of Chapter 508 (2015)</w:t>
            </w:r>
            <w:r>
              <w:rPr>
                <w:sz w:val="17"/>
              </w:rPr>
              <w:t xml:space="preserve"> — House Appropriations institutional memory and its retirement staff</w:t>
            </w:r>
          </w:p>
        </w:tc>
        <w:tc>
          <w:tcPr>
            <w:tcW w:type="dxa" w:w="1440"/>
          </w:tcPr>
          <w:p>
            <w:pPr>
              <w:spacing w:before="20" w:after="20"/>
              <w:jc w:val="left"/>
            </w:pPr>
            <w:r>
              <w:rPr>
                <w:sz w:val="17"/>
              </w:rPr>
              <w:t>Legislative institution</w:t>
            </w:r>
          </w:p>
        </w:tc>
        <w:tc>
          <w:tcPr>
            <w:tcW w:type="dxa" w:w="1440"/>
          </w:tcPr>
          <w:p>
            <w:pPr>
              <w:spacing w:before="20" w:after="20"/>
              <w:jc w:val="left"/>
            </w:pPr>
            <w:r>
              <w:rPr>
                <w:b/>
                <w:sz w:val="17"/>
              </w:rPr>
              <w:t>The real opposition.</w:t>
            </w:r>
          </w:p>
        </w:tc>
        <w:tc>
          <w:tcPr>
            <w:tcW w:type="dxa" w:w="1440"/>
          </w:tcPr>
          <w:p>
            <w:pPr>
              <w:spacing w:before="20" w:after="20"/>
              <w:jc w:val="left"/>
            </w:pPr>
            <w:r>
              <w:rPr>
                <w:sz w:val="17"/>
              </w:rPr>
              <w:t xml:space="preserve">HB 1890 (2015) was patroned by </w:t>
            </w:r>
            <w:r>
              <w:rPr>
                <w:b/>
                <w:sz w:val="17"/>
              </w:rPr>
              <w:t>Delegate S. Chris Jones</w:t>
            </w:r>
            <w:r>
              <w:rPr>
                <w:sz w:val="17"/>
              </w:rPr>
              <w:t xml:space="preserve">, then chair of House Appropriations, and its summary states its purpose plainly: it "makes numerous changes to the purchase of service credit program to </w:t>
            </w:r>
            <w:r>
              <w:rPr>
                <w:b/>
                <w:sz w:val="17"/>
              </w:rPr>
              <w:t>simplify it and make it more cost-neutral to the Retirement System fund</w:t>
            </w:r>
            <w:r>
              <w:rPr>
                <w:sz w:val="17"/>
              </w:rPr>
              <w:t xml:space="preserve"> and more in line with other states' programs." It created the 24-month approximate-normal-cost window with actuarial equivalent cost thereafter, with a delayed effective date of January 1, 2017, and it passed </w:t>
            </w:r>
            <w:r>
              <w:rPr>
                <w:b/>
                <w:sz w:val="17"/>
              </w:rPr>
              <w:t>5-0</w:t>
            </w:r>
            <w:r>
              <w:rPr>
                <w:sz w:val="17"/>
              </w:rPr>
              <w:t xml:space="preserve"> in subcommittee, </w:t>
            </w:r>
            <w:r>
              <w:rPr>
                <w:b/>
                <w:sz w:val="17"/>
              </w:rPr>
              <w:t>22-0</w:t>
            </w:r>
            <w:r>
              <w:rPr>
                <w:sz w:val="17"/>
              </w:rPr>
              <w:t xml:space="preserve"> in Appropriations, </w:t>
            </w:r>
            <w:r>
              <w:rPr>
                <w:b/>
                <w:sz w:val="17"/>
              </w:rPr>
              <w:t>99-0</w:t>
            </w:r>
            <w:r>
              <w:rPr>
                <w:sz w:val="17"/>
              </w:rPr>
              <w:t xml:space="preserve"> on the House floor and </w:t>
            </w:r>
            <w:r>
              <w:rPr>
                <w:b/>
                <w:sz w:val="17"/>
              </w:rPr>
              <w:t>38-0</w:t>
            </w:r>
            <w:r>
              <w:rPr>
                <w:sz w:val="17"/>
              </w:rPr>
              <w:t xml:space="preserve"> in the Senate, becoming </w:t>
            </w:r>
            <w:r>
              <w:rPr>
                <w:b/>
                <w:sz w:val="17"/>
              </w:rPr>
              <w:t>Chapter 508</w:t>
            </w:r>
            <w:r>
              <w:rPr>
                <w:sz w:val="17"/>
              </w:rPr>
              <w:t xml:space="preserve">. Before it, VRS administered a </w:t>
            </w:r>
            <w:r>
              <w:rPr>
                <w:b/>
                <w:sz w:val="17"/>
              </w:rPr>
              <w:t>one-year</w:t>
            </w:r>
            <w:r>
              <w:rPr>
                <w:sz w:val="17"/>
              </w:rPr>
              <w:t xml:space="preserve"> window for Plan 2 and Hybrid members and a </w:t>
            </w:r>
            <w:r>
              <w:rPr>
                <w:b/>
                <w:sz w:val="17"/>
              </w:rPr>
              <w:t>three-year</w:t>
            </w:r>
            <w:r>
              <w:rPr>
                <w:sz w:val="17"/>
              </w:rPr>
              <w:t xml:space="preserve"> window for Plan 1 members; Chapter 508 standardised them at 24 months.</w:t>
            </w:r>
          </w:p>
        </w:tc>
        <w:tc>
          <w:tcPr>
            <w:tcW w:type="dxa" w:w="1440"/>
          </w:tcPr>
          <w:p>
            <w:pPr>
              <w:spacing w:before="20" w:after="20"/>
              <w:jc w:val="left"/>
            </w:pPr>
            <w:r>
              <w:rPr>
                <w:b/>
                <w:sz w:val="17"/>
              </w:rPr>
              <w:t>High</w:t>
            </w:r>
          </w:p>
        </w:tc>
        <w:tc>
          <w:tcPr>
            <w:tcW w:type="dxa" w:w="1440"/>
          </w:tcPr>
          <w:p>
            <w:pPr>
              <w:spacing w:before="20" w:after="20"/>
              <w:jc w:val="left"/>
            </w:pPr>
            <w:r>
              <w:rPr>
                <w:sz w:val="17"/>
              </w:rPr>
              <w:t xml:space="preserve">HB 1890 (2015) summary and history; Chapter 508, 2015 Acts of Assembly; § 51.1-142.2 history line (2015, cc. 508, 536); City of Alexandria pensions notice, </w:t>
            </w:r>
            <w:r>
              <w:rPr>
                <w:i/>
                <w:sz w:val="17"/>
              </w:rPr>
              <w:t>VRS Making Changes to Purchase of Prior Service</w:t>
            </w:r>
            <w:r>
              <w:rPr>
                <w:sz w:val="17"/>
              </w:rPr>
              <w:t>.</w:t>
            </w:r>
          </w:p>
        </w:tc>
      </w:tr>
    </w:tbl>
    <w:p>
      <w:pPr>
        <w:spacing w:before="0" w:after="0" w:line="80" w:lineRule="exact"/>
      </w:pPr>
      <w:r>
        <w:rPr>
          <w:sz w:val="8"/>
        </w:rPr>
      </w:r>
    </w:p>
    <w:p>
      <w:r>
        <w:rPr>
          <w:b/>
        </w:rPr>
        <w:t>Why this is the row that decides the bill.</w:t>
      </w:r>
      <w:r>
        <w:t xml:space="preserve"> Our proposal is, in the subcommittee's frame, a partial repeal of a unanimous cost-neutrality reform — asked for eleven years later, by a category of member, with no new money. The counter-argument is available and it is strong, but it has to be made explicitly: </w:t>
      </w:r>
      <w:r>
        <w:rPr>
          <w:b/>
        </w:rPr>
        <w:t>Chapter 508's own stated rationale was to be "more in line with other states' programs," and on military service specifically Virginia's 24-month-from-hire trigger is now the outlier</w:t>
      </w:r>
      <w:r>
        <w:t xml:space="preserve"> (§ 7). Virginia is not unusual in charging more for a late purchase; it is unusual in keying the trigger to </w:t>
      </w:r>
      <w:r>
        <w:rPr>
          <w:i/>
        </w:rPr>
        <w:t>elapsed time since hire</w:t>
      </w:r>
      <w:r>
        <w:t xml:space="preserve"> rather than to a service milestone or to proximity to retirement. That reframes our bill as </w:t>
      </w:r>
      <w:r>
        <w:rPr>
          <w:i/>
        </w:rPr>
        <w:t>completing</w:t>
      </w:r>
      <w:r>
        <w:t xml:space="preserve"> Chapter 508's purpose rather than unwinding it. This is the single most useful sentence in this annex and it should go in the one-pager.</w:t>
      </w:r>
    </w:p>
    <w:p>
      <w:pPr>
        <w:jc w:val="center"/>
      </w:pPr>
      <w:r>
        <w:rPr>
          <w:color w:val="909090"/>
          <w:sz w:val="18"/>
        </w:rPr>
        <w:t>* * *</w:t>
      </w:r>
    </w:p>
    <w:p>
      <w:pPr>
        <w:pStyle w:val="Heading2"/>
      </w:pPr>
      <w:r>
        <w:t>4. The decision path</w:t>
      </w:r>
    </w:p>
    <w:p>
      <w:pPr>
        <w:pStyle w:val="Heading3"/>
      </w:pPr>
      <w:r>
        <w:t>4.1 House</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Step</w:t>
            </w:r>
          </w:p>
        </w:tc>
        <w:tc>
          <w:tcPr>
            <w:tcW w:type="dxa" w:w="2880"/>
          </w:tcPr>
          <w:p>
            <w:pPr>
              <w:spacing w:before="20" w:after="20"/>
              <w:jc w:val="left"/>
            </w:pPr>
            <w:r>
              <w:rPr>
                <w:b/>
                <w:sz w:val="17"/>
              </w:rPr>
              <w:t>Venue</w:t>
            </w:r>
          </w:p>
        </w:tc>
        <w:tc>
          <w:tcPr>
            <w:tcW w:type="dxa" w:w="2880"/>
          </w:tcPr>
          <w:p>
            <w:pPr>
              <w:spacing w:before="20" w:after="20"/>
              <w:jc w:val="left"/>
            </w:pPr>
            <w:r>
              <w:rPr>
                <w:b/>
                <w:sz w:val="17"/>
              </w:rPr>
              <w:t>What it has done with similar bills</w:t>
            </w:r>
          </w:p>
        </w:tc>
      </w:tr>
      <w:tr>
        <w:tc>
          <w:tcPr>
            <w:tcW w:type="dxa" w:w="2880"/>
          </w:tcPr>
          <w:p>
            <w:pPr>
              <w:spacing w:before="20" w:after="20"/>
              <w:jc w:val="left"/>
            </w:pPr>
            <w:r>
              <w:rPr>
                <w:sz w:val="17"/>
              </w:rPr>
              <w:t>1. Referral</w:t>
            </w:r>
          </w:p>
        </w:tc>
        <w:tc>
          <w:tcPr>
            <w:tcW w:type="dxa" w:w="2880"/>
          </w:tcPr>
          <w:p>
            <w:pPr>
              <w:spacing w:before="20" w:after="20"/>
              <w:jc w:val="left"/>
            </w:pPr>
            <w:r>
              <w:rPr>
                <w:b/>
                <w:sz w:val="17"/>
              </w:rPr>
              <w:t>House Committee on Appropriations (H02)</w:t>
            </w:r>
            <w:r>
              <w:rPr>
                <w:sz w:val="17"/>
              </w:rPr>
              <w:t>. Not Education, not General Laws.</w:t>
            </w:r>
          </w:p>
        </w:tc>
        <w:tc>
          <w:tcPr>
            <w:tcW w:type="dxa" w:w="2880"/>
          </w:tcPr>
          <w:p>
            <w:pPr>
              <w:spacing w:before="20" w:after="20"/>
              <w:jc w:val="left"/>
            </w:pPr>
            <w:r>
              <w:rPr>
                <w:sz w:val="17"/>
              </w:rPr>
              <w:t>HB 1867 (2023) was prefiled and referred to Appropriations on 01/10/23. HB 1890 (2015) likewise. Any bill touching § 51.1-142.2 goes here.</w:t>
            </w:r>
          </w:p>
        </w:tc>
      </w:tr>
      <w:tr>
        <w:tc>
          <w:tcPr>
            <w:tcW w:type="dxa" w:w="2880"/>
          </w:tcPr>
          <w:p>
            <w:pPr>
              <w:spacing w:before="20" w:after="20"/>
              <w:jc w:val="left"/>
            </w:pPr>
            <w:r>
              <w:rPr>
                <w:sz w:val="17"/>
              </w:rPr>
              <w:t xml:space="preserve">2. </w:t>
            </w:r>
            <w:r>
              <w:rPr>
                <w:b/>
                <w:sz w:val="17"/>
              </w:rPr>
              <w:t>Subcommittee — the chokepoint</w:t>
            </w:r>
          </w:p>
        </w:tc>
        <w:tc>
          <w:tcPr>
            <w:tcW w:type="dxa" w:w="2880"/>
          </w:tcPr>
          <w:p>
            <w:pPr>
              <w:spacing w:before="20" w:after="20"/>
              <w:jc w:val="left"/>
            </w:pPr>
            <w:r>
              <w:rPr>
                <w:b/>
                <w:sz w:val="17"/>
              </w:rPr>
              <w:t>House Appropriations Subcommittee on Compensation and Retirement (H02002)</w:t>
            </w:r>
            <w:r>
              <w:rPr>
                <w:sz w:val="17"/>
              </w:rPr>
              <w:t xml:space="preserve">. 2026 membership: </w:t>
            </w:r>
            <w:r>
              <w:rPr>
                <w:b/>
                <w:sz w:val="17"/>
              </w:rPr>
              <w:t>Alex Askew (D-95), Chair</w:t>
            </w:r>
            <w:r>
              <w:rPr>
                <w:sz w:val="17"/>
              </w:rPr>
              <w:t xml:space="preserve">; C. E. "Cliff" Hayes Jr. (D-91); Rodney T. Willett (D-58); Kathy K. L. Tran (D-18); Shelly A. Simonds (D-70); M. Keith Hodges (R-68); Scott A. Wyatt (R-60); Luke E. Torian (D-24). Staff: </w:t>
            </w:r>
            <w:r>
              <w:rPr>
                <w:b/>
                <w:sz w:val="17"/>
              </w:rPr>
              <w:t>Michael Jay</w:t>
            </w:r>
            <w:r>
              <w:rPr>
                <w:sz w:val="17"/>
              </w:rPr>
              <w:t xml:space="preserve"> (House Appropriations). Meets Mondays 9:00 a.m., HAC Room 1200.</w:t>
            </w:r>
          </w:p>
        </w:tc>
        <w:tc>
          <w:tcPr>
            <w:tcW w:type="dxa" w:w="2880"/>
          </w:tcPr>
          <w:p>
            <w:pPr>
              <w:spacing w:before="20" w:after="20"/>
              <w:jc w:val="left"/>
            </w:pPr>
            <w:r>
              <w:rPr>
                <w:b/>
                <w:sz w:val="17"/>
              </w:rPr>
              <w:t>This is where the bill lives or dies, on a motion to lay on the table.</w:t>
            </w:r>
            <w:r>
              <w:rPr>
                <w:sz w:val="17"/>
              </w:rPr>
              <w:t xml:space="preserve"> The record: HB 1867 (2023) — "Subcommittee recommends laying on the table (8-Y 0-N)," 01/26/23; YEAS — Brewer, Davis, Bloxom, </w:t>
            </w:r>
            <w:r>
              <w:rPr>
                <w:b/>
                <w:sz w:val="17"/>
              </w:rPr>
              <w:t>Hodges</w:t>
            </w:r>
            <w:r>
              <w:rPr>
                <w:sz w:val="17"/>
              </w:rPr>
              <w:t xml:space="preserve">, </w:t>
            </w:r>
            <w:r>
              <w:rPr>
                <w:b/>
                <w:sz w:val="17"/>
              </w:rPr>
              <w:t>Wyatt</w:t>
            </w:r>
            <w:r>
              <w:rPr>
                <w:sz w:val="17"/>
              </w:rPr>
              <w:t xml:space="preserve">, Bulova, Hayes, Rasoul. In the 2026 session the subcommittee tabled HB 56 (7-0), HB 162 (7-0), HB 659 (5-2), HB 1107 (5-2), and tabled HB 1267 </w:t>
            </w:r>
            <w:r>
              <w:rPr>
                <w:b/>
                <w:sz w:val="17"/>
              </w:rPr>
              <w:t>after accepting a substitute and hearing broad supportive testimony</w:t>
            </w:r>
            <w:r>
              <w:rPr>
                <w:sz w:val="17"/>
              </w:rPr>
              <w:t>. In 2025 it tabled HB 2315 (4-3) and HB 2447 (4-3). It does report bills — HB 1705 (2025) reported with substitute 7-0, HB 473 (2026) reported 7-0 — but only narrow, costed, administrable ones.</w:t>
            </w:r>
          </w:p>
        </w:tc>
      </w:tr>
      <w:tr>
        <w:tc>
          <w:tcPr>
            <w:tcW w:type="dxa" w:w="2880"/>
          </w:tcPr>
          <w:p>
            <w:pPr>
              <w:spacing w:before="20" w:after="20"/>
              <w:jc w:val="left"/>
            </w:pPr>
            <w:r>
              <w:rPr>
                <w:sz w:val="17"/>
              </w:rPr>
              <w:t>3. Full committee</w:t>
            </w:r>
          </w:p>
        </w:tc>
        <w:tc>
          <w:tcPr>
            <w:tcW w:type="dxa" w:w="2880"/>
          </w:tcPr>
          <w:p>
            <w:pPr>
              <w:spacing w:before="20" w:after="20"/>
              <w:jc w:val="left"/>
            </w:pPr>
            <w:r>
              <w:rPr>
                <w:sz w:val="17"/>
              </w:rPr>
              <w:t>House Appropriations</w:t>
            </w:r>
          </w:p>
        </w:tc>
        <w:tc>
          <w:tcPr>
            <w:tcW w:type="dxa" w:w="2880"/>
          </w:tcPr>
          <w:p>
            <w:pPr>
              <w:spacing w:before="20" w:after="20"/>
              <w:jc w:val="left"/>
            </w:pPr>
            <w:r>
              <w:rPr>
                <w:sz w:val="17"/>
              </w:rPr>
              <w:t>Reports what the subcommittee sends it, essentially without re-litigation (HB 1890: 22-0).</w:t>
            </w:r>
          </w:p>
        </w:tc>
      </w:tr>
      <w:tr>
        <w:tc>
          <w:tcPr>
            <w:tcW w:type="dxa" w:w="2880"/>
          </w:tcPr>
          <w:p>
            <w:pPr>
              <w:spacing w:before="20" w:after="20"/>
              <w:jc w:val="left"/>
            </w:pPr>
            <w:r>
              <w:rPr>
                <w:sz w:val="17"/>
              </w:rPr>
              <w:t>4. Floor</w:t>
            </w:r>
          </w:p>
        </w:tc>
        <w:tc>
          <w:tcPr>
            <w:tcW w:type="dxa" w:w="2880"/>
          </w:tcPr>
          <w:p>
            <w:pPr>
              <w:spacing w:before="20" w:after="20"/>
              <w:jc w:val="left"/>
            </w:pPr>
            <w:r>
              <w:rPr>
                <w:sz w:val="17"/>
              </w:rPr>
              <w:t>House</w:t>
            </w:r>
          </w:p>
        </w:tc>
        <w:tc>
          <w:tcPr>
            <w:tcW w:type="dxa" w:w="2880"/>
          </w:tcPr>
          <w:p>
            <w:pPr>
              <w:spacing w:before="20" w:after="20"/>
              <w:jc w:val="left"/>
            </w:pPr>
            <w:r>
              <w:rPr>
                <w:sz w:val="17"/>
              </w:rPr>
              <w:t>Unanimous when it gets there (HB 1890: 99-0). The floor is not a risk; the floor is never reached.</w:t>
            </w:r>
          </w:p>
        </w:tc>
      </w:tr>
    </w:tbl>
    <w:p>
      <w:pPr>
        <w:spacing w:before="0" w:after="0" w:line="80" w:lineRule="exact"/>
      </w:pPr>
      <w:r>
        <w:rPr>
          <w:sz w:val="8"/>
        </w:rPr>
      </w:r>
    </w:p>
    <w:p>
      <w:r>
        <w:rPr>
          <w:b/>
        </w:rPr>
        <w:t>Three members of the 2026 subcommittee matter disproportionately.</w:t>
      </w:r>
    </w:p>
    <w:p>
      <w:pPr>
        <w:pStyle w:val="ListBullet"/>
      </w:pPr>
      <w:r>
        <w:rPr>
          <w:b/>
        </w:rPr>
        <w:t>Askew (Chair)</w:t>
      </w:r>
      <w:r>
        <w:t xml:space="preserve"> controls the docket and the motion. He is also recorded as a guest at the 2026 VRS Board of Trustees retreat — he is engaged with VRS directly, which means VRS's private read will reach him before ours does.</w:t>
      </w:r>
    </w:p>
    <w:p>
      <w:pPr>
        <w:pStyle w:val="ListBullet"/>
      </w:pPr>
      <w:r>
        <w:rPr>
          <w:b/>
        </w:rPr>
        <w:t>Simonds</w:t>
      </w:r>
      <w:r>
        <w:t xml:space="preserve"> patroned HB 139, the only one of 28 VRS bills to survive the 2026 session, and it amended this exact statute.</w:t>
      </w:r>
    </w:p>
    <w:p>
      <w:pPr>
        <w:pStyle w:val="ListBullet"/>
      </w:pPr>
      <w:r>
        <w:rPr>
          <w:b/>
        </w:rPr>
        <w:t>Hodges</w:t>
      </w:r>
      <w:r>
        <w:t xml:space="preserve"> and </w:t>
      </w:r>
      <w:r>
        <w:rPr>
          <w:b/>
        </w:rPr>
        <w:t>Wyatt</w:t>
      </w:r>
      <w:r>
        <w:t xml:space="preserve"> both voted to table HB 1867 in 2023 and both still sit on the subcommittee. They are the continuity of the no vote, and they are also the only Republicans on an 8-member panel — which makes one of them the highest-value co-patron available anywhere in the building.</w:t>
      </w:r>
    </w:p>
    <w:p>
      <w:pPr>
        <w:pStyle w:val="Heading3"/>
      </w:pPr>
      <w:r>
        <w:t>4.2 Senate</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Step</w:t>
            </w:r>
          </w:p>
        </w:tc>
        <w:tc>
          <w:tcPr>
            <w:tcW w:type="dxa" w:w="2880"/>
          </w:tcPr>
          <w:p>
            <w:pPr>
              <w:spacing w:before="20" w:after="20"/>
              <w:jc w:val="left"/>
            </w:pPr>
            <w:r>
              <w:rPr>
                <w:b/>
                <w:sz w:val="17"/>
              </w:rPr>
              <w:t>Venue</w:t>
            </w:r>
          </w:p>
        </w:tc>
        <w:tc>
          <w:tcPr>
            <w:tcW w:type="dxa" w:w="2880"/>
          </w:tcPr>
          <w:p>
            <w:pPr>
              <w:spacing w:before="20" w:after="20"/>
              <w:jc w:val="left"/>
            </w:pPr>
            <w:r>
              <w:rPr>
                <w:b/>
                <w:sz w:val="17"/>
              </w:rPr>
              <w:t>Notes</w:t>
            </w:r>
          </w:p>
        </w:tc>
      </w:tr>
      <w:tr>
        <w:tc>
          <w:tcPr>
            <w:tcW w:type="dxa" w:w="2880"/>
          </w:tcPr>
          <w:p>
            <w:pPr>
              <w:spacing w:before="20" w:after="20"/>
              <w:jc w:val="left"/>
            </w:pPr>
            <w:r>
              <w:rPr>
                <w:sz w:val="17"/>
              </w:rPr>
              <w:t>1. Referral</w:t>
            </w:r>
          </w:p>
        </w:tc>
        <w:tc>
          <w:tcPr>
            <w:tcW w:type="dxa" w:w="2880"/>
          </w:tcPr>
          <w:p>
            <w:pPr>
              <w:spacing w:before="20" w:after="20"/>
              <w:jc w:val="left"/>
            </w:pPr>
            <w:r>
              <w:rPr>
                <w:b/>
                <w:sz w:val="17"/>
              </w:rPr>
              <w:t>Senate Committee on Finance and Appropriations (S05)</w:t>
            </w:r>
            <w:r>
              <w:rPr>
                <w:sz w:val="17"/>
              </w:rPr>
              <w:t xml:space="preserve">. 2026 membership (15): </w:t>
            </w:r>
            <w:r>
              <w:rPr>
                <w:b/>
                <w:sz w:val="17"/>
              </w:rPr>
              <w:t>L. Louise Lucas (Chair)</w:t>
            </w:r>
            <w:r>
              <w:rPr>
                <w:sz w:val="17"/>
              </w:rPr>
              <w:t xml:space="preserve">, Deeds, Locke, McDougle, Obenshain, Stuart, </w:t>
            </w:r>
            <w:r>
              <w:rPr>
                <w:b/>
                <w:sz w:val="17"/>
              </w:rPr>
              <w:t>Reeves</w:t>
            </w:r>
            <w:r>
              <w:rPr>
                <w:sz w:val="17"/>
              </w:rPr>
              <w:t>, Favola, Surovell, McPike, Boysko, Pillion, Rouse, Bagby, Aird.</w:t>
            </w:r>
          </w:p>
        </w:tc>
        <w:tc>
          <w:tcPr>
            <w:tcW w:type="dxa" w:w="2880"/>
          </w:tcPr>
          <w:p>
            <w:pPr>
              <w:spacing w:before="20" w:after="20"/>
              <w:jc w:val="left"/>
            </w:pPr>
            <w:r>
              <w:rPr>
                <w:sz w:val="17"/>
              </w:rPr>
              <w:t>§ 30-19.1:7 names this committee as a recipient of the VRS impact statement.</w:t>
            </w:r>
          </w:p>
        </w:tc>
      </w:tr>
      <w:tr>
        <w:tc>
          <w:tcPr>
            <w:tcW w:type="dxa" w:w="2880"/>
          </w:tcPr>
          <w:p>
            <w:pPr>
              <w:spacing w:before="20" w:after="20"/>
              <w:jc w:val="left"/>
            </w:pPr>
            <w:r>
              <w:rPr>
                <w:sz w:val="17"/>
              </w:rPr>
              <w:t>2. Subcommittee</w:t>
            </w:r>
          </w:p>
        </w:tc>
        <w:tc>
          <w:tcPr>
            <w:tcW w:type="dxa" w:w="2880"/>
          </w:tcPr>
          <w:p>
            <w:pPr>
              <w:spacing w:before="20" w:after="20"/>
              <w:jc w:val="left"/>
            </w:pPr>
            <w:r>
              <w:rPr>
                <w:b/>
                <w:sz w:val="17"/>
              </w:rPr>
              <w:t>There is no Compensation and Retirement subcommittee in SFAC.</w:t>
            </w:r>
            <w:r>
              <w:rPr>
                <w:sz w:val="17"/>
              </w:rPr>
              <w:t xml:space="preserve"> The 2026 subcommittees are Economic Development/Natural Resources, General Government, Education, Public Safety &amp; Claims, Health and Human Resources, Capital Outlay and Transportation, and Resources. Compensation &amp; retirement is a </w:t>
            </w:r>
            <w:r>
              <w:rPr>
                <w:b/>
                <w:sz w:val="17"/>
              </w:rPr>
              <w:t>staff</w:t>
            </w:r>
            <w:r>
              <w:rPr>
                <w:sz w:val="17"/>
              </w:rPr>
              <w:t xml:space="preserve"> portfolio, carried by </w:t>
            </w:r>
            <w:r>
              <w:rPr>
                <w:b/>
                <w:sz w:val="17"/>
              </w:rPr>
              <w:t>Mike Tweedy</w:t>
            </w:r>
            <w:r>
              <w:rPr>
                <w:sz w:val="17"/>
              </w:rPr>
              <w:t xml:space="preserve"> (Senior Legislative Fiscal Analyst), who also staffs General Government and HHR.</w:t>
            </w:r>
          </w:p>
        </w:tc>
        <w:tc>
          <w:tcPr>
            <w:tcW w:type="dxa" w:w="2880"/>
          </w:tcPr>
          <w:p>
            <w:pPr>
              <w:spacing w:before="20" w:after="20"/>
              <w:jc w:val="left"/>
            </w:pPr>
            <w:r>
              <w:rPr>
                <w:b/>
                <w:sz w:val="17"/>
              </w:rPr>
              <w:t>This is a structural advantage for us and it should drive strategy.</w:t>
            </w:r>
            <w:r>
              <w:rPr>
                <w:sz w:val="17"/>
              </w:rPr>
              <w:t xml:space="preserve"> The Senate has no standing panel whose institutional purpose is to kill VRS bills. A VRS bill in the Senate faces the full committee, where it competes for attention rather than facing a specialist screen. The Senate is the better chamber of origin.</w:t>
            </w:r>
          </w:p>
        </w:tc>
      </w:tr>
      <w:tr>
        <w:tc>
          <w:tcPr>
            <w:tcW w:type="dxa" w:w="2880"/>
          </w:tcPr>
          <w:p>
            <w:pPr>
              <w:spacing w:before="20" w:after="20"/>
              <w:jc w:val="left"/>
            </w:pPr>
            <w:r>
              <w:rPr>
                <w:sz w:val="17"/>
              </w:rPr>
              <w:t>3. Committee record on analogous bills</w:t>
            </w:r>
          </w:p>
        </w:tc>
        <w:tc>
          <w:tcPr>
            <w:tcW w:type="dxa" w:w="2880"/>
          </w:tcPr>
          <w:p>
            <w:pPr>
              <w:spacing w:before="20" w:after="20"/>
              <w:jc w:val="left"/>
            </w:pPr>
            <w:r>
              <w:rPr>
                <w:sz w:val="17"/>
              </w:rPr>
              <w:t xml:space="preserve">SFAC continued SB 328 (Jordan) and SB 472 (Obenshain) — the 911 dispatcher enhanced-retirement bills — to 2025 on a </w:t>
            </w:r>
            <w:r>
              <w:rPr>
                <w:b/>
                <w:sz w:val="17"/>
              </w:rPr>
              <w:t>12-3</w:t>
            </w:r>
            <w:r>
              <w:rPr>
                <w:sz w:val="17"/>
              </w:rPr>
              <w:t xml:space="preserve"> vote, 2024-02-06.</w:t>
            </w:r>
          </w:p>
        </w:tc>
        <w:tc>
          <w:tcPr>
            <w:tcW w:type="dxa" w:w="2880"/>
          </w:tcPr>
          <w:p>
            <w:pPr>
              <w:spacing w:before="20" w:after="20"/>
              <w:jc w:val="left"/>
            </w:pPr>
            <w:r>
              <w:rPr>
                <w:sz w:val="17"/>
              </w:rPr>
              <w:t>SFAC's instinct on locally-costed VRS expansions is to continue rather than kill. A continuation is survivable; a tabling is not.</w:t>
            </w:r>
          </w:p>
        </w:tc>
      </w:tr>
      <w:tr>
        <w:tc>
          <w:tcPr>
            <w:tcW w:type="dxa" w:w="2880"/>
          </w:tcPr>
          <w:p>
            <w:pPr>
              <w:spacing w:before="20" w:after="20"/>
              <w:jc w:val="left"/>
            </w:pPr>
            <w:r>
              <w:rPr>
                <w:sz w:val="17"/>
              </w:rPr>
              <w:t>4. Floor</w:t>
            </w:r>
          </w:p>
        </w:tc>
        <w:tc>
          <w:tcPr>
            <w:tcW w:type="dxa" w:w="2880"/>
          </w:tcPr>
          <w:p>
            <w:pPr>
              <w:spacing w:before="20" w:after="20"/>
              <w:jc w:val="left"/>
            </w:pPr>
            <w:r>
              <w:rPr>
                <w:sz w:val="17"/>
              </w:rPr>
              <w:t>Senate</w:t>
            </w:r>
          </w:p>
        </w:tc>
        <w:tc>
          <w:tcPr>
            <w:tcW w:type="dxa" w:w="2880"/>
          </w:tcPr>
          <w:p>
            <w:pPr>
              <w:spacing w:before="20" w:after="20"/>
              <w:jc w:val="left"/>
            </w:pPr>
            <w:r>
              <w:rPr>
                <w:sz w:val="17"/>
              </w:rPr>
              <w:t>HB 1890 passed 38-0 and the conference report 37-0.</w:t>
            </w:r>
          </w:p>
        </w:tc>
      </w:tr>
    </w:tbl>
    <w:p>
      <w:pPr>
        <w:spacing w:before="0" w:after="0" w:line="80" w:lineRule="exact"/>
      </w:pPr>
      <w:r>
        <w:rPr>
          <w:sz w:val="8"/>
        </w:rPr>
      </w:r>
    </w:p>
    <w:p>
      <w:pPr>
        <w:pStyle w:val="Heading3"/>
      </w:pPr>
      <w:r>
        <w:t>4.3 Also in the path</w:t>
      </w:r>
    </w:p>
    <w:p>
      <w:pPr>
        <w:pStyle w:val="ListBullet"/>
      </w:pPr>
      <w:r>
        <w:rPr>
          <w:b/>
        </w:rPr>
        <w:t>Division of Legislative Services</w:t>
      </w:r>
      <w:r>
        <w:t xml:space="preserve"> — drafting. Annex A Q13/Q14 confirmations are owed here.</w:t>
      </w:r>
    </w:p>
    <w:p>
      <w:pPr>
        <w:pStyle w:val="ListBullet"/>
      </w:pPr>
      <w:r>
        <w:rPr>
          <w:b/>
        </w:rPr>
        <w:t>VRS Board of Trustees</w:t>
      </w:r>
      <w:r>
        <w:t xml:space="preserve"> — must file the § 30-19.1:7 statement with both clerks, the Commission on Local Government, House Appropriations and Senate Finance &amp; Appropriations. In practice the statement is filed within days of prefiling (HB 1867's was dated </w:t>
      </w:r>
      <w:r>
        <w:rPr>
          <w:b/>
        </w:rPr>
        <w:t>1/16/2023</w:t>
      </w:r>
      <w:r>
        <w:t xml:space="preserve">, six days after prefiling). </w:t>
      </w:r>
      <w:r>
        <w:rPr>
          <w:b/>
        </w:rPr>
        <w:t>Our fiscal case has to be complete before prefiling, not before the hearing.</w:t>
      </w:r>
    </w:p>
    <w:p>
      <w:pPr>
        <w:pStyle w:val="ListBullet"/>
      </w:pPr>
      <w:r>
        <w:rPr>
          <w:b/>
        </w:rPr>
        <w:t>Commission on Local Government</w:t>
      </w:r>
      <w:r>
        <w:t xml:space="preserve"> — receives the VRS statement, and may file its own § 30-19.03 local fiscal impact statement built on input from ~40 localities.</w:t>
      </w:r>
    </w:p>
    <w:p>
      <w:pPr>
        <w:pStyle w:val="ListBullet"/>
      </w:pPr>
      <w:r>
        <w:rPr>
          <w:b/>
        </w:rPr>
        <w:t>Department of Planning and Budget</w:t>
      </w:r>
      <w:r>
        <w:t xml:space="preserve"> — participates in identifying bills with local fiscal impact.</w:t>
      </w:r>
    </w:p>
    <w:p>
      <w:pPr>
        <w:pStyle w:val="ListBullet"/>
      </w:pPr>
      <w:r>
        <w:rPr>
          <w:b/>
        </w:rPr>
        <w:t>Session clock — and it cuts against us.</w:t>
      </w:r>
      <w:r>
        <w:t xml:space="preserve"> The 2026 session was the even-year long session: convened January 14, crossover February 17, adjourned March 14, roughly 60 days. </w:t>
      </w:r>
      <w:r>
        <w:rPr>
          <w:b/>
        </w:rPr>
        <w:t>2027 is an odd year, so it is the short session — 30 days under Art. IV, § 6 of the Constitution of Virginia, conventionally extended to 45 by a two-thirds vote.</w:t>
      </w:r>
      <w:r>
        <w:t xml:space="preserve"> Roughly a third less floor and docket time, against the same volume of bills. The practical effect in the Compensation and Retirement subcommittee is that each bill gets a shorter hearing and the tabling motion gets easier, because tabling is the cheapest way to clear a docket. </w:t>
      </w:r>
      <w:r>
        <w:rPr>
          <w:b/>
        </w:rPr>
        <w:t>Complexity is political risk, and in a short session it is the dominant risk.</w:t>
      </w:r>
      <w:r>
        <w:t xml:space="preserve"> A bill that reads as one deleted deadline plus an existing published rate survives a 45-day calendar. A bill that requires the subcommittee to understand a bespoke, Board-set, multi-factor rate schedule does not. This is an independent argument for the simplest possible draft, separate from the VRS-procedure argument in § 3.1, and it points the same way.</w:t>
      </w:r>
    </w:p>
    <w:p>
      <w:pPr>
        <w:jc w:val="center"/>
      </w:pPr>
      <w:r>
        <w:rPr>
          <w:color w:val="909090"/>
          <w:sz w:val="18"/>
        </w:rPr>
        <w:t>* * *</w:t>
      </w:r>
    </w:p>
    <w:p>
      <w:pPr>
        <w:pStyle w:val="Heading2"/>
      </w:pPr>
      <w:r>
        <w:t>5. The real fight</w:t>
      </w:r>
    </w:p>
    <w:p>
      <w:r>
        <w:rPr>
          <w:b/>
        </w:rPr>
        <w:t>It is two actors and one provision.</w:t>
      </w:r>
    </w:p>
    <w:p>
      <w:pPr>
        <w:spacing w:before="120" w:after="120"/>
        <w:ind w:left="480"/>
      </w:pPr>
      <w:r>
        <w:rPr>
          <w:b/>
          <w:i/>
          <w:color w:val="444444"/>
          <w:sz w:val="20"/>
        </w:rPr>
        <w:t>The fight is the House Appropriations Compensation and Retirement subcommittee, armed with a VRS impact statement that will say the take-up rate is unknowable — and the provision at issue is the price, not the deadline.</w:t>
      </w:r>
      <w:r>
        <w:rPr>
          <w:i/>
          <w:color w:val="444444"/>
          <w:sz w:val="20"/>
        </w:rPr>
        <w:t xml:space="preserve"> Nobody in Richmond objects to a veteran buying military service credit at age 48. They object to buying it at a price set for a 24-year-old, and to a fiscal note that no one can bound because neither VRS nor DHRM can count how many veterans are in the workforce (DHRM: 69% unknown veteran status; VRS, 2023: "not able to determine the number").</w:t>
      </w:r>
    </w:p>
    <w:p>
      <w:r>
        <w:t>The mechanism by which we lose is precise and it has already happened once. VRS files a statement that says the per-member liability is $10,000–$60,000 and the population is undeterminable; it then builds an illustrative scenario with a round take-up assumption; the subcommittee reads the resulting total, sees no general fund ask but a pooled liability it cannot size, and lays the bill on the table 8-0 in under four minutes on an unrecorded voice vote. No one argues about veterans. That is exactly the HB 1867 transcript.</w:t>
      </w:r>
    </w:p>
    <w:p>
      <w:r>
        <w:rPr>
          <w:b/>
        </w:rPr>
        <w:t>What breaks the mechanism.</w:t>
      </w:r>
      <w:r>
        <w:t xml:space="preserve"> Not advocacy. A number. Specifically:</w:t>
      </w:r>
    </w:p>
    <w:p>
      <w:pPr>
        <w:spacing w:after="60"/>
        <w:ind w:left="432" w:hanging="432"/>
      </w:pPr>
      <w:r>
        <w:rPr>
          <w:b/>
        </w:rPr>
        <w:t>1.</w:t>
        <w:tab/>
      </w:r>
      <w:r>
        <w:rPr>
          <w:b/>
        </w:rPr>
        <w:t>Bound the cost in the bill's own text, because the denominator cannot be pre-empted.</w:t>
      </w:r>
      <w:r>
        <w:t xml:space="preserve"> The published range exists </w:t>
      </w:r>
      <w:r>
        <w:rPr>
          <w:i/>
        </w:rPr>
        <w:t>because</w:t>
      </w:r>
      <w:r>
        <w:t xml:space="preserve"> the pool is unknown, and a range that wide is an invitation to the high end. Pricing is therefore the instrument — but </w:t>
      </w:r>
      <w:r>
        <w:rPr>
          <w:b/>
        </w:rPr>
        <w:t>the specific version the package currently offers does not work, and Red Team F-1 is right about why.</w:t>
      </w:r>
      <w:r>
        <w:t xml:space="preserve"> Annex A § 2.2 requires any Board schedule to apply uniformly within a classification </w:t>
      </w:r>
      <w:r>
        <w:rPr>
          <w:i/>
        </w:rPr>
        <w:t>and</w:t>
      </w:r>
      <w:r>
        <w:t xml:space="preserve"> never to exceed any individual member's actuarial equivalent cost; a uniform rate satisfying that ceiling for everyone in a class must be set at the class </w:t>
      </w:r>
      <w:r>
        <w:rPr>
          <w:b/>
        </w:rPr>
        <w:t>minimum</w:t>
      </w:r>
      <w:r>
        <w:t>, which on the team's own model recovers 25%–73% of the excess, not 100%. So "the Board can dial the fiscal note to zero" is not a sentence we can say to the money committees. Two things follow politically:</w:t>
      </w:r>
    </w:p>
    <w:p>
      <w:pPr>
        <w:pStyle w:val="ListBullet"/>
      </w:pPr>
      <w:r>
        <w:rPr>
          <w:b/>
        </w:rPr>
        <w:t>Do not carry the zero-fiscal-note claim into any hearing.</w:t>
      </w:r>
      <w:r>
        <w:t xml:space="preserve"> If a member asks whether the Board can eliminate the cost and the answer is a uniform-rate schedule, the honest answer is "it recovers most of it in most classes," and anyone who reads our own model will find the 25% case. Making that claim and losing it is worse than never making it.</w:t>
      </w:r>
    </w:p>
    <w:p>
      <w:pPr>
        <w:pStyle w:val="ListBullet"/>
      </w:pPr>
      <w:r>
        <w:rPr>
          <w:b/>
        </w:rPr>
        <w:t>Put the recovery floor in statute, and take the precedent from Ohio.</w:t>
      </w:r>
      <w:r>
        <w:t xml:space="preserve"> </w:t>
      </w:r>
      <w:r>
        <w:rPr>
          <w:b/>
        </w:rPr>
        <w:t>ORC § 145.301 solves exactly this problem by statute</w:t>
      </w:r>
      <w:r>
        <w:t xml:space="preserve">: no filing window at all, with cost control delivered as a hard statutory price floor — the member pays "not less than fifty per cent of the additional liability" for armed-forces active duty. A Virginia analogue (a statutory minimum percentage of actuarial equivalent cost, rather than a Board schedule constrained by an individual-member ceiling) gives the subcommittee a number it can read off the bill's face, removes the uniformity-versus-ceiling trap F-1 identifies, and is defensible as a national pattern rather than a Virginia invention. </w:t>
      </w:r>
      <w:r>
        <w:rPr>
          <w:b/>
        </w:rPr>
        <w:t>This is the strongest single contribution my precedent research makes to the F-1 problem, and it is handed to Counsel and the Drafting Specialist as a lead, not as a legal conclusion — the drafting is theirs.</w:t>
      </w:r>
    </w:p>
    <w:p>
      <w:r>
        <w:t xml:space="preserve">Either way, Annex A § 79 states the price honestly: a high recovery setting removes the pricing subsidy from exactly the long-service Plan 1 veterans most eager for the bill, leaving them access and the 60-month payment term. Policy Director and JLCVSO have to decide whether access alone is the win. </w:t>
      </w:r>
      <w:r>
        <w:rPr>
          <w:b/>
        </w:rPr>
        <w:t>My read: it is, and it is the only version that clears this subcommittee.</w:t>
      </w:r>
    </w:p>
    <w:p>
      <w:pPr>
        <w:spacing w:after="60"/>
        <w:ind w:left="432" w:hanging="432"/>
      </w:pPr>
      <w:r>
        <w:rPr>
          <w:b/>
        </w:rPr>
        <w:t>2.</w:t>
        <w:tab/>
      </w:r>
      <w:r>
        <w:rPr>
          <w:b/>
        </w:rPr>
        <w:t>Convert present value into basis points</w:t>
      </w:r>
      <w:r>
        <w:t xml:space="preserve"> per employer group (requested of Fiscal &amp; Impact Modeler, § 3.3).</w:t>
      </w:r>
    </w:p>
    <w:p>
      <w:pPr>
        <w:spacing w:after="60"/>
        <w:ind w:left="432" w:hanging="432"/>
      </w:pPr>
      <w:r>
        <w:rPr>
          <w:b/>
        </w:rPr>
        <w:t>3.</w:t>
        <w:tab/>
      </w:r>
      <w:r>
        <w:rPr>
          <w:b/>
        </w:rPr>
        <w:t>Distinguish HB 1867 in one sentence, in the bill's own summary.</w:t>
      </w:r>
      <w:r>
        <w:t xml:space="preserve"> HB 1867 granted service </w:t>
      </w:r>
      <w:r>
        <w:rPr>
          <w:i/>
        </w:rPr>
        <w:t>free</w:t>
      </w:r>
      <w:r>
        <w:t xml:space="preserve">; this bill </w:t>
      </w:r>
      <w:r>
        <w:rPr>
          <w:i/>
        </w:rPr>
        <w:t>charges</w:t>
      </w:r>
      <w:r>
        <w:t xml:space="preserve"> the member the published approximate normal cost. VRS's 2023 objection — "granting service with no employer or employee contributions will contribute to the unfunded liability" — does not transfer, and the subcommittee should be told that before VRS's statement arrives, not after.</w:t>
      </w:r>
    </w:p>
    <w:p>
      <w:pPr>
        <w:jc w:val="center"/>
      </w:pPr>
      <w:r>
        <w:rPr>
          <w:color w:val="909090"/>
          <w:sz w:val="18"/>
        </w:rPr>
        <w:t>* * *</w:t>
      </w:r>
    </w:p>
    <w:p>
      <w:pPr>
        <w:pStyle w:val="Heading2"/>
      </w:pPr>
      <w:r>
        <w:t>6. Coalition options and the price of each ally</w:t>
      </w:r>
    </w:p>
    <w:p>
      <w:r>
        <w:t>Every ally narrows the policy. The price is stated for each.</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Ally</w:t>
            </w:r>
          </w:p>
        </w:tc>
        <w:tc>
          <w:tcPr>
            <w:tcW w:type="dxa" w:w="2160"/>
          </w:tcPr>
          <w:p>
            <w:pPr>
              <w:spacing w:before="20" w:after="20"/>
              <w:jc w:val="left"/>
            </w:pPr>
            <w:r>
              <w:rPr>
                <w:b/>
                <w:sz w:val="17"/>
              </w:rPr>
              <w:t>What brings them along</w:t>
            </w:r>
          </w:p>
        </w:tc>
        <w:tc>
          <w:tcPr>
            <w:tcW w:type="dxa" w:w="2160"/>
          </w:tcPr>
          <w:p>
            <w:pPr>
              <w:spacing w:before="20" w:after="20"/>
              <w:jc w:val="left"/>
            </w:pPr>
            <w:r>
              <w:rPr>
                <w:b/>
                <w:sz w:val="17"/>
              </w:rPr>
              <w:t>Price in scope</w:t>
            </w:r>
          </w:p>
        </w:tc>
        <w:tc>
          <w:tcPr>
            <w:tcW w:type="dxa" w:w="2160"/>
          </w:tcPr>
          <w:p>
            <w:pPr>
              <w:spacing w:before="20" w:after="20"/>
              <w:jc w:val="left"/>
            </w:pPr>
            <w:r>
              <w:rPr>
                <w:b/>
                <w:sz w:val="17"/>
              </w:rPr>
              <w:t>My assessment</w:t>
            </w:r>
          </w:p>
        </w:tc>
      </w:tr>
      <w:tr>
        <w:tc>
          <w:tcPr>
            <w:tcW w:type="dxa" w:w="2160"/>
          </w:tcPr>
          <w:p>
            <w:pPr>
              <w:spacing w:before="20" w:after="20"/>
              <w:jc w:val="left"/>
            </w:pPr>
            <w:r>
              <w:rPr>
                <w:b/>
                <w:sz w:val="17"/>
              </w:rPr>
              <w:t>VRS (to formal neutrality)</w:t>
            </w:r>
          </w:p>
        </w:tc>
        <w:tc>
          <w:tcPr>
            <w:tcW w:type="dxa" w:w="2160"/>
          </w:tcPr>
          <w:p>
            <w:pPr>
              <w:spacing w:before="20" w:after="20"/>
              <w:jc w:val="left"/>
            </w:pPr>
            <w:r>
              <w:rPr>
                <w:sz w:val="17"/>
              </w:rPr>
              <w:t>A bill that changes no VRS procedure: existing published approximate normal cost rates, existing 60-month term, existing VNAV workflow, one deleted deadline, delayed effective date of July 1, 2028 to allow programming.</w:t>
            </w:r>
          </w:p>
        </w:tc>
        <w:tc>
          <w:tcPr>
            <w:tcW w:type="dxa" w:w="2160"/>
          </w:tcPr>
          <w:p>
            <w:pPr>
              <w:spacing w:before="20" w:after="20"/>
              <w:jc w:val="left"/>
            </w:pPr>
            <w:r>
              <w:rPr>
                <w:b/>
                <w:sz w:val="17"/>
              </w:rPr>
              <w:t>Give up the wide schedule authority in statute</w:t>
            </w:r>
            <w:r>
              <w:rPr>
                <w:sz w:val="17"/>
              </w:rPr>
              <w:t>, or at minimum accept a delayed effective date and fund the ~$78,000-order implementation as an NGF item. Conflicts with Annex A v1.1 counsel preference.</w:t>
            </w:r>
          </w:p>
        </w:tc>
        <w:tc>
          <w:tcPr>
            <w:tcW w:type="dxa" w:w="2160"/>
          </w:tcPr>
          <w:p>
            <w:pPr>
              <w:spacing w:before="20" w:after="20"/>
              <w:jc w:val="left"/>
            </w:pPr>
            <w:r>
              <w:rPr>
                <w:b/>
                <w:sz w:val="17"/>
              </w:rPr>
              <w:t>Highest-value trade available.</w:t>
            </w:r>
            <w:r>
              <w:rPr>
                <w:sz w:val="17"/>
              </w:rPr>
              <w:t xml:space="preserve"> VRS neutrality is worth more than any endorsement, because its statement is the document the subcommittee actually reads.</w:t>
            </w:r>
          </w:p>
        </w:tc>
      </w:tr>
      <w:tr>
        <w:tc>
          <w:tcPr>
            <w:tcW w:type="dxa" w:w="2160"/>
          </w:tcPr>
          <w:p>
            <w:pPr>
              <w:spacing w:before="20" w:after="20"/>
              <w:jc w:val="left"/>
            </w:pPr>
            <w:r>
              <w:rPr>
                <w:b/>
                <w:sz w:val="17"/>
              </w:rPr>
              <w:t>VACo and VML (to non-opposition)</w:t>
            </w:r>
          </w:p>
        </w:tc>
        <w:tc>
          <w:tcPr>
            <w:tcW w:type="dxa" w:w="2160"/>
          </w:tcPr>
          <w:p>
            <w:pPr>
              <w:spacing w:before="20" w:after="20"/>
              <w:jc w:val="left"/>
            </w:pPr>
            <w:r>
              <w:rPr>
                <w:sz w:val="17"/>
              </w:rPr>
              <w:t>Either (a) the Commonwealth bears the political subdivision share, or (b) the provision does not bind political subdivisions until they adopt it.</w:t>
            </w:r>
          </w:p>
        </w:tc>
        <w:tc>
          <w:tcPr>
            <w:tcW w:type="dxa" w:w="2160"/>
          </w:tcPr>
          <w:p>
            <w:pPr>
              <w:spacing w:before="20" w:after="20"/>
              <w:jc w:val="left"/>
            </w:pPr>
            <w:r>
              <w:rPr>
                <w:b/>
                <w:sz w:val="17"/>
              </w:rPr>
              <w:t>(a)</w:t>
            </w:r>
            <w:r>
              <w:rPr>
                <w:sz w:val="17"/>
              </w:rPr>
              <w:t xml:space="preserve"> converts a no-appropriation bill into an appropriation ask — which costs us the "requests no appropriation" claim, our strongest remaining fiscal sentence post-F-2. </w:t>
            </w:r>
            <w:r>
              <w:rPr>
                <w:b/>
                <w:sz w:val="17"/>
              </w:rPr>
              <w:t>(b)</w:t>
            </w:r>
            <w:r>
              <w:rPr>
                <w:sz w:val="17"/>
              </w:rPr>
              <w:t xml:space="preserve"> is the </w:t>
            </w:r>
            <w:r>
              <w:rPr>
                <w:b/>
                <w:sz w:val="17"/>
              </w:rPr>
              <w:t>opt-in by irrevocable resolution modelled on § 51.1-153 B 4</w:t>
            </w:r>
            <w:r>
              <w:rPr>
                <w:sz w:val="17"/>
              </w:rPr>
              <w:t xml:space="preserve"> that JLCVSO rejected on 2026-10-24.</w:t>
            </w:r>
          </w:p>
        </w:tc>
        <w:tc>
          <w:tcPr>
            <w:tcW w:type="dxa" w:w="2160"/>
          </w:tcPr>
          <w:p>
            <w:pPr>
              <w:spacing w:before="20" w:after="20"/>
              <w:jc w:val="left"/>
            </w:pPr>
            <w:r>
              <w:rPr>
                <w:b/>
                <w:sz w:val="17"/>
              </w:rPr>
              <w:t>Recommend keeping (b) on the Q12 concession ladder as a trade, not dropping it.</w:t>
            </w:r>
            <w:r>
              <w:rPr>
                <w:sz w:val="17"/>
              </w:rPr>
              <w:t xml:space="preserve"> This is a direct answer to Policy Director's question. Reasoning in the box below.</w:t>
            </w:r>
          </w:p>
        </w:tc>
      </w:tr>
      <w:tr>
        <w:tc>
          <w:tcPr>
            <w:tcW w:type="dxa" w:w="2160"/>
          </w:tcPr>
          <w:p>
            <w:pPr>
              <w:spacing w:before="20" w:after="20"/>
              <w:jc w:val="left"/>
            </w:pPr>
            <w:r>
              <w:rPr>
                <w:b/>
                <w:sz w:val="17"/>
              </w:rPr>
              <w:t>VEA</w:t>
            </w:r>
          </w:p>
        </w:tc>
        <w:tc>
          <w:tcPr>
            <w:tcW w:type="dxa" w:w="2160"/>
          </w:tcPr>
          <w:p>
            <w:pPr>
              <w:spacing w:before="20" w:after="20"/>
              <w:jc w:val="left"/>
            </w:pPr>
            <w:r>
              <w:rPr>
                <w:sz w:val="17"/>
              </w:rPr>
              <w:t>Scope that includes teachers — already decided.</w:t>
            </w:r>
          </w:p>
        </w:tc>
        <w:tc>
          <w:tcPr>
            <w:tcW w:type="dxa" w:w="2160"/>
          </w:tcPr>
          <w:p>
            <w:pPr>
              <w:spacing w:before="20" w:after="20"/>
              <w:jc w:val="left"/>
            </w:pPr>
            <w:r>
              <w:rPr>
                <w:sz w:val="17"/>
              </w:rPr>
              <w:t>None. Already paid for by the no-opt-in decision.</w:t>
            </w:r>
          </w:p>
        </w:tc>
        <w:tc>
          <w:tcPr>
            <w:tcW w:type="dxa" w:w="2160"/>
          </w:tcPr>
          <w:p>
            <w:pPr>
              <w:spacing w:before="20" w:after="20"/>
              <w:jc w:val="left"/>
            </w:pPr>
            <w:r>
              <w:rPr>
                <w:sz w:val="17"/>
              </w:rPr>
              <w:t>Free ally. Ask for a witness, not a lobbying campaign.</w:t>
            </w:r>
          </w:p>
        </w:tc>
      </w:tr>
      <w:tr>
        <w:tc>
          <w:tcPr>
            <w:tcW w:type="dxa" w:w="2160"/>
          </w:tcPr>
          <w:p>
            <w:pPr>
              <w:spacing w:before="20" w:after="20"/>
              <w:jc w:val="left"/>
            </w:pPr>
            <w:r>
              <w:rPr>
                <w:b/>
                <w:sz w:val="17"/>
              </w:rPr>
              <w:t>VGEA</w:t>
            </w:r>
          </w:p>
        </w:tc>
        <w:tc>
          <w:tcPr>
            <w:tcW w:type="dxa" w:w="2160"/>
          </w:tcPr>
          <w:p>
            <w:pPr>
              <w:spacing w:before="20" w:after="20"/>
              <w:jc w:val="left"/>
            </w:pPr>
            <w:r>
              <w:rPr>
                <w:sz w:val="17"/>
              </w:rPr>
              <w:t>Scope that includes state employees — already decided.</w:t>
            </w:r>
          </w:p>
        </w:tc>
        <w:tc>
          <w:tcPr>
            <w:tcW w:type="dxa" w:w="2160"/>
          </w:tcPr>
          <w:p>
            <w:pPr>
              <w:spacing w:before="20" w:after="20"/>
              <w:jc w:val="left"/>
            </w:pPr>
            <w:r>
              <w:rPr>
                <w:sz w:val="17"/>
              </w:rPr>
              <w:t>None.</w:t>
            </w:r>
          </w:p>
        </w:tc>
        <w:tc>
          <w:tcPr>
            <w:tcW w:type="dxa" w:w="2160"/>
          </w:tcPr>
          <w:p>
            <w:pPr>
              <w:spacing w:before="20" w:after="20"/>
              <w:jc w:val="left"/>
            </w:pPr>
            <w:r>
              <w:rPr>
                <w:sz w:val="17"/>
              </w:rPr>
              <w:t>Free ally, low energy. Do not expect capital.</w:t>
            </w:r>
          </w:p>
        </w:tc>
      </w:tr>
      <w:tr>
        <w:tc>
          <w:tcPr>
            <w:tcW w:type="dxa" w:w="2160"/>
          </w:tcPr>
          <w:p>
            <w:pPr>
              <w:spacing w:before="20" w:after="20"/>
              <w:jc w:val="left"/>
            </w:pPr>
            <w:r>
              <w:rPr>
                <w:b/>
                <w:sz w:val="17"/>
              </w:rPr>
              <w:t>Hazardous-duty employee groups</w:t>
            </w:r>
          </w:p>
        </w:tc>
        <w:tc>
          <w:tcPr>
            <w:tcW w:type="dxa" w:w="2160"/>
          </w:tcPr>
          <w:p>
            <w:pPr>
              <w:spacing w:before="20" w:after="20"/>
              <w:jc w:val="left"/>
            </w:pPr>
            <w:r>
              <w:rPr>
                <w:sz w:val="17"/>
              </w:rPr>
              <w:t>Confirmation that the alternate hazardous duty option (10.01%) is reached — Annex A v1.1 § 2.6 does this.</w:t>
            </w:r>
          </w:p>
        </w:tc>
        <w:tc>
          <w:tcPr>
            <w:tcW w:type="dxa" w:w="2160"/>
          </w:tcPr>
          <w:p>
            <w:pPr>
              <w:spacing w:before="20" w:after="20"/>
              <w:jc w:val="left"/>
            </w:pPr>
            <w:r>
              <w:rPr>
                <w:sz w:val="17"/>
              </w:rPr>
              <w:t>None.</w:t>
            </w:r>
          </w:p>
        </w:tc>
        <w:tc>
          <w:tcPr>
            <w:tcW w:type="dxa" w:w="2160"/>
          </w:tcPr>
          <w:p>
            <w:pPr>
              <w:spacing w:before="20" w:after="20"/>
              <w:jc w:val="left"/>
            </w:pPr>
            <w:r>
              <w:rPr>
                <w:sz w:val="17"/>
              </w:rPr>
              <w:t>Best available witness pool. A deputy sheriff who served four years in the Marines and was hired at 31 is the hearing.</w:t>
            </w:r>
          </w:p>
        </w:tc>
      </w:tr>
      <w:tr>
        <w:tc>
          <w:tcPr>
            <w:tcW w:type="dxa" w:w="2160"/>
          </w:tcPr>
          <w:p>
            <w:pPr>
              <w:spacing w:before="20" w:after="20"/>
              <w:jc w:val="left"/>
            </w:pPr>
            <w:r>
              <w:rPr>
                <w:b/>
                <w:sz w:val="17"/>
              </w:rPr>
              <w:t>A Republican subcommittee co-patron (Hodges or Wyatt)</w:t>
            </w:r>
          </w:p>
        </w:tc>
        <w:tc>
          <w:tcPr>
            <w:tcW w:type="dxa" w:w="2160"/>
          </w:tcPr>
          <w:p>
            <w:pPr>
              <w:spacing w:before="20" w:after="20"/>
              <w:jc w:val="left"/>
            </w:pPr>
            <w:r>
              <w:rPr>
                <w:sz w:val="17"/>
              </w:rPr>
              <w:t>A bill that is manifestly cost-contained.</w:t>
            </w:r>
          </w:p>
        </w:tc>
        <w:tc>
          <w:tcPr>
            <w:tcW w:type="dxa" w:w="2160"/>
          </w:tcPr>
          <w:p>
            <w:pPr>
              <w:spacing w:before="20" w:after="20"/>
              <w:jc w:val="left"/>
            </w:pPr>
            <w:r>
              <w:rPr>
                <w:sz w:val="17"/>
              </w:rPr>
              <w:t>Probably the four-year cap reduced, or a minimum-membership-service floor.</w:t>
            </w:r>
          </w:p>
        </w:tc>
        <w:tc>
          <w:tcPr>
            <w:tcW w:type="dxa" w:w="2160"/>
          </w:tcPr>
          <w:p>
            <w:pPr>
              <w:spacing w:before="20" w:after="20"/>
              <w:jc w:val="left"/>
            </w:pPr>
            <w:r>
              <w:rPr>
                <w:b/>
                <w:sz w:val="17"/>
              </w:rPr>
              <w:t>Worth more than the cap.</w:t>
            </w:r>
            <w:r>
              <w:rPr>
                <w:sz w:val="17"/>
              </w:rPr>
              <w:t xml:space="preserve"> An 8-0 tabling becomes contested the moment one of the two Republicans on the panel is a co-patron.</w:t>
            </w:r>
          </w:p>
        </w:tc>
      </w:tr>
      <w:tr>
        <w:tc>
          <w:tcPr>
            <w:tcW w:type="dxa" w:w="2160"/>
          </w:tcPr>
          <w:p>
            <w:pPr>
              <w:spacing w:before="20" w:after="20"/>
              <w:jc w:val="left"/>
            </w:pPr>
            <w:r>
              <w:rPr>
                <w:b/>
                <w:sz w:val="17"/>
              </w:rPr>
              <w:t>General Assembly Military and Veterans Caucus (GAMVC)</w:t>
            </w:r>
          </w:p>
        </w:tc>
        <w:tc>
          <w:tcPr>
            <w:tcW w:type="dxa" w:w="2160"/>
          </w:tcPr>
          <w:p>
            <w:pPr>
              <w:spacing w:before="20" w:after="20"/>
              <w:jc w:val="left"/>
            </w:pPr>
            <w:r>
              <w:rPr>
                <w:sz w:val="17"/>
              </w:rPr>
              <w:t xml:space="preserve">Being asked </w:t>
            </w:r>
            <w:r>
              <w:rPr>
                <w:b/>
                <w:sz w:val="17"/>
              </w:rPr>
              <w:t>through the JLC's Legislative Officer, before the 2026-12-17 board meeting</w:t>
            </w:r>
            <w:r>
              <w:rPr>
                <w:sz w:val="17"/>
              </w:rPr>
              <w:t xml:space="preserve"> — the 2026-04-14 Legislative Committee agenda records that the JLC discusses its initiatives "with DVS and with GAMVC members" as a matter of course.</w:t>
            </w:r>
          </w:p>
        </w:tc>
        <w:tc>
          <w:tcPr>
            <w:tcW w:type="dxa" w:w="2160"/>
          </w:tcPr>
          <w:p>
            <w:pPr>
              <w:spacing w:before="20" w:after="20"/>
              <w:jc w:val="left"/>
            </w:pPr>
            <w:r>
              <w:rPr>
                <w:sz w:val="17"/>
              </w:rPr>
              <w:t>None.</w:t>
            </w:r>
          </w:p>
        </w:tc>
        <w:tc>
          <w:tcPr>
            <w:tcW w:type="dxa" w:w="2160"/>
          </w:tcPr>
          <w:p>
            <w:pPr>
              <w:spacing w:before="20" w:after="20"/>
              <w:jc w:val="left"/>
            </w:pPr>
            <w:r>
              <w:rPr>
                <w:b/>
                <w:sz w:val="17"/>
              </w:rPr>
              <w:t>Cheaper than v1.0 assumed, and currently unspent.</w:t>
            </w:r>
            <w:r>
              <w:rPr>
                <w:sz w:val="17"/>
              </w:rPr>
              <w:t xml:space="preserve"> It is reached through our own client rather than cold. The roster is still unverified — see U-2.</w:t>
            </w:r>
          </w:p>
        </w:tc>
      </w:tr>
    </w:tbl>
    <w:p>
      <w:pPr>
        <w:spacing w:before="0" w:after="0" w:line="80" w:lineRule="exact"/>
      </w:pPr>
      <w:r>
        <w:rPr>
          <w:sz w:val="8"/>
        </w:rPr>
      </w:r>
    </w:p>
    <w:p>
      <w:pPr>
        <w:pStyle w:val="Heading3"/>
        <w:ind w:left="480"/>
      </w:pPr>
      <w:r>
        <w:t>On the opt-in: recommendation to Policy Director</w:t>
      </w:r>
    </w:p>
    <w:p>
      <w:pPr>
        <w:spacing w:before="120" w:after="120"/>
        <w:ind w:left="480"/>
      </w:pPr>
      <w:r>
        <w:rPr>
          <w:i/>
          <w:color w:val="444444"/>
          <w:sz w:val="20"/>
        </w:rPr>
        <w:t xml:space="preserve">JLCVSO decided scope on 2026-10-24 and that decision stands; I am not relitigating it. But the question put to me was whether the § 51.1-153 B 4 opt-in pattern should stay on the Q12 concession ladder as a </w:t>
      </w:r>
      <w:r>
        <w:rPr>
          <w:b/>
          <w:i/>
          <w:color w:val="444444"/>
          <w:sz w:val="20"/>
        </w:rPr>
        <w:t>trade</w:t>
      </w:r>
      <w:r>
        <w:rPr>
          <w:i/>
          <w:color w:val="444444"/>
          <w:sz w:val="20"/>
        </w:rPr>
        <w:t xml:space="preserve">. </w:t>
      </w:r>
      <w:r>
        <w:rPr>
          <w:b/>
          <w:i/>
          <w:color w:val="444444"/>
          <w:sz w:val="20"/>
        </w:rPr>
        <w:t>My recommendation is yes, and it should be ranked as the ladder's second rung, below the guardrail dial and above the four-year cap.</w:t>
      </w:r>
    </w:p>
    <w:p>
      <w:pPr>
        <w:spacing w:before="120" w:after="120"/>
        <w:ind w:left="480"/>
      </w:pPr>
      <w:r>
        <w:rPr>
          <w:i/>
          <w:color w:val="444444"/>
          <w:sz w:val="20"/>
        </w:rPr>
        <w:t xml:space="preserve">Three reasons. First, VACo's 2027 program has already </w:t>
      </w:r>
      <w:r>
        <w:rPr>
          <w:i/>
          <w:color w:val="444444"/>
          <w:sz w:val="20"/>
        </w:rPr>
        <w:t>written the amendment for them</w:t>
      </w:r>
      <w:r>
        <w:rPr>
          <w:i/>
          <w:color w:val="444444"/>
          <w:sz w:val="20"/>
        </w:rPr>
        <w:t xml:space="preserve"> — "the legislation should contain a sunset clause providing that the mandate is not binding on localities until funding by the Commonwealth is provided." If we do not offer a local-consent structure, that sentence is what gets offered instead, and it is worse: it is a funding contingency rather than a local election. Second, offering the opt-in </w:t>
      </w:r>
      <w:r>
        <w:rPr>
          <w:b/>
          <w:i/>
          <w:color w:val="444444"/>
          <w:sz w:val="20"/>
        </w:rPr>
        <w:t>after</w:t>
      </w:r>
      <w:r>
        <w:rPr>
          <w:i/>
          <w:color w:val="444444"/>
          <w:sz w:val="20"/>
        </w:rPr>
        <w:t xml:space="preserve"> the § 30-19.1:7 statement lands splits the opposition — the Teacher plan is statewide and unaffected by an opt-in, so an opt-in concedes only the political subdivision pool, which Annex 2 Closure's three-way split shows is the smaller share of exposure. Third, conceding it in the room rather than in the draft preserves the full-scope ask as the opening position, which is what JLCVSO actually voted for.</w:t>
      </w:r>
    </w:p>
    <w:p>
      <w:pPr>
        <w:spacing w:before="120" w:after="120"/>
        <w:ind w:left="480"/>
      </w:pPr>
      <w:r>
        <w:rPr>
          <w:i/>
          <w:color w:val="444444"/>
          <w:sz w:val="20"/>
        </w:rPr>
        <w:t>The cost of the trade is real and should be stated to JLCVSO plainly: an opt-in creates exactly the state/local inequity between veteran public employees that Annex A Q10 option (b) was rejected for creating, and it creates it unevenly — a veteran in a county that adopts the resolution gets the benefit and a veteran across the county line does not. That is a defensible price for passage and an indefensible one for nothing, which is why it belongs on the ladder and not in the draft.</w:t>
      </w:r>
    </w:p>
    <w:p>
      <w:pPr>
        <w:jc w:val="center"/>
      </w:pPr>
      <w:r>
        <w:rPr>
          <w:color w:val="909090"/>
          <w:sz w:val="18"/>
        </w:rPr>
        <w:t>* * *</w:t>
      </w:r>
    </w:p>
    <w:p>
      <w:pPr>
        <w:pStyle w:val="Heading2"/>
      </w:pPr>
      <w:r>
        <w:t>7. Precedent: how other states handle the timing of military service credit purchase</w:t>
      </w:r>
    </w:p>
    <w:p>
      <w:r>
        <w:t xml:space="preserve">The task asked whether other states have removed or extended time limits. </w:t>
      </w:r>
      <w:r>
        <w:rPr>
          <w:b/>
        </w:rPr>
        <w:t>One has done so explicitly and recently, and the dominant national pattern is a service-milestone or pre-retirement trigger rather than a window measured from hire.</w:t>
      </w:r>
    </w:p>
    <w:tbl>
      <w:tblPr>
        <w:tblStyle w:val="TableGrid"/>
        <w:tblW w:type="auto" w:w="0"/>
        <w:jc w:val="left"/>
        <w:tblLook w:firstColumn="1" w:firstRow="1" w:lastColumn="0" w:lastRow="0" w:noHBand="0" w:noVBand="1" w:val="04A0"/>
      </w:tblPr>
      <w:tblGrid>
        <w:gridCol w:w="1728"/>
        <w:gridCol w:w="1728"/>
        <w:gridCol w:w="1728"/>
        <w:gridCol w:w="1728"/>
        <w:gridCol w:w="1728"/>
      </w:tblGrid>
      <w:tr>
        <w:trPr>
          <w:tblHeader w:val="true"/>
        </w:trPr>
        <w:tc>
          <w:tcPr>
            <w:tcW w:type="dxa" w:w="1728"/>
          </w:tcPr>
          <w:p>
            <w:pPr>
              <w:spacing w:before="20" w:after="20"/>
              <w:jc w:val="left"/>
            </w:pPr>
            <w:r>
              <w:rPr>
                <w:b/>
                <w:sz w:val="17"/>
              </w:rPr>
              <w:t>State</w:t>
            </w:r>
          </w:p>
        </w:tc>
        <w:tc>
          <w:tcPr>
            <w:tcW w:type="dxa" w:w="1728"/>
          </w:tcPr>
          <w:p>
            <w:pPr>
              <w:spacing w:before="20" w:after="20"/>
              <w:jc w:val="left"/>
            </w:pPr>
            <w:r>
              <w:rPr>
                <w:b/>
                <w:sz w:val="17"/>
              </w:rPr>
              <w:t>Statute / act</w:t>
            </w:r>
          </w:p>
        </w:tc>
        <w:tc>
          <w:tcPr>
            <w:tcW w:type="dxa" w:w="1728"/>
          </w:tcPr>
          <w:p>
            <w:pPr>
              <w:spacing w:before="20" w:after="20"/>
              <w:jc w:val="left"/>
            </w:pPr>
            <w:r>
              <w:rPr>
                <w:b/>
                <w:sz w:val="17"/>
              </w:rPr>
              <w:t>Window to purchase</w:t>
            </w:r>
          </w:p>
        </w:tc>
        <w:tc>
          <w:tcPr>
            <w:tcW w:type="dxa" w:w="1728"/>
          </w:tcPr>
          <w:p>
            <w:pPr>
              <w:spacing w:before="20" w:after="20"/>
              <w:jc w:val="left"/>
            </w:pPr>
            <w:r>
              <w:rPr>
                <w:b/>
                <w:sz w:val="17"/>
              </w:rPr>
              <w:t>Price</w:t>
            </w:r>
          </w:p>
        </w:tc>
        <w:tc>
          <w:tcPr>
            <w:tcW w:type="dxa" w:w="1728"/>
          </w:tcPr>
          <w:p>
            <w:pPr>
              <w:spacing w:before="20" w:after="20"/>
              <w:jc w:val="left"/>
            </w:pPr>
            <w:r>
              <w:rPr>
                <w:b/>
                <w:sz w:val="17"/>
              </w:rPr>
              <w:t>Relevance</w:t>
            </w:r>
          </w:p>
        </w:tc>
      </w:tr>
      <w:tr>
        <w:tc>
          <w:tcPr>
            <w:tcW w:type="dxa" w:w="1728"/>
          </w:tcPr>
          <w:p>
            <w:pPr>
              <w:spacing w:before="20" w:after="20"/>
              <w:jc w:val="left"/>
            </w:pPr>
            <w:r>
              <w:rPr>
                <w:b/>
                <w:sz w:val="17"/>
              </w:rPr>
              <w:t>Massachusetts</w:t>
            </w:r>
          </w:p>
        </w:tc>
        <w:tc>
          <w:tcPr>
            <w:tcW w:type="dxa" w:w="1728"/>
          </w:tcPr>
          <w:p>
            <w:pPr>
              <w:spacing w:before="20" w:after="20"/>
              <w:jc w:val="left"/>
            </w:pPr>
            <w:r>
              <w:rPr>
                <w:b/>
                <w:sz w:val="17"/>
              </w:rPr>
              <w:t>HERO Act, Chapter 178 of the Acts of 2024, § 52</w:t>
            </w:r>
            <w:r>
              <w:rPr>
                <w:sz w:val="17"/>
              </w:rPr>
              <w:t xml:space="preserve"> (signed 2024-08-08)</w:t>
            </w:r>
          </w:p>
        </w:tc>
        <w:tc>
          <w:tcPr>
            <w:tcW w:type="dxa" w:w="1728"/>
          </w:tcPr>
          <w:p>
            <w:pPr>
              <w:spacing w:before="20" w:after="20"/>
              <w:jc w:val="left"/>
            </w:pPr>
            <w:r>
              <w:rPr>
                <w:b/>
                <w:sz w:val="17"/>
              </w:rPr>
              <w:t>Repealed the 180-day limitation that had existed since 1996.</w:t>
            </w:r>
            <w:r>
              <w:rPr>
                <w:sz w:val="17"/>
              </w:rPr>
              <w:t xml:space="preserve"> Members must now make full payment or enter an installment agreement </w:t>
            </w:r>
            <w:r>
              <w:rPr>
                <w:b/>
                <w:sz w:val="17"/>
              </w:rPr>
              <w:t>no later than one year after accumulating 10 years of creditable service, or August 8, 2025, whichever is later.</w:t>
            </w:r>
          </w:p>
        </w:tc>
        <w:tc>
          <w:tcPr>
            <w:tcW w:type="dxa" w:w="1728"/>
          </w:tcPr>
          <w:p>
            <w:pPr>
              <w:spacing w:before="20" w:after="20"/>
              <w:jc w:val="left"/>
            </w:pPr>
            <w:r>
              <w:rPr>
                <w:sz w:val="17"/>
              </w:rPr>
              <w:t>—</w:t>
            </w:r>
          </w:p>
        </w:tc>
        <w:tc>
          <w:tcPr>
            <w:tcW w:type="dxa" w:w="1728"/>
          </w:tcPr>
          <w:p>
            <w:pPr>
              <w:spacing w:before="20" w:after="20"/>
              <w:jc w:val="left"/>
            </w:pPr>
            <w:r>
              <w:rPr>
                <w:b/>
                <w:sz w:val="17"/>
              </w:rPr>
              <w:t>The direct precedent, and an honest one.</w:t>
            </w:r>
            <w:r>
              <w:rPr>
                <w:sz w:val="17"/>
              </w:rPr>
              <w:t xml:space="preserve"> Massachusetts did </w:t>
            </w:r>
            <w:r>
              <w:rPr>
                <w:i/>
                <w:sz w:val="17"/>
              </w:rPr>
              <w:t>not</w:t>
            </w:r>
            <w:r>
              <w:rPr>
                <w:sz w:val="17"/>
              </w:rPr>
              <w:t xml:space="preserve"> go to unlimited: it moved the trigger from a short post-eligibility window to a </w:t>
            </w:r>
            <w:r>
              <w:rPr>
                <w:b/>
                <w:sz w:val="17"/>
              </w:rPr>
              <w:t>service milestone</w:t>
            </w:r>
            <w:r>
              <w:rPr>
                <w:sz w:val="17"/>
              </w:rPr>
              <w:t>. That is a model for a Virginia concession, not for our opening draft.</w:t>
            </w:r>
          </w:p>
        </w:tc>
      </w:tr>
      <w:tr>
        <w:tc>
          <w:tcPr>
            <w:tcW w:type="dxa" w:w="1728"/>
          </w:tcPr>
          <w:p>
            <w:pPr>
              <w:spacing w:before="20" w:after="20"/>
              <w:jc w:val="left"/>
            </w:pPr>
            <w:r>
              <w:rPr>
                <w:b/>
                <w:sz w:val="17"/>
              </w:rPr>
              <w:t>Ohio</w:t>
            </w:r>
          </w:p>
        </w:tc>
        <w:tc>
          <w:tcPr>
            <w:tcW w:type="dxa" w:w="1728"/>
          </w:tcPr>
          <w:p>
            <w:pPr>
              <w:spacing w:before="20" w:after="20"/>
              <w:jc w:val="left"/>
            </w:pPr>
            <w:r>
              <w:rPr>
                <w:b/>
                <w:sz w:val="17"/>
              </w:rPr>
              <w:t>ORC § 145.301</w:t>
            </w:r>
          </w:p>
        </w:tc>
        <w:tc>
          <w:tcPr>
            <w:tcW w:type="dxa" w:w="1728"/>
          </w:tcPr>
          <w:p>
            <w:pPr>
              <w:spacing w:before="20" w:after="20"/>
              <w:jc w:val="left"/>
            </w:pPr>
            <w:r>
              <w:rPr>
                <w:b/>
                <w:sz w:val="17"/>
              </w:rPr>
              <w:t>"The credit may be purchased at any time prior to receipt of a retirement allowance."</w:t>
            </w:r>
            <w:r>
              <w:rPr>
                <w:sz w:val="17"/>
              </w:rPr>
              <w:t xml:space="preserve"> No window.</w:t>
            </w:r>
          </w:p>
        </w:tc>
        <w:tc>
          <w:tcPr>
            <w:tcW w:type="dxa" w:w="1728"/>
          </w:tcPr>
          <w:p>
            <w:pPr>
              <w:spacing w:before="20" w:after="20"/>
              <w:jc w:val="left"/>
            </w:pPr>
            <w:r>
              <w:rPr>
                <w:sz w:val="17"/>
              </w:rPr>
              <w:t xml:space="preserve">Member pays </w:t>
            </w:r>
            <w:r>
              <w:rPr>
                <w:b/>
                <w:sz w:val="17"/>
              </w:rPr>
              <w:t>not less than 50%</w:t>
            </w:r>
            <w:r>
              <w:rPr>
                <w:sz w:val="17"/>
              </w:rPr>
              <w:t xml:space="preserve"> of the additional actuarial liability for armed-forces active duty; </w:t>
            </w:r>
            <w:r>
              <w:rPr>
                <w:b/>
                <w:sz w:val="17"/>
              </w:rPr>
              <w:t>100%</w:t>
            </w:r>
            <w:r>
              <w:rPr>
                <w:sz w:val="17"/>
              </w:rPr>
              <w:t xml:space="preserve"> for reserve/National Guard service. Max 5 years.</w:t>
            </w:r>
          </w:p>
        </w:tc>
        <w:tc>
          <w:tcPr>
            <w:tcW w:type="dxa" w:w="1728"/>
          </w:tcPr>
          <w:p>
            <w:pPr>
              <w:spacing w:before="20" w:after="20"/>
              <w:jc w:val="left"/>
            </w:pPr>
            <w:r>
              <w:rPr>
                <w:b/>
                <w:sz w:val="17"/>
              </w:rPr>
              <w:t>The cleanest structural precedent for our bill</w:t>
            </w:r>
            <w:r>
              <w:rPr>
                <w:sz w:val="17"/>
              </w:rPr>
              <w:t xml:space="preserve">: no deadline, with cost containment delivered through a statutory </w:t>
            </w:r>
            <w:r>
              <w:rPr>
                <w:i/>
                <w:sz w:val="17"/>
              </w:rPr>
              <w:t>price floor</w:t>
            </w:r>
            <w:r>
              <w:rPr>
                <w:sz w:val="17"/>
              </w:rPr>
              <w:t xml:space="preserve"> rather than a </w:t>
            </w:r>
            <w:r>
              <w:rPr>
                <w:i/>
                <w:sz w:val="17"/>
              </w:rPr>
              <w:t>filing cliff</w:t>
            </w:r>
            <w:r>
              <w:rPr>
                <w:sz w:val="17"/>
              </w:rPr>
              <w:t>. This is the Ohio answer to the adverse-selection objection and it is available to Virginia through the Annex A § 2.2 schedule authority.</w:t>
            </w:r>
          </w:p>
        </w:tc>
      </w:tr>
      <w:tr>
        <w:tc>
          <w:tcPr>
            <w:tcW w:type="dxa" w:w="1728"/>
          </w:tcPr>
          <w:p>
            <w:pPr>
              <w:spacing w:before="20" w:after="20"/>
              <w:jc w:val="left"/>
            </w:pPr>
            <w:r>
              <w:rPr>
                <w:b/>
                <w:sz w:val="17"/>
              </w:rPr>
              <w:t>New York</w:t>
            </w:r>
          </w:p>
        </w:tc>
        <w:tc>
          <w:tcPr>
            <w:tcW w:type="dxa" w:w="1728"/>
          </w:tcPr>
          <w:p>
            <w:pPr>
              <w:spacing w:before="20" w:after="20"/>
              <w:jc w:val="left"/>
            </w:pPr>
            <w:r>
              <w:rPr>
                <w:b/>
                <w:sz w:val="17"/>
              </w:rPr>
              <w:t>N.Y. Ret. &amp; Soc. Sec. Law § 1000</w:t>
            </w:r>
          </w:p>
        </w:tc>
        <w:tc>
          <w:tcPr>
            <w:tcW w:type="dxa" w:w="1728"/>
          </w:tcPr>
          <w:p>
            <w:pPr>
              <w:spacing w:before="20" w:after="20"/>
              <w:jc w:val="left"/>
            </w:pPr>
            <w:r>
              <w:rPr>
                <w:b/>
                <w:sz w:val="17"/>
              </w:rPr>
              <w:t>"A member must make application for such credit before the effective date of retirement."</w:t>
            </w:r>
            <w:r>
              <w:rPr>
                <w:sz w:val="17"/>
              </w:rPr>
              <w:t xml:space="preserve"> No window from hire.</w:t>
            </w:r>
          </w:p>
        </w:tc>
        <w:tc>
          <w:tcPr>
            <w:tcW w:type="dxa" w:w="1728"/>
          </w:tcPr>
          <w:p>
            <w:pPr>
              <w:spacing w:before="20" w:after="20"/>
              <w:jc w:val="left"/>
            </w:pPr>
            <w:r>
              <w:rPr>
                <w:sz w:val="17"/>
              </w:rPr>
              <w:t>Member pays 3% of the prior 12 months' compensation per year of credit (</w:t>
            </w:r>
            <w:r>
              <w:rPr>
                <w:b/>
                <w:sz w:val="17"/>
              </w:rPr>
              <w:t>6%</w:t>
            </w:r>
            <w:r>
              <w:rPr>
                <w:sz w:val="17"/>
              </w:rPr>
              <w:t xml:space="preserve"> for members who joined on or after April 1, 2012); max </w:t>
            </w:r>
            <w:r>
              <w:rPr>
                <w:b/>
                <w:sz w:val="17"/>
              </w:rPr>
              <w:t>3 years</w:t>
            </w:r>
            <w:r>
              <w:rPr>
                <w:sz w:val="17"/>
              </w:rPr>
              <w:t xml:space="preserve">; "All costs… other than the member costs… </w:t>
            </w:r>
            <w:r>
              <w:rPr>
                <w:b/>
                <w:sz w:val="17"/>
              </w:rPr>
              <w:t>shall be paid by the state and all employers</w:t>
            </w:r>
            <w:r>
              <w:rPr>
                <w:sz w:val="17"/>
              </w:rPr>
              <w:t xml:space="preserve">." Requires </w:t>
            </w:r>
            <w:r>
              <w:rPr>
                <w:b/>
                <w:sz w:val="17"/>
              </w:rPr>
              <w:t>5 years of credited service</w:t>
            </w:r>
            <w:r>
              <w:rPr>
                <w:sz w:val="17"/>
              </w:rPr>
              <w:t xml:space="preserve"> to be eligible.</w:t>
            </w:r>
          </w:p>
        </w:tc>
        <w:tc>
          <w:tcPr>
            <w:tcW w:type="dxa" w:w="1728"/>
          </w:tcPr>
          <w:p>
            <w:pPr>
              <w:spacing w:before="20" w:after="20"/>
              <w:jc w:val="left"/>
            </w:pPr>
            <w:r>
              <w:rPr>
                <w:sz w:val="17"/>
              </w:rPr>
              <w:t xml:space="preserve">Validates both halves of our structure: a pre-retirement deadline (Annex A's 12-month pre-retirement deadline is </w:t>
            </w:r>
            <w:r>
              <w:rPr>
                <w:i/>
                <w:sz w:val="17"/>
              </w:rPr>
              <w:t>stricter</w:t>
            </w:r>
            <w:r>
              <w:rPr>
                <w:sz w:val="17"/>
              </w:rPr>
              <w:t xml:space="preserve"> than New York's) and an eligibility </w:t>
            </w:r>
            <w:r>
              <w:rPr>
                <w:b/>
                <w:sz w:val="17"/>
              </w:rPr>
              <w:t>floor</w:t>
            </w:r>
            <w:r>
              <w:rPr>
                <w:sz w:val="17"/>
              </w:rPr>
              <w:t xml:space="preserve"> rather than a ceiling. Also the source of the brief's A-2 option — and note the employer-pays sentence, which is what the Commission on Local Government would read first.</w:t>
            </w:r>
          </w:p>
        </w:tc>
      </w:tr>
      <w:tr>
        <w:tc>
          <w:tcPr>
            <w:tcW w:type="dxa" w:w="1728"/>
          </w:tcPr>
          <w:p>
            <w:pPr>
              <w:spacing w:before="20" w:after="20"/>
              <w:jc w:val="left"/>
            </w:pPr>
            <w:r>
              <w:rPr>
                <w:b/>
                <w:sz w:val="17"/>
              </w:rPr>
              <w:t>Pennsylvania</w:t>
            </w:r>
          </w:p>
        </w:tc>
        <w:tc>
          <w:tcPr>
            <w:tcW w:type="dxa" w:w="1728"/>
          </w:tcPr>
          <w:p>
            <w:pPr>
              <w:spacing w:before="20" w:after="20"/>
              <w:jc w:val="left"/>
            </w:pPr>
            <w:r>
              <w:rPr>
                <w:b/>
                <w:sz w:val="17"/>
              </w:rPr>
              <w:t>71 Pa.C.S. § 5304</w:t>
            </w:r>
            <w:r>
              <w:rPr>
                <w:sz w:val="17"/>
              </w:rPr>
              <w:t xml:space="preserve"> (SERS); PSERS parallel</w:t>
            </w:r>
          </w:p>
        </w:tc>
        <w:tc>
          <w:tcPr>
            <w:tcW w:type="dxa" w:w="1728"/>
          </w:tcPr>
          <w:p>
            <w:pPr>
              <w:spacing w:before="20" w:after="20"/>
              <w:jc w:val="left"/>
            </w:pPr>
            <w:r>
              <w:rPr>
                <w:b/>
                <w:sz w:val="17"/>
              </w:rPr>
              <w:t>No application deadline for nonintervening military service.</w:t>
            </w:r>
            <w:r>
              <w:rPr>
                <w:sz w:val="17"/>
              </w:rPr>
              <w:t xml:space="preserve"> Max 5 years. PSERS requires </w:t>
            </w:r>
            <w:r>
              <w:rPr>
                <w:b/>
                <w:sz w:val="17"/>
              </w:rPr>
              <w:t>3 years of credited school service following</w:t>
            </w:r>
            <w:r>
              <w:rPr>
                <w:sz w:val="17"/>
              </w:rPr>
              <w:t xml:space="preserve"> the military service. The statute </w:t>
            </w:r>
            <w:r>
              <w:rPr>
                <w:i/>
                <w:sz w:val="17"/>
              </w:rPr>
              <w:t>does</w:t>
            </w:r>
            <w:r>
              <w:rPr>
                <w:sz w:val="17"/>
              </w:rPr>
              <w:t xml:space="preserve"> impose a one-year election window on one narrow unrelated category (temporary federal employees, 1970–1975).</w:t>
            </w:r>
          </w:p>
        </w:tc>
        <w:tc>
          <w:tcPr>
            <w:tcW w:type="dxa" w:w="1728"/>
          </w:tcPr>
          <w:p>
            <w:pPr>
              <w:spacing w:before="20" w:after="20"/>
              <w:jc w:val="left"/>
            </w:pPr>
            <w:r>
              <w:rPr>
                <w:sz w:val="17"/>
              </w:rPr>
              <w:t>Actuarial-cost basis; the brief's A-1 option turns on the statutory interest rate.</w:t>
            </w:r>
          </w:p>
        </w:tc>
        <w:tc>
          <w:tcPr>
            <w:tcW w:type="dxa" w:w="1728"/>
          </w:tcPr>
          <w:p>
            <w:pPr>
              <w:spacing w:before="20" w:after="20"/>
              <w:jc w:val="left"/>
            </w:pPr>
            <w:r>
              <w:rPr>
                <w:sz w:val="17"/>
              </w:rPr>
              <w:t xml:space="preserve">The narrow one-year window elsewhere in the same section is useful evidence: </w:t>
            </w:r>
            <w:r>
              <w:rPr>
                <w:b/>
                <w:sz w:val="17"/>
              </w:rPr>
              <w:t>the Pennsylvania legislature knows how to write a filing deadline and chose not to apply one to military service.</w:t>
            </w:r>
          </w:p>
        </w:tc>
      </w:tr>
      <w:tr>
        <w:tc>
          <w:tcPr>
            <w:tcW w:type="dxa" w:w="1728"/>
          </w:tcPr>
          <w:p>
            <w:pPr>
              <w:spacing w:before="20" w:after="20"/>
              <w:jc w:val="left"/>
            </w:pPr>
            <w:r>
              <w:rPr>
                <w:b/>
                <w:sz w:val="17"/>
              </w:rPr>
              <w:t>Texas</w:t>
            </w:r>
          </w:p>
        </w:tc>
        <w:tc>
          <w:tcPr>
            <w:tcW w:type="dxa" w:w="1728"/>
          </w:tcPr>
          <w:p>
            <w:pPr>
              <w:spacing w:before="20" w:after="20"/>
              <w:jc w:val="left"/>
            </w:pPr>
            <w:r>
              <w:rPr>
                <w:sz w:val="17"/>
              </w:rPr>
              <w:t>ERS and TRS administrative practice</w:t>
            </w:r>
          </w:p>
        </w:tc>
        <w:tc>
          <w:tcPr>
            <w:tcW w:type="dxa" w:w="1728"/>
          </w:tcPr>
          <w:p>
            <w:pPr>
              <w:spacing w:before="20" w:after="20"/>
              <w:jc w:val="left"/>
            </w:pPr>
            <w:r>
              <w:rPr>
                <w:sz w:val="17"/>
              </w:rPr>
              <w:t xml:space="preserve">Purchase before retirement, but </w:t>
            </w:r>
            <w:r>
              <w:rPr>
                <w:b/>
                <w:sz w:val="17"/>
              </w:rPr>
              <w:t>cost escalates with interest from first eligibility</w:t>
            </w:r>
            <w:r>
              <w:rPr>
                <w:sz w:val="17"/>
              </w:rPr>
              <w:t xml:space="preserve"> ("buy by Aug. 31 to avoid a cost increase").</w:t>
            </w:r>
          </w:p>
        </w:tc>
        <w:tc>
          <w:tcPr>
            <w:tcW w:type="dxa" w:w="1728"/>
          </w:tcPr>
          <w:p>
            <w:pPr>
              <w:spacing w:before="20" w:after="20"/>
              <w:jc w:val="left"/>
            </w:pPr>
            <w:r>
              <w:rPr>
                <w:sz w:val="17"/>
              </w:rPr>
              <w:t>Interest accrues from first eligibility.</w:t>
            </w:r>
          </w:p>
        </w:tc>
        <w:tc>
          <w:tcPr>
            <w:tcW w:type="dxa" w:w="1728"/>
          </w:tcPr>
          <w:p>
            <w:pPr>
              <w:spacing w:before="20" w:after="20"/>
              <w:jc w:val="left"/>
            </w:pPr>
            <w:r>
              <w:rPr>
                <w:sz w:val="17"/>
              </w:rPr>
              <w:t xml:space="preserve">The </w:t>
            </w:r>
            <w:r>
              <w:rPr>
                <w:b/>
                <w:sz w:val="17"/>
              </w:rPr>
              <w:t>gradient</w:t>
            </w:r>
            <w:r>
              <w:rPr>
                <w:sz w:val="17"/>
              </w:rPr>
              <w:t xml:space="preserve"> model: price rises continuously with delay instead of stepping off a cliff at 24 months. A credible Virginia fallback if the Board-set schedule is rejected as too discretionary.</w:t>
            </w:r>
          </w:p>
        </w:tc>
      </w:tr>
    </w:tbl>
    <w:p>
      <w:pPr>
        <w:spacing w:before="0" w:after="0" w:line="80" w:lineRule="exact"/>
      </w:pPr>
      <w:r>
        <w:rPr>
          <w:sz w:val="8"/>
        </w:rPr>
      </w:r>
    </w:p>
    <w:p>
      <w:r>
        <w:rPr>
          <w:b/>
        </w:rPr>
        <w:t>The argument this table supports, stated for the one-pager.</w:t>
      </w:r>
      <w:r>
        <w:t xml:space="preserve"> Virginia is not unusual in charging a late purchaser more. Virginia is unusual in keying the price break to </w:t>
      </w:r>
      <w:r>
        <w:rPr>
          <w:b/>
        </w:rPr>
        <w:t>elapsed time since the date of hire</w:t>
      </w:r>
      <w:r>
        <w:t xml:space="preserve"> — a trigger that is unrelated to the member's service, unrelated to the member's distance from retirement, and that for a veteran hired mid-career expires before the member has any realistic ability to pay. Ohio, Pennsylvania and New York all key the question to </w:t>
      </w:r>
      <w:r>
        <w:rPr>
          <w:b/>
        </w:rPr>
        <w:t>service completed</w:t>
      </w:r>
      <w:r>
        <w:t xml:space="preserve"> or </w:t>
      </w:r>
      <w:r>
        <w:rPr>
          <w:b/>
        </w:rPr>
        <w:t>proximity to retirement</w:t>
      </w:r>
      <w:r>
        <w:t>; Massachusetts repealed its short window in 2024 and replaced it with a ten-year service milestone. Chapter 508 (2015) said its purpose was to bring Virginia "more in line with other states' programs." On military service credit specifically, it did the opposite.</w:t>
      </w:r>
    </w:p>
    <w:p>
      <w:pPr>
        <w:jc w:val="center"/>
      </w:pPr>
      <w:r>
        <w:rPr>
          <w:color w:val="909090"/>
          <w:sz w:val="18"/>
        </w:rPr>
        <w:t>* * *</w:t>
      </w:r>
    </w:p>
    <w:p>
      <w:pPr>
        <w:pStyle w:val="Heading2"/>
      </w:pPr>
      <w:r>
        <w:t>8. Patron recommendations</w:t>
      </w:r>
    </w:p>
    <w:p>
      <w:r>
        <w:t xml:space="preserve">Patron selection is Policy Director's call. These are reads on the public record, with confidence stated. </w:t>
      </w:r>
      <w:r>
        <w:rPr>
          <w:b/>
        </w:rPr>
        <w:t>No one named here has been contacted and no one will be.</w:t>
      </w:r>
    </w:p>
    <w:p>
      <w:r>
        <w:rPr>
          <w:b/>
        </w:rPr>
        <w:t>Senate — recommended chamber of origin.</w:t>
      </w:r>
      <w:r>
        <w:t xml:space="preserve"> The Senate has no standing subcommittee specialising in killing VRS bills; SFAC's instinct on locally-costed VRS expansions has been to continue rather than table (SB 328/SB 472, continued 12-3).</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Recommendation</w:t>
            </w:r>
          </w:p>
        </w:tc>
        <w:tc>
          <w:tcPr>
            <w:tcW w:type="dxa" w:w="2880"/>
          </w:tcPr>
          <w:p>
            <w:pPr>
              <w:spacing w:before="20" w:after="20"/>
              <w:jc w:val="left"/>
            </w:pPr>
            <w:r>
              <w:rPr>
                <w:b/>
                <w:sz w:val="17"/>
              </w:rPr>
              <w:t>Reason</w:t>
            </w:r>
          </w:p>
        </w:tc>
        <w:tc>
          <w:tcPr>
            <w:tcW w:type="dxa" w:w="2880"/>
          </w:tcPr>
          <w:p>
            <w:pPr>
              <w:spacing w:before="20" w:after="20"/>
              <w:jc w:val="left"/>
            </w:pPr>
            <w:r>
              <w:rPr>
                <w:b/>
                <w:sz w:val="17"/>
              </w:rPr>
              <w:t>Confidence</w:t>
            </w:r>
          </w:p>
        </w:tc>
      </w:tr>
      <w:tr>
        <w:tc>
          <w:tcPr>
            <w:tcW w:type="dxa" w:w="2880"/>
          </w:tcPr>
          <w:p>
            <w:pPr>
              <w:spacing w:before="20" w:after="20"/>
              <w:jc w:val="left"/>
            </w:pPr>
            <w:r>
              <w:rPr>
                <w:b/>
                <w:sz w:val="17"/>
              </w:rPr>
              <w:t>Sen. Bryce E. Reeves</w:t>
            </w:r>
            <w:r>
              <w:rPr>
                <w:sz w:val="17"/>
              </w:rPr>
              <w:t xml:space="preserve"> — chief patron</w:t>
            </w:r>
          </w:p>
        </w:tc>
        <w:tc>
          <w:tcPr>
            <w:tcW w:type="dxa" w:w="2880"/>
          </w:tcPr>
          <w:p>
            <w:pPr>
              <w:spacing w:before="20" w:after="20"/>
              <w:jc w:val="left"/>
            </w:pPr>
            <w:r>
              <w:rPr>
                <w:sz w:val="17"/>
              </w:rPr>
              <w:t xml:space="preserve">The only actor I could document as sitting at the intersection of both relevant venues: a member of </w:t>
            </w:r>
            <w:r>
              <w:rPr>
                <w:b/>
                <w:sz w:val="17"/>
              </w:rPr>
              <w:t>Senate Finance and Appropriations</w:t>
            </w:r>
            <w:r>
              <w:rPr>
                <w:sz w:val="17"/>
              </w:rPr>
              <w:t xml:space="preserve"> (2026 roster) and of its Economic Development/Natural Resources and Health and Human Resources subcommittees, and reported as </w:t>
            </w:r>
            <w:r>
              <w:rPr>
                <w:b/>
                <w:sz w:val="17"/>
              </w:rPr>
              <w:t>co-chair of the General Assembly Military and Veterans Caucus</w:t>
            </w:r>
            <w:r>
              <w:rPr>
                <w:sz w:val="17"/>
              </w:rPr>
              <w:t>.</w:t>
            </w:r>
          </w:p>
        </w:tc>
        <w:tc>
          <w:tcPr>
            <w:tcW w:type="dxa" w:w="2880"/>
          </w:tcPr>
          <w:p>
            <w:pPr>
              <w:spacing w:before="20" w:after="20"/>
              <w:jc w:val="left"/>
            </w:pPr>
            <w:r>
              <w:rPr>
                <w:b/>
                <w:sz w:val="17"/>
              </w:rPr>
              <w:t>High</w:t>
            </w:r>
            <w:r>
              <w:rPr>
                <w:sz w:val="17"/>
              </w:rPr>
              <w:t xml:space="preserve"> on SFAC membership. </w:t>
            </w:r>
            <w:r>
              <w:rPr>
                <w:b/>
                <w:sz w:val="17"/>
              </w:rPr>
              <w:t>Low–Medium</w:t>
            </w:r>
            <w:r>
              <w:rPr>
                <w:sz w:val="17"/>
              </w:rPr>
              <w:t xml:space="preserve"> on the caucus role — the sources I could retrieve are Virginia National Guard news items, the clearest of which dates to 2018. </w:t>
            </w:r>
            <w:r>
              <w:rPr>
                <w:b/>
                <w:sz w:val="17"/>
              </w:rPr>
              <w:t>Must be verified before the recommendation is acted on.</w:t>
            </w:r>
          </w:p>
        </w:tc>
      </w:tr>
      <w:tr>
        <w:tc>
          <w:tcPr>
            <w:tcW w:type="dxa" w:w="2880"/>
          </w:tcPr>
          <w:p>
            <w:pPr>
              <w:spacing w:before="20" w:after="20"/>
              <w:jc w:val="left"/>
            </w:pPr>
            <w:r>
              <w:rPr>
                <w:b/>
                <w:sz w:val="17"/>
              </w:rPr>
              <w:t>Sen. L. Louise Lucas</w:t>
            </w:r>
            <w:r>
              <w:rPr>
                <w:sz w:val="17"/>
              </w:rPr>
              <w:t xml:space="preserve"> — co-patron or committee sponsor</w:t>
            </w:r>
          </w:p>
        </w:tc>
        <w:tc>
          <w:tcPr>
            <w:tcW w:type="dxa" w:w="2880"/>
          </w:tcPr>
          <w:p>
            <w:pPr>
              <w:spacing w:before="20" w:after="20"/>
              <w:jc w:val="left"/>
            </w:pPr>
            <w:r>
              <w:rPr>
                <w:sz w:val="17"/>
              </w:rPr>
              <w:t>SFAC Chair, and under SFAC's general procedures the Committee chair "serves as a voting member on all Subcommittees."</w:t>
            </w:r>
          </w:p>
        </w:tc>
        <w:tc>
          <w:tcPr>
            <w:tcW w:type="dxa" w:w="2880"/>
          </w:tcPr>
          <w:p>
            <w:pPr>
              <w:spacing w:before="20" w:after="20"/>
              <w:jc w:val="left"/>
            </w:pPr>
            <w:r>
              <w:rPr>
                <w:b/>
                <w:sz w:val="17"/>
              </w:rPr>
              <w:t>High</w:t>
            </w:r>
            <w:r>
              <w:rPr>
                <w:sz w:val="17"/>
              </w:rPr>
              <w:t xml:space="preserve"> on the institutional fact; </w:t>
            </w:r>
            <w:r>
              <w:rPr>
                <w:b/>
                <w:sz w:val="17"/>
              </w:rPr>
              <w:t>Low</w:t>
            </w:r>
            <w:r>
              <w:rPr>
                <w:sz w:val="17"/>
              </w:rPr>
              <w:t xml:space="preserve"> on any predicted position.</w:t>
            </w:r>
          </w:p>
        </w:tc>
      </w:tr>
    </w:tbl>
    <w:p>
      <w:pPr>
        <w:spacing w:before="0" w:after="0" w:line="80" w:lineRule="exact"/>
      </w:pPr>
      <w:r>
        <w:rPr>
          <w:sz w:val="8"/>
        </w:rPr>
      </w:r>
    </w:p>
    <w:p>
      <w:r>
        <w:rPr>
          <w:b/>
        </w:rPr>
        <w:t>House.</w:t>
      </w:r>
    </w:p>
    <w:tbl>
      <w:tblPr>
        <w:tblStyle w:val="TableGrid"/>
        <w:tblW w:type="auto" w:w="0"/>
        <w:jc w:val="left"/>
        <w:tblLook w:firstColumn="1" w:firstRow="1" w:lastColumn="0" w:lastRow="0" w:noHBand="0" w:noVBand="1" w:val="04A0"/>
      </w:tblPr>
      <w:tblGrid>
        <w:gridCol w:w="2880"/>
        <w:gridCol w:w="2880"/>
        <w:gridCol w:w="2880"/>
      </w:tblGrid>
      <w:tr>
        <w:trPr>
          <w:tblHeader w:val="true"/>
        </w:trPr>
        <w:tc>
          <w:tcPr>
            <w:tcW w:type="dxa" w:w="2880"/>
          </w:tcPr>
          <w:p>
            <w:pPr>
              <w:spacing w:before="20" w:after="20"/>
              <w:jc w:val="left"/>
            </w:pPr>
            <w:r>
              <w:rPr>
                <w:b/>
                <w:sz w:val="17"/>
              </w:rPr>
              <w:t>Recommendation</w:t>
            </w:r>
          </w:p>
        </w:tc>
        <w:tc>
          <w:tcPr>
            <w:tcW w:type="dxa" w:w="2880"/>
          </w:tcPr>
          <w:p>
            <w:pPr>
              <w:spacing w:before="20" w:after="20"/>
              <w:jc w:val="left"/>
            </w:pPr>
            <w:r>
              <w:rPr>
                <w:b/>
                <w:sz w:val="17"/>
              </w:rPr>
              <w:t>Reason</w:t>
            </w:r>
          </w:p>
        </w:tc>
        <w:tc>
          <w:tcPr>
            <w:tcW w:type="dxa" w:w="2880"/>
          </w:tcPr>
          <w:p>
            <w:pPr>
              <w:spacing w:before="20" w:after="20"/>
              <w:jc w:val="left"/>
            </w:pPr>
            <w:r>
              <w:rPr>
                <w:b/>
                <w:sz w:val="17"/>
              </w:rPr>
              <w:t>Confidence</w:t>
            </w:r>
          </w:p>
        </w:tc>
      </w:tr>
      <w:tr>
        <w:tc>
          <w:tcPr>
            <w:tcW w:type="dxa" w:w="2880"/>
          </w:tcPr>
          <w:p>
            <w:pPr>
              <w:spacing w:before="20" w:after="20"/>
              <w:jc w:val="left"/>
            </w:pPr>
            <w:r>
              <w:rPr>
                <w:b/>
                <w:sz w:val="17"/>
              </w:rPr>
              <w:t>Del. Shelly A. Simonds</w:t>
            </w:r>
            <w:r>
              <w:rPr>
                <w:sz w:val="17"/>
              </w:rPr>
              <w:t xml:space="preserve"> — chief patron in the House</w:t>
            </w:r>
          </w:p>
        </w:tc>
        <w:tc>
          <w:tcPr>
            <w:tcW w:type="dxa" w:w="2880"/>
          </w:tcPr>
          <w:p>
            <w:pPr>
              <w:spacing w:before="20" w:after="20"/>
              <w:jc w:val="left"/>
            </w:pPr>
            <w:r>
              <w:rPr>
                <w:sz w:val="17"/>
              </w:rPr>
              <w:t xml:space="preserve">Revealed preference, and it is the best in the building. She sits on the Compensation and Retirement subcommittee and she patroned </w:t>
            </w:r>
            <w:r>
              <w:rPr>
                <w:b/>
                <w:sz w:val="17"/>
              </w:rPr>
              <w:t>HB 139 (2026), Chapter 563</w:t>
            </w:r>
            <w:r>
              <w:rPr>
                <w:sz w:val="17"/>
              </w:rPr>
              <w:t xml:space="preserve"> — the </w:t>
            </w:r>
            <w:r>
              <w:rPr>
                <w:b/>
                <w:sz w:val="17"/>
              </w:rPr>
              <w:t>only</w:t>
            </w:r>
            <w:r>
              <w:rPr>
                <w:sz w:val="17"/>
              </w:rPr>
              <w:t xml:space="preserve"> one of 28 VRS-tracked bills to survive the 2026 session, and an amendment to </w:t>
            </w:r>
            <w:r>
              <w:rPr>
                <w:b/>
                <w:sz w:val="17"/>
              </w:rPr>
              <w:t>§ 51.1-142.2 itself</w:t>
            </w:r>
            <w:r>
              <w:rPr>
                <w:sz w:val="17"/>
              </w:rPr>
              <w:t>. She has demonstrated she can move this statute through this subcommittee.</w:t>
            </w:r>
          </w:p>
        </w:tc>
        <w:tc>
          <w:tcPr>
            <w:tcW w:type="dxa" w:w="2880"/>
          </w:tcPr>
          <w:p>
            <w:pPr>
              <w:spacing w:before="20" w:after="20"/>
              <w:jc w:val="left"/>
            </w:pPr>
            <w:r>
              <w:rPr>
                <w:b/>
                <w:sz w:val="17"/>
              </w:rPr>
              <w:t>High</w:t>
            </w:r>
            <w:r>
              <w:rPr>
                <w:sz w:val="17"/>
              </w:rPr>
              <w:t xml:space="preserve"> on the record; </w:t>
            </w:r>
            <w:r>
              <w:rPr>
                <w:b/>
                <w:sz w:val="17"/>
              </w:rPr>
              <w:t>Medium</w:t>
            </w:r>
            <w:r>
              <w:rPr>
                <w:sz w:val="17"/>
              </w:rPr>
              <w:t xml:space="preserve"> on willingness.</w:t>
            </w:r>
          </w:p>
        </w:tc>
      </w:tr>
      <w:tr>
        <w:tc>
          <w:tcPr>
            <w:tcW w:type="dxa" w:w="2880"/>
          </w:tcPr>
          <w:p>
            <w:pPr>
              <w:spacing w:before="20" w:after="20"/>
              <w:jc w:val="left"/>
            </w:pPr>
            <w:r>
              <w:rPr>
                <w:b/>
                <w:sz w:val="17"/>
              </w:rPr>
              <w:t>Del. M. Keith Hodges or Del. Scott A. Wyatt</w:t>
            </w:r>
            <w:r>
              <w:rPr>
                <w:sz w:val="17"/>
              </w:rPr>
              <w:t xml:space="preserve"> — co-patron</w:t>
            </w:r>
          </w:p>
        </w:tc>
        <w:tc>
          <w:tcPr>
            <w:tcW w:type="dxa" w:w="2880"/>
          </w:tcPr>
          <w:p>
            <w:pPr>
              <w:spacing w:before="20" w:after="20"/>
              <w:jc w:val="left"/>
            </w:pPr>
            <w:r>
              <w:rPr>
                <w:sz w:val="17"/>
              </w:rPr>
              <w:t>The two Republicans on an 8-member panel, and both voted to table HB 1867 in 2023. Converting one of them is the difference between an 8-0 tabling and a contested vote. The price is cost containment (§ 6).</w:t>
            </w:r>
          </w:p>
        </w:tc>
        <w:tc>
          <w:tcPr>
            <w:tcW w:type="dxa" w:w="2880"/>
          </w:tcPr>
          <w:p>
            <w:pPr>
              <w:spacing w:before="20" w:after="20"/>
              <w:jc w:val="left"/>
            </w:pPr>
            <w:r>
              <w:rPr>
                <w:b/>
                <w:sz w:val="17"/>
              </w:rPr>
              <w:t>High</w:t>
            </w:r>
            <w:r>
              <w:rPr>
                <w:sz w:val="17"/>
              </w:rPr>
              <w:t xml:space="preserve"> on the 2023 votes (named roll call); </w:t>
            </w:r>
            <w:r>
              <w:rPr>
                <w:b/>
                <w:sz w:val="17"/>
              </w:rPr>
              <w:t>Low</w:t>
            </w:r>
            <w:r>
              <w:rPr>
                <w:sz w:val="17"/>
              </w:rPr>
              <w:t xml:space="preserve"> on convertibility.</w:t>
            </w:r>
          </w:p>
        </w:tc>
      </w:tr>
      <w:tr>
        <w:tc>
          <w:tcPr>
            <w:tcW w:type="dxa" w:w="2880"/>
          </w:tcPr>
          <w:p>
            <w:pPr>
              <w:spacing w:before="20" w:after="20"/>
              <w:jc w:val="left"/>
            </w:pPr>
            <w:r>
              <w:rPr>
                <w:b/>
                <w:sz w:val="17"/>
              </w:rPr>
              <w:t>Del. Phillip A. Scott</w:t>
            </w:r>
            <w:r>
              <w:rPr>
                <w:sz w:val="17"/>
              </w:rPr>
              <w:t xml:space="preserve"> — co-patron, not chief patron</w:t>
            </w:r>
          </w:p>
        </w:tc>
        <w:tc>
          <w:tcPr>
            <w:tcW w:type="dxa" w:w="2880"/>
          </w:tcPr>
          <w:p>
            <w:pPr>
              <w:spacing w:before="20" w:after="20"/>
              <w:jc w:val="left"/>
            </w:pPr>
            <w:r>
              <w:rPr>
                <w:sz w:val="17"/>
              </w:rPr>
              <w:t>Patroned HB 1867 (2023), so the demonstrated interest in military service credit is real. But HB 1867 was tabled 8-0, and re-patroning with the same chief patron invites the subcommittee to treat this as HB 1867 redux — which is the one framing we must avoid, because ours is a priced purchase and his was a free grant.</w:t>
            </w:r>
          </w:p>
        </w:tc>
        <w:tc>
          <w:tcPr>
            <w:tcW w:type="dxa" w:w="2880"/>
          </w:tcPr>
          <w:p>
            <w:pPr>
              <w:spacing w:before="20" w:after="20"/>
              <w:jc w:val="left"/>
            </w:pPr>
            <w:r>
              <w:rPr>
                <w:b/>
                <w:sz w:val="17"/>
              </w:rPr>
              <w:t>High</w:t>
            </w:r>
            <w:r>
              <w:rPr>
                <w:sz w:val="17"/>
              </w:rPr>
              <w:t xml:space="preserve"> on the patron history; this is my judgment on the framing risk, not a documented position.</w:t>
            </w:r>
          </w:p>
        </w:tc>
      </w:tr>
      <w:tr>
        <w:tc>
          <w:tcPr>
            <w:tcW w:type="dxa" w:w="2880"/>
          </w:tcPr>
          <w:p>
            <w:pPr>
              <w:spacing w:before="20" w:after="20"/>
              <w:jc w:val="left"/>
            </w:pPr>
            <w:r>
              <w:rPr>
                <w:b/>
                <w:sz w:val="17"/>
              </w:rPr>
              <w:t>Del. Alex Q. Askew</w:t>
            </w:r>
            <w:r>
              <w:rPr>
                <w:sz w:val="17"/>
              </w:rPr>
              <w:t xml:space="preserve"> — brief early, do not ask to patron</w:t>
            </w:r>
          </w:p>
        </w:tc>
        <w:tc>
          <w:tcPr>
            <w:tcW w:type="dxa" w:w="2880"/>
          </w:tcPr>
          <w:p>
            <w:pPr>
              <w:spacing w:before="20" w:after="20"/>
              <w:jc w:val="left"/>
            </w:pPr>
            <w:r>
              <w:rPr>
                <w:sz w:val="17"/>
              </w:rPr>
              <w:t xml:space="preserve">Subcommittee </w:t>
            </w:r>
            <w:r>
              <w:rPr>
                <w:b/>
                <w:sz w:val="17"/>
              </w:rPr>
              <w:t>Chair</w:t>
            </w:r>
            <w:r>
              <w:rPr>
                <w:sz w:val="17"/>
              </w:rPr>
              <w:t>; controls the docket and the tabling motion. Also recorded as a guest at the 2026 VRS Board of Trustees retreat, which means VRS's read reaches him through a channel we do not have.</w:t>
            </w:r>
          </w:p>
        </w:tc>
        <w:tc>
          <w:tcPr>
            <w:tcW w:type="dxa" w:w="2880"/>
          </w:tcPr>
          <w:p>
            <w:pPr>
              <w:spacing w:before="20" w:after="20"/>
              <w:jc w:val="left"/>
            </w:pPr>
            <w:r>
              <w:rPr>
                <w:b/>
                <w:sz w:val="17"/>
              </w:rPr>
              <w:t>High</w:t>
            </w:r>
            <w:r>
              <w:rPr>
                <w:sz w:val="17"/>
              </w:rPr>
              <w:t xml:space="preserve"> on both facts.</w:t>
            </w:r>
          </w:p>
        </w:tc>
      </w:tr>
    </w:tbl>
    <w:p>
      <w:pPr>
        <w:spacing w:before="0" w:after="0" w:line="80" w:lineRule="exact"/>
      </w:pPr>
      <w:r>
        <w:rPr>
          <w:sz w:val="8"/>
        </w:rPr>
      </w:r>
    </w:p>
    <w:p>
      <w:r>
        <w:rPr>
          <w:b/>
        </w:rPr>
        <w:t>Staff to brief, in this order, because they write what the members read:</w:t>
      </w:r>
      <w:r>
        <w:t xml:space="preserve"> </w:t>
      </w:r>
      <w:r>
        <w:rPr>
          <w:b/>
        </w:rPr>
        <w:t>Michael Jay</w:t>
      </w:r>
      <w:r>
        <w:t xml:space="preserve"> (House Appropriations, compensation and retirement) and </w:t>
      </w:r>
      <w:r>
        <w:rPr>
          <w:b/>
        </w:rPr>
        <w:t>Mike Tweedy</w:t>
      </w:r>
      <w:r>
        <w:t xml:space="preserve"> (Senate Finance &amp; Appropriations, compensation and retirement portfolio).</w:t>
      </w:r>
    </w:p>
    <w:p>
      <w:pPr>
        <w:jc w:val="center"/>
      </w:pPr>
      <w:r>
        <w:rPr>
          <w:color w:val="909090"/>
          <w:sz w:val="18"/>
        </w:rPr>
        <w:t>* * *</w:t>
      </w:r>
    </w:p>
    <w:p>
      <w:pPr>
        <w:pStyle w:val="Heading2"/>
      </w:pPr>
      <w:r>
        <w:t>9. Unknowns, and what would resolve each</w:t>
      </w:r>
    </w:p>
    <w:tbl>
      <w:tblPr>
        <w:tblStyle w:val="TableGrid"/>
        <w:tblW w:type="auto" w:w="0"/>
        <w:jc w:val="left"/>
        <w:tblLook w:firstColumn="1" w:firstRow="1" w:lastColumn="0" w:lastRow="0" w:noHBand="0" w:noVBand="1" w:val="04A0"/>
      </w:tblPr>
      <w:tblGrid>
        <w:gridCol w:w="2160"/>
        <w:gridCol w:w="2160"/>
        <w:gridCol w:w="2160"/>
        <w:gridCol w:w="2160"/>
      </w:tblGrid>
      <w:tr>
        <w:trPr>
          <w:tblHeader w:val="true"/>
        </w:trPr>
        <w:tc>
          <w:tcPr>
            <w:tcW w:type="dxa" w:w="2160"/>
          </w:tcPr>
          <w:p>
            <w:pPr>
              <w:spacing w:before="20" w:after="20"/>
              <w:jc w:val="left"/>
            </w:pPr>
            <w:r>
              <w:rPr>
                <w:b/>
                <w:sz w:val="17"/>
              </w:rPr>
              <w:t>#</w:t>
            </w:r>
          </w:p>
        </w:tc>
        <w:tc>
          <w:tcPr>
            <w:tcW w:type="dxa" w:w="2160"/>
          </w:tcPr>
          <w:p>
            <w:pPr>
              <w:spacing w:before="20" w:after="20"/>
              <w:jc w:val="left"/>
            </w:pPr>
            <w:r>
              <w:rPr>
                <w:b/>
                <w:sz w:val="17"/>
              </w:rPr>
              <w:t>Unknown</w:t>
            </w:r>
          </w:p>
        </w:tc>
        <w:tc>
          <w:tcPr>
            <w:tcW w:type="dxa" w:w="2160"/>
          </w:tcPr>
          <w:p>
            <w:pPr>
              <w:spacing w:before="20" w:after="20"/>
              <w:jc w:val="left"/>
            </w:pPr>
            <w:r>
              <w:rPr>
                <w:b/>
                <w:sz w:val="17"/>
              </w:rPr>
              <w:t>Why it matters</w:t>
            </w:r>
          </w:p>
        </w:tc>
        <w:tc>
          <w:tcPr>
            <w:tcW w:type="dxa" w:w="2160"/>
          </w:tcPr>
          <w:p>
            <w:pPr>
              <w:spacing w:before="20" w:after="20"/>
              <w:jc w:val="left"/>
            </w:pPr>
            <w:r>
              <w:rPr>
                <w:b/>
                <w:sz w:val="17"/>
              </w:rPr>
              <w:t>What resolves it</w:t>
            </w:r>
          </w:p>
        </w:tc>
      </w:tr>
      <w:tr>
        <w:tc>
          <w:tcPr>
            <w:tcW w:type="dxa" w:w="2160"/>
          </w:tcPr>
          <w:p>
            <w:pPr>
              <w:spacing w:before="20" w:after="20"/>
              <w:jc w:val="left"/>
            </w:pPr>
            <w:r>
              <w:rPr>
                <w:b/>
                <w:sz w:val="17"/>
              </w:rPr>
              <w:t>U-1</w:t>
            </w:r>
            <w:r>
              <w:rPr>
                <w:sz w:val="17"/>
              </w:rPr>
              <w:t xml:space="preserve"> </w:t>
            </w:r>
            <w:r>
              <w:rPr>
                <w:i/>
                <w:sz w:val="17"/>
              </w:rPr>
              <w:t>(substantially resolved in v1.1 — process and calendar)</w:t>
            </w:r>
          </w:p>
        </w:tc>
        <w:tc>
          <w:tcPr>
            <w:tcW w:type="dxa" w:w="2160"/>
          </w:tcPr>
          <w:p>
            <w:pPr>
              <w:spacing w:before="20" w:after="20"/>
              <w:jc w:val="left"/>
            </w:pPr>
            <w:r>
              <w:rPr>
                <w:b/>
                <w:sz w:val="17"/>
              </w:rPr>
              <w:t>Resolved:</w:t>
            </w:r>
            <w:r>
              <w:rPr>
                <w:sz w:val="17"/>
              </w:rPr>
              <w:t xml:space="preserve"> the JLC's 2027 initiative cycle and its remaining gate. Documented from primary agendas: 2026-03-17 initial plan → 2026-04-14 Legislative Committee screen → 2026-09-16 "Review of 2027 Legislative Initiatives" → </w:t>
            </w:r>
            <w:r>
              <w:rPr>
                <w:b/>
                <w:sz w:val="17"/>
              </w:rPr>
              <w:t>2026-12-17, the last board meeting before the session.</w:t>
            </w:r>
            <w:r>
              <w:rPr>
                <w:sz w:val="17"/>
              </w:rPr>
              <w:t xml:space="preserve"> The recurring Work Plan assigns the December meeting the review and approval of additional initiatives not voted on in the fall, and the review of the patron list. </w:t>
            </w:r>
            <w:r>
              <w:rPr>
                <w:b/>
                <w:sz w:val="17"/>
              </w:rPr>
              <w:t>Still unknown:</w:t>
            </w:r>
            <w:r>
              <w:rPr>
                <w:sz w:val="17"/>
              </w:rPr>
              <w:t xml:space="preserve"> the </w:t>
            </w:r>
            <w:r>
              <w:rPr>
                <w:i/>
                <w:sz w:val="17"/>
              </w:rPr>
              <w:t>contents</w:t>
            </w:r>
            <w:r>
              <w:rPr>
                <w:sz w:val="17"/>
              </w:rPr>
              <w:t xml:space="preserve"> of the adopted 2027 slate — the 2026 minutes are not posted and the DVS initiatives page is 403.</w:t>
            </w:r>
          </w:p>
        </w:tc>
        <w:tc>
          <w:tcPr>
            <w:tcW w:type="dxa" w:w="2160"/>
          </w:tcPr>
          <w:p>
            <w:pPr>
              <w:spacing w:before="20" w:after="20"/>
              <w:jc w:val="left"/>
            </w:pPr>
            <w:r>
              <w:rPr>
                <w:b/>
                <w:sz w:val="17"/>
              </w:rPr>
              <w:t>My v1.0 read was wrong in the client's favour and the correction is the actionable part</w:t>
            </w:r>
            <w:r>
              <w:rPr>
                <w:sz w:val="17"/>
              </w:rPr>
              <w:t xml:space="preserve">: the window is not a closed one that shut in June, it is an open one that closes </w:t>
            </w:r>
            <w:r>
              <w:rPr>
                <w:b/>
                <w:sz w:val="17"/>
              </w:rPr>
              <w:t>2026-12-17</w:t>
            </w:r>
            <w:r>
              <w:rPr>
                <w:sz w:val="17"/>
              </w:rPr>
              <w:t>. What is now at stake is not whether to ask but whether the package can be in JLC format, with a sponsoring member organisation and a patron, inside 53 days.</w:t>
            </w:r>
          </w:p>
        </w:tc>
        <w:tc>
          <w:tcPr>
            <w:tcW w:type="dxa" w:w="2160"/>
          </w:tcPr>
          <w:p>
            <w:pPr>
              <w:spacing w:before="20" w:after="20"/>
              <w:jc w:val="left"/>
            </w:pPr>
            <w:r>
              <w:rPr>
                <w:sz w:val="17"/>
              </w:rPr>
              <w:t xml:space="preserve">For the slate contents: the DVS JLC initiatives page (403 to automated retrieval — a person opening it in a browser resolves this in a minute), or the 2026-09-16 minutes once posted, or JLCVSO directly. </w:t>
            </w:r>
            <w:r>
              <w:rPr>
                <w:b/>
                <w:sz w:val="17"/>
              </w:rPr>
              <w:t>Policy Director owns the sequencing decision either way; it does not depend on knowing the slate.</w:t>
            </w:r>
          </w:p>
        </w:tc>
      </w:tr>
      <w:tr>
        <w:tc>
          <w:tcPr>
            <w:tcW w:type="dxa" w:w="2160"/>
          </w:tcPr>
          <w:p>
            <w:pPr>
              <w:spacing w:before="20" w:after="20"/>
              <w:jc w:val="left"/>
            </w:pPr>
            <w:r>
              <w:rPr>
                <w:b/>
                <w:sz w:val="17"/>
              </w:rPr>
              <w:t>U-2</w:t>
            </w:r>
            <w:r>
              <w:rPr>
                <w:sz w:val="17"/>
              </w:rPr>
              <w:t xml:space="preserve"> </w:t>
            </w:r>
            <w:r>
              <w:rPr>
                <w:i/>
                <w:sz w:val="17"/>
              </w:rPr>
              <w:t>(partly advanced in v1.1)</w:t>
            </w:r>
          </w:p>
        </w:tc>
        <w:tc>
          <w:tcPr>
            <w:tcW w:type="dxa" w:w="2160"/>
          </w:tcPr>
          <w:p>
            <w:pPr>
              <w:spacing w:before="20" w:after="20"/>
              <w:jc w:val="left"/>
            </w:pPr>
            <w:r>
              <w:rPr>
                <w:b/>
                <w:sz w:val="17"/>
              </w:rPr>
              <w:t>Current membership and co-chairs of the General Assembly Military and Veterans Caucus (GAMVC).</w:t>
            </w:r>
            <w:r>
              <w:rPr>
                <w:sz w:val="17"/>
              </w:rPr>
              <w:t xml:space="preserve"> </w:t>
            </w:r>
            <w:r>
              <w:rPr>
                <w:b/>
                <w:sz w:val="17"/>
              </w:rPr>
              <w:t>Newly documented:</w:t>
            </w:r>
            <w:r>
              <w:rPr>
                <w:sz w:val="17"/>
              </w:rPr>
              <w:t xml:space="preserve"> the caucus exists under that name, is bipartisan, and the JLC routes initiatives to its members as standing practice (2026-04-14 Legislative Committee agenda, Item VIII; DVS Commissioner's 2025 Annual Report). </w:t>
            </w:r>
            <w:r>
              <w:rPr>
                <w:b/>
                <w:sz w:val="17"/>
              </w:rPr>
              <w:t>Still unknown:</w:t>
            </w:r>
            <w:r>
              <w:rPr>
                <w:sz w:val="17"/>
              </w:rPr>
              <w:t xml:space="preserve"> the roster and the co-chairs, and therefore whether Sen. Reeves still co-chairs it.</w:t>
            </w:r>
          </w:p>
        </w:tc>
        <w:tc>
          <w:tcPr>
            <w:tcW w:type="dxa" w:w="2160"/>
          </w:tcPr>
          <w:p>
            <w:pPr>
              <w:spacing w:before="20" w:after="20"/>
              <w:jc w:val="left"/>
            </w:pPr>
            <w:r>
              <w:rPr>
                <w:sz w:val="17"/>
              </w:rPr>
              <w:t xml:space="preserve">The § 8 Senate patron recommendation rests partly on the Reeves caucus claim, which is sourced to a 2018-era item and must not be acted on unverified. The caucus itself is now known to be reachable </w:t>
            </w:r>
            <w:r>
              <w:rPr>
                <w:i/>
                <w:sz w:val="17"/>
              </w:rPr>
              <w:t>through our own client</w:t>
            </w:r>
            <w:r>
              <w:rPr>
                <w:sz w:val="17"/>
              </w:rPr>
              <w:t xml:space="preserve"> rather than cold.</w:t>
            </w:r>
          </w:p>
        </w:tc>
        <w:tc>
          <w:tcPr>
            <w:tcW w:type="dxa" w:w="2160"/>
          </w:tcPr>
          <w:p>
            <w:pPr>
              <w:spacing w:before="20" w:after="20"/>
              <w:jc w:val="left"/>
            </w:pPr>
            <w:r>
              <w:rPr>
                <w:sz w:val="17"/>
              </w:rPr>
              <w:t>Current caucus roster; the most recent Adjutant General briefing to the caucus; or simply the JLC Legislative Officer's working list, which the 2026-04-14 agenda implies exists.</w:t>
            </w:r>
          </w:p>
        </w:tc>
      </w:tr>
      <w:tr>
        <w:tc>
          <w:tcPr>
            <w:tcW w:type="dxa" w:w="2160"/>
          </w:tcPr>
          <w:p>
            <w:pPr>
              <w:spacing w:before="20" w:after="20"/>
              <w:jc w:val="left"/>
            </w:pPr>
            <w:r>
              <w:rPr>
                <w:b/>
                <w:sz w:val="17"/>
              </w:rPr>
              <w:t>U-8</w:t>
            </w:r>
          </w:p>
        </w:tc>
        <w:tc>
          <w:tcPr>
            <w:tcW w:type="dxa" w:w="2160"/>
          </w:tcPr>
          <w:p>
            <w:pPr>
              <w:spacing w:before="20" w:after="20"/>
              <w:jc w:val="left"/>
            </w:pPr>
            <w:r>
              <w:rPr>
                <w:b/>
                <w:sz w:val="17"/>
              </w:rPr>
              <w:t>Whether the JLC's current (2026) Work Plan retains the December "additional initiatives" item.</w:t>
            </w:r>
            <w:r>
              <w:rPr>
                <w:sz w:val="17"/>
              </w:rPr>
              <w:t xml:space="preserve"> My source for it is the </w:t>
            </w:r>
            <w:r>
              <w:rPr>
                <w:i/>
                <w:sz w:val="17"/>
              </w:rPr>
              <w:t>2020 Work Plan</w:t>
            </w:r>
            <w:r>
              <w:rPr>
                <w:sz w:val="17"/>
              </w:rPr>
              <w:t>; the Work Plan is re-adopted every December, so the 2026 text may differ.</w:t>
            </w:r>
          </w:p>
        </w:tc>
        <w:tc>
          <w:tcPr>
            <w:tcW w:type="dxa" w:w="2160"/>
          </w:tcPr>
          <w:p>
            <w:pPr>
              <w:spacing w:before="20" w:after="20"/>
              <w:jc w:val="left"/>
            </w:pPr>
            <w:r>
              <w:rPr>
                <w:sz w:val="17"/>
              </w:rPr>
              <w:t>It is the difference between a live December channel and a procedural dead end, and the whole v1.1 sequencing recommendation rests on it.</w:t>
            </w:r>
          </w:p>
        </w:tc>
        <w:tc>
          <w:tcPr>
            <w:tcW w:type="dxa" w:w="2160"/>
          </w:tcPr>
          <w:p>
            <w:pPr>
              <w:spacing w:before="20" w:after="20"/>
              <w:jc w:val="left"/>
            </w:pPr>
            <w:r>
              <w:rPr>
                <w:sz w:val="17"/>
              </w:rPr>
              <w:t xml:space="preserve">The 2026-12-17 agenda when posted (typically days before the meeting), the 2025-12-19 minutes, or the current Work Plan from the DVS page. </w:t>
            </w:r>
            <w:r>
              <w:rPr>
                <w:b/>
                <w:sz w:val="17"/>
              </w:rPr>
              <w:t>This is the single cheapest check in this annex and it is worth making before any approach is designed.</w:t>
            </w:r>
          </w:p>
        </w:tc>
      </w:tr>
      <w:tr>
        <w:tc>
          <w:tcPr>
            <w:tcW w:type="dxa" w:w="2160"/>
          </w:tcPr>
          <w:p>
            <w:pPr>
              <w:spacing w:before="20" w:after="20"/>
              <w:jc w:val="left"/>
            </w:pPr>
            <w:r>
              <w:rPr>
                <w:b/>
                <w:sz w:val="17"/>
              </w:rPr>
              <w:t>U-3</w:t>
            </w:r>
          </w:p>
        </w:tc>
        <w:tc>
          <w:tcPr>
            <w:tcW w:type="dxa" w:w="2160"/>
          </w:tcPr>
          <w:p>
            <w:pPr>
              <w:spacing w:before="20" w:after="20"/>
              <w:jc w:val="left"/>
            </w:pPr>
            <w:r>
              <w:rPr>
                <w:b/>
                <w:sz w:val="17"/>
              </w:rPr>
              <w:t>Whether VACo's final 2027 program (adoption scheduled 2026-11-10) adds a retirement plank.</w:t>
            </w:r>
          </w:p>
        </w:tc>
        <w:tc>
          <w:tcPr>
            <w:tcW w:type="dxa" w:w="2160"/>
          </w:tcPr>
          <w:p>
            <w:pPr>
              <w:spacing w:before="20" w:after="20"/>
              <w:jc w:val="left"/>
            </w:pPr>
            <w:r>
              <w:rPr>
                <w:sz w:val="17"/>
              </w:rPr>
              <w:t>The preliminary program has none. If a VRS or retirement position is added by the steering committees on 11/08, the VACo row moves from categorical to specific and its intensity rises.</w:t>
            </w:r>
          </w:p>
        </w:tc>
        <w:tc>
          <w:tcPr>
            <w:tcW w:type="dxa" w:w="2160"/>
          </w:tcPr>
          <w:p>
            <w:pPr>
              <w:spacing w:before="20" w:after="20"/>
              <w:jc w:val="left"/>
            </w:pPr>
            <w:r>
              <w:rPr>
                <w:sz w:val="17"/>
              </w:rPr>
              <w:t xml:space="preserve">The final adopted program, after 2026-11-10. </w:t>
            </w:r>
            <w:r>
              <w:rPr>
                <w:b/>
                <w:sz w:val="17"/>
              </w:rPr>
              <w:t>This is a dated, checkable item — worth a calendar note.</w:t>
            </w:r>
          </w:p>
        </w:tc>
      </w:tr>
      <w:tr>
        <w:tc>
          <w:tcPr>
            <w:tcW w:type="dxa" w:w="2160"/>
          </w:tcPr>
          <w:p>
            <w:pPr>
              <w:spacing w:before="20" w:after="20"/>
              <w:jc w:val="left"/>
            </w:pPr>
            <w:r>
              <w:rPr>
                <w:b/>
                <w:sz w:val="17"/>
              </w:rPr>
              <w:t>U-4</w:t>
            </w:r>
          </w:p>
        </w:tc>
        <w:tc>
          <w:tcPr>
            <w:tcW w:type="dxa" w:w="2160"/>
          </w:tcPr>
          <w:p>
            <w:pPr>
              <w:spacing w:before="20" w:after="20"/>
              <w:jc w:val="left"/>
            </w:pPr>
            <w:r>
              <w:rPr>
                <w:b/>
                <w:sz w:val="17"/>
              </w:rPr>
              <w:t>VEA's current (2026/2027) legislative agenda.</w:t>
            </w:r>
            <w:r>
              <w:rPr>
                <w:sz w:val="17"/>
              </w:rPr>
              <w:t xml:space="preserve"> The most recent published version I could locate is 2024.</w:t>
            </w:r>
          </w:p>
        </w:tc>
        <w:tc>
          <w:tcPr>
            <w:tcW w:type="dxa" w:w="2160"/>
          </w:tcPr>
          <w:p>
            <w:pPr>
              <w:spacing w:before="20" w:after="20"/>
              <w:jc w:val="left"/>
            </w:pPr>
            <w:r>
              <w:rPr>
                <w:sz w:val="17"/>
              </w:rPr>
              <w:t>VEA is now a beneficiary rather than a bystander, and a current agenda would move the VEA row from Medium to High.</w:t>
            </w:r>
          </w:p>
        </w:tc>
        <w:tc>
          <w:tcPr>
            <w:tcW w:type="dxa" w:w="2160"/>
          </w:tcPr>
          <w:p>
            <w:pPr>
              <w:spacing w:before="20" w:after="20"/>
              <w:jc w:val="left"/>
            </w:pPr>
            <w:r>
              <w:rPr>
                <w:sz w:val="17"/>
              </w:rPr>
              <w:t>VEA's published 2027 agenda when posted.</w:t>
            </w:r>
          </w:p>
        </w:tc>
      </w:tr>
      <w:tr>
        <w:tc>
          <w:tcPr>
            <w:tcW w:type="dxa" w:w="2160"/>
          </w:tcPr>
          <w:p>
            <w:pPr>
              <w:spacing w:before="20" w:after="20"/>
              <w:jc w:val="left"/>
            </w:pPr>
            <w:r>
              <w:rPr>
                <w:b/>
                <w:sz w:val="17"/>
              </w:rPr>
              <w:t>U-5</w:t>
            </w:r>
          </w:p>
        </w:tc>
        <w:tc>
          <w:tcPr>
            <w:tcW w:type="dxa" w:w="2160"/>
          </w:tcPr>
          <w:p>
            <w:pPr>
              <w:spacing w:before="20" w:after="20"/>
              <w:jc w:val="left"/>
            </w:pPr>
            <w:r>
              <w:rPr>
                <w:b/>
                <w:sz w:val="17"/>
              </w:rPr>
              <w:t>Whether any bill has previously attempted to extend or remove the § 51.1-142.2 window itself</w:t>
            </w:r>
            <w:r>
              <w:rPr>
                <w:sz w:val="17"/>
              </w:rPr>
              <w:t xml:space="preserve"> (as opposed to adding a category).</w:t>
            </w:r>
          </w:p>
        </w:tc>
        <w:tc>
          <w:tcPr>
            <w:tcW w:type="dxa" w:w="2160"/>
          </w:tcPr>
          <w:p>
            <w:pPr>
              <w:spacing w:before="20" w:after="20"/>
              <w:jc w:val="left"/>
            </w:pPr>
            <w:r>
              <w:rPr>
                <w:sz w:val="17"/>
              </w:rPr>
              <w:t>A prior failed attempt would be the most directly predictive precedent in existence, and I did not find one. Absence of evidence here is weak evidence of absence: I could not run a code-section search across sessions (legacy LIS rejected the query form and the current LIS is a client-rendered application).</w:t>
            </w:r>
          </w:p>
        </w:tc>
        <w:tc>
          <w:tcPr>
            <w:tcW w:type="dxa" w:w="2160"/>
          </w:tcPr>
          <w:p>
            <w:pPr>
              <w:spacing w:before="20" w:after="20"/>
              <w:jc w:val="left"/>
            </w:pPr>
            <w:r>
              <w:rPr>
                <w:sz w:val="17"/>
              </w:rPr>
              <w:t>A Division of Legislative Services or LIS staff code-section search on § 51.1-142.2 across sessions 2017–2026. Statutory Researcher is better placed than I am.</w:t>
            </w:r>
          </w:p>
        </w:tc>
      </w:tr>
      <w:tr>
        <w:tc>
          <w:tcPr>
            <w:tcW w:type="dxa" w:w="2160"/>
          </w:tcPr>
          <w:p>
            <w:pPr>
              <w:spacing w:before="20" w:after="20"/>
              <w:jc w:val="left"/>
            </w:pPr>
            <w:r>
              <w:rPr>
                <w:b/>
                <w:sz w:val="17"/>
              </w:rPr>
              <w:t>U-6</w:t>
            </w:r>
          </w:p>
        </w:tc>
        <w:tc>
          <w:tcPr>
            <w:tcW w:type="dxa" w:w="2160"/>
          </w:tcPr>
          <w:p>
            <w:pPr>
              <w:spacing w:before="20" w:after="20"/>
              <w:jc w:val="left"/>
            </w:pPr>
            <w:r>
              <w:rPr>
                <w:b/>
                <w:sz w:val="17"/>
              </w:rPr>
              <w:t>DHRM's and the Secretary of Administration's actual posture.</w:t>
            </w:r>
            <w:r>
              <w:rPr>
                <w:sz w:val="17"/>
              </w:rPr>
              <w:t xml:space="preserve"> My read is inferred from DHRM's workforce presentation; DHRM has no public position on VRS purchase of service.</w:t>
            </w:r>
          </w:p>
        </w:tc>
        <w:tc>
          <w:tcPr>
            <w:tcW w:type="dxa" w:w="2160"/>
          </w:tcPr>
          <w:p>
            <w:pPr>
              <w:spacing w:before="20" w:after="20"/>
              <w:jc w:val="left"/>
            </w:pPr>
            <w:r>
              <w:rPr>
                <w:sz w:val="17"/>
              </w:rPr>
              <w:t>A supportive DHRM data submission would partly answer the take-up denominator problem. A silent DHRM leaves the § 30-19.1:7 statement unopposed.</w:t>
            </w:r>
          </w:p>
        </w:tc>
        <w:tc>
          <w:tcPr>
            <w:tcW w:type="dxa" w:w="2160"/>
          </w:tcPr>
          <w:p>
            <w:pPr>
              <w:spacing w:before="20" w:after="20"/>
              <w:jc w:val="left"/>
            </w:pPr>
            <w:r>
              <w:rPr>
                <w:sz w:val="17"/>
              </w:rPr>
              <w:t>A DHRM legislative position, or an agency-request bill. Not resolvable from the public record alone.</w:t>
            </w:r>
          </w:p>
        </w:tc>
      </w:tr>
      <w:tr>
        <w:tc>
          <w:tcPr>
            <w:tcW w:type="dxa" w:w="2160"/>
          </w:tcPr>
          <w:p>
            <w:pPr>
              <w:spacing w:before="20" w:after="20"/>
              <w:jc w:val="left"/>
            </w:pPr>
            <w:r>
              <w:rPr>
                <w:b/>
                <w:sz w:val="17"/>
              </w:rPr>
              <w:t>U-7</w:t>
            </w:r>
          </w:p>
        </w:tc>
        <w:tc>
          <w:tcPr>
            <w:tcW w:type="dxa" w:w="2160"/>
          </w:tcPr>
          <w:p>
            <w:pPr>
              <w:spacing w:before="20" w:after="20"/>
              <w:jc w:val="left"/>
            </w:pPr>
            <w:r>
              <w:rPr>
                <w:b/>
                <w:sz w:val="17"/>
              </w:rPr>
              <w:t>Whether VRS would characterise this bill as changing current procedures.</w:t>
            </w:r>
          </w:p>
        </w:tc>
        <w:tc>
          <w:tcPr>
            <w:tcW w:type="dxa" w:w="2160"/>
          </w:tcPr>
          <w:p>
            <w:pPr>
              <w:spacing w:before="20" w:after="20"/>
              <w:jc w:val="left"/>
            </w:pPr>
            <w:r>
              <w:rPr>
                <w:sz w:val="17"/>
              </w:rPr>
              <w:t>This is the acceptance criterion (§ 3.1) and everything turns on it.</w:t>
            </w:r>
          </w:p>
        </w:tc>
        <w:tc>
          <w:tcPr>
            <w:tcW w:type="dxa" w:w="2160"/>
          </w:tcPr>
          <w:p>
            <w:pPr>
              <w:spacing w:before="20" w:after="20"/>
              <w:jc w:val="left"/>
            </w:pPr>
            <w:r>
              <w:rPr>
                <w:sz w:val="17"/>
              </w:rPr>
              <w:t>The § 30-19.1:7 impact statement itself — which arrives after prefiling, i.e. too late to react to. The Annex A Q1–Q5 and Q13–Q14 data requests to VRS counsel are the only pre-filing channel.</w:t>
            </w:r>
          </w:p>
        </w:tc>
      </w:tr>
    </w:tbl>
    <w:p>
      <w:pPr>
        <w:spacing w:before="0" w:after="0" w:line="80" w:lineRule="exact"/>
      </w:pPr>
      <w:r>
        <w:rPr>
          <w:sz w:val="8"/>
        </w:rPr>
      </w:r>
    </w:p>
    <w:p>
      <w:pPr>
        <w:jc w:val="center"/>
      </w:pPr>
      <w:r>
        <w:rPr>
          <w:color w:val="909090"/>
          <w:sz w:val="18"/>
        </w:rPr>
        <w:t>* * *</w:t>
      </w:r>
    </w:p>
    <w:p>
      <w:pPr>
        <w:pStyle w:val="Heading2"/>
      </w:pPr>
      <w:r>
        <w:t>10. Sources, with retrieval dates</w:t>
      </w:r>
    </w:p>
    <w:p>
      <w:r>
        <w:t>All retrieved 2026-10-25 unless noted. All are public records.</w:t>
      </w:r>
    </w:p>
    <w:p>
      <w:r>
        <w:rPr>
          <w:b/>
        </w:rPr>
        <w:t>Statutes</w:t>
      </w:r>
    </w:p>
    <w:p>
      <w:pPr>
        <w:spacing w:after="60"/>
        <w:ind w:left="432" w:hanging="432"/>
      </w:pPr>
      <w:r>
        <w:rPr>
          <w:b/>
        </w:rPr>
        <w:t>1.</w:t>
        <w:tab/>
      </w:r>
      <w:r>
        <w:t xml:space="preserve">§ 51.1-142.2 (prior service or membership credit), including subdivision B 2 and the 24-month / approximate-normal-cost / actuarial-equivalent-cost structure, and the full amendment history line through 2026, c. 563 — </w:t>
      </w:r>
      <w:r>
        <w:rPr>
          <w:rFonts w:ascii="Consolas" w:hAnsi="Consolas"/>
          <w:color w:val="303030"/>
          <w:sz w:val="18"/>
        </w:rPr>
        <w:t>law.lis.virginia.gov/vacode/title51.1/chapter1/section51.1-142.2/</w:t>
      </w:r>
    </w:p>
    <w:p>
      <w:pPr>
        <w:spacing w:after="60"/>
        <w:ind w:left="432" w:hanging="432"/>
      </w:pPr>
      <w:r>
        <w:rPr>
          <w:b/>
        </w:rPr>
        <w:t>2.</w:t>
        <w:tab/>
      </w:r>
      <w:r>
        <w:t xml:space="preserve">§ 30-19.1:7 (VRS impact statements; recipients include the Commission on Local Government, House Appropriations, Senate Finance and Appropriations) — </w:t>
      </w:r>
      <w:r>
        <w:rPr>
          <w:rFonts w:ascii="Consolas" w:hAnsi="Consolas"/>
          <w:color w:val="303030"/>
          <w:sz w:val="18"/>
        </w:rPr>
        <w:t>law.lis.virginia.gov/vacode/title30/chapter1/section30-19.1:7/</w:t>
      </w:r>
    </w:p>
    <w:p>
      <w:pPr>
        <w:spacing w:after="60"/>
        <w:ind w:left="432" w:hanging="432"/>
      </w:pPr>
      <w:r>
        <w:rPr>
          <w:b/>
        </w:rPr>
        <w:t>3.</w:t>
        <w:tab/>
      </w:r>
      <w:r>
        <w:t xml:space="preserve">§ 2.2-2681 (Joint Leadership Council of Veterans Service Organizations; membership) — </w:t>
      </w:r>
      <w:r>
        <w:rPr>
          <w:rFonts w:ascii="Consolas" w:hAnsi="Consolas"/>
          <w:color w:val="303030"/>
          <w:sz w:val="18"/>
        </w:rPr>
        <w:t>law.lis.virginia.gov/vacode/title2.2/chapter26/section2.2-2681/</w:t>
      </w:r>
    </w:p>
    <w:p>
      <w:pPr>
        <w:spacing w:after="60"/>
        <w:ind w:left="432" w:hanging="432"/>
      </w:pPr>
      <w:r>
        <w:rPr>
          <w:b/>
        </w:rPr>
        <w:t>4.</w:t>
        <w:tab/>
      </w:r>
      <w:r>
        <w:t xml:space="preserve">§ 2.2-2903 (veteran hiring preference) — </w:t>
      </w:r>
      <w:r>
        <w:rPr>
          <w:rFonts w:ascii="Consolas" w:hAnsi="Consolas"/>
          <w:color w:val="303030"/>
          <w:sz w:val="18"/>
        </w:rPr>
        <w:t>law.lis.virginia.gov/vacode/title2.2/chapter29/section2.2-2903/</w:t>
      </w:r>
    </w:p>
    <w:p>
      <w:pPr>
        <w:spacing w:after="60"/>
        <w:ind w:left="432" w:hanging="432"/>
      </w:pPr>
      <w:r>
        <w:rPr>
          <w:b/>
        </w:rPr>
        <w:t>5.</w:t>
        <w:tab/>
      </w:r>
      <w:r>
        <w:t xml:space="preserve">§ 15.2-2903 (Commission on Local Government powers and duties) — </w:t>
      </w:r>
      <w:r>
        <w:rPr>
          <w:rFonts w:ascii="Consolas" w:hAnsi="Consolas"/>
          <w:color w:val="303030"/>
          <w:sz w:val="18"/>
        </w:rPr>
        <w:t>law.lis.virginia.gov/vacode/title15.2/chapter29/section15.2-2903/</w:t>
      </w:r>
    </w:p>
    <w:p>
      <w:r>
        <w:rPr>
          <w:b/>
        </w:rPr>
        <w:t>Virginia bills and acts</w:t>
      </w:r>
    </w:p>
    <w:p>
      <w:pPr>
        <w:spacing w:after="60"/>
        <w:ind w:left="432" w:hanging="432"/>
      </w:pPr>
      <w:r>
        <w:rPr>
          <w:b/>
        </w:rPr>
        <w:t>6.</w:t>
        <w:tab/>
      </w:r>
      <w:r>
        <w:rPr>
          <w:b/>
        </w:rPr>
        <w:t>VRS, 2023 Fiscal Impact Statement, HB 1867</w:t>
      </w:r>
      <w:r>
        <w:t xml:space="preserve">, dated 1/16/2023, document HB1867.DOC/VRS — </w:t>
      </w:r>
      <w:r>
        <w:rPr>
          <w:rFonts w:ascii="Consolas" w:hAnsi="Consolas"/>
          <w:color w:val="303030"/>
          <w:sz w:val="18"/>
        </w:rPr>
        <w:t>legacylis.virginia.gov/cgi-bin/legp604.exe?231+oth+HB1867F158+PDF</w:t>
      </w:r>
      <w:r>
        <w:t xml:space="preserve"> </w:t>
      </w:r>
      <w:r>
        <w:rPr>
          <w:i/>
        </w:rPr>
        <w:t>(primary source; retrieved in full)</w:t>
      </w:r>
    </w:p>
    <w:p>
      <w:pPr>
        <w:spacing w:after="60"/>
        <w:ind w:left="432" w:hanging="432"/>
      </w:pPr>
      <w:r>
        <w:rPr>
          <w:b/>
        </w:rPr>
        <w:t>7.</w:t>
        <w:tab/>
      </w:r>
      <w:r>
        <w:t xml:space="preserve">HB 1867 (2023) summary and history, patron P. A. Scott — </w:t>
      </w:r>
      <w:r>
        <w:rPr>
          <w:rFonts w:ascii="Consolas" w:hAnsi="Consolas"/>
          <w:color w:val="303030"/>
          <w:sz w:val="18"/>
        </w:rPr>
        <w:t>legacylis.virginia.gov/cgi-bin/legp604.exe?231+sum+HB1867=</w:t>
      </w:r>
    </w:p>
    <w:p>
      <w:pPr>
        <w:spacing w:after="60"/>
        <w:ind w:left="432" w:hanging="432"/>
      </w:pPr>
      <w:r>
        <w:rPr>
          <w:b/>
        </w:rPr>
        <w:t>8.</w:t>
        <w:tab/>
      </w:r>
      <w:r>
        <w:rPr>
          <w:b/>
        </w:rPr>
        <w:t>HB 1867 (2023) subcommittee roll call</w:t>
      </w:r>
      <w:r>
        <w:t xml:space="preserve">, 01/26/23, "Subcommittee recommends laying on the table (8-Y 0-N)" with named yeas — </w:t>
      </w:r>
      <w:r>
        <w:rPr>
          <w:rFonts w:ascii="Consolas" w:hAnsi="Consolas"/>
          <w:color w:val="303030"/>
          <w:sz w:val="18"/>
        </w:rPr>
        <w:t>legacylis.virginia.gov/cgi-bin/legp604.exe?231+vot+H0202V0014+HB1867</w:t>
      </w:r>
    </w:p>
    <w:p>
      <w:pPr>
        <w:spacing w:after="60"/>
        <w:ind w:left="432" w:hanging="432"/>
      </w:pPr>
      <w:r>
        <w:rPr>
          <w:b/>
        </w:rPr>
        <w:t>9.</w:t>
        <w:tab/>
      </w:r>
      <w:r>
        <w:t xml:space="preserve">HB 1890 (2015) summary, patron S. C. Jones, and full history; Chapter 508 — </w:t>
      </w:r>
      <w:r>
        <w:rPr>
          <w:rFonts w:ascii="Consolas" w:hAnsi="Consolas"/>
          <w:color w:val="303030"/>
          <w:sz w:val="18"/>
        </w:rPr>
        <w:t>legacylis.virginia.gov/cgi-bin/legp604.exe?151+sum+HB1890=</w:t>
      </w:r>
    </w:p>
    <w:p>
      <w:pPr>
        <w:spacing w:after="60"/>
        <w:ind w:left="432" w:hanging="432"/>
      </w:pPr>
      <w:r>
        <w:rPr>
          <w:b/>
        </w:rPr>
        <w:t>10.</w:t>
        <w:tab/>
      </w:r>
      <w:r>
        <w:t xml:space="preserve">HB 1890 (2015) enrolled text (24-month window; January 1, 2017 effective date) — </w:t>
      </w:r>
      <w:r>
        <w:rPr>
          <w:rFonts w:ascii="Consolas" w:hAnsi="Consolas"/>
          <w:color w:val="303030"/>
          <w:sz w:val="18"/>
        </w:rPr>
        <w:t>legacylis.virginia.gov/cgi-bin/legp604.exe?151+ful+HB1890ER+pdf=</w:t>
      </w:r>
    </w:p>
    <w:p>
      <w:pPr>
        <w:spacing w:after="60"/>
        <w:ind w:left="432" w:hanging="432"/>
      </w:pPr>
      <w:r>
        <w:rPr>
          <w:b/>
        </w:rPr>
        <w:t>11.</w:t>
        <w:tab/>
      </w:r>
      <w:r>
        <w:t xml:space="preserve">HB 139 (2026), Chapter 563, approved 2026-04-13 (unpaid educational leave for employee association officers; purchase of service credit under § 51.1-142.2) — </w:t>
      </w:r>
      <w:r>
        <w:rPr>
          <w:rFonts w:ascii="Consolas" w:hAnsi="Consolas"/>
          <w:color w:val="303030"/>
          <w:sz w:val="18"/>
        </w:rPr>
        <w:t>lis.virginia.gov/bill-details/20261/HB139/text/CHAP0563</w:t>
      </w:r>
    </w:p>
    <w:p>
      <w:r>
        <w:rPr>
          <w:b/>
        </w:rPr>
        <w:t>VRS institutional record</w:t>
      </w:r>
    </w:p>
    <w:p>
      <w:pPr>
        <w:spacing w:after="60"/>
        <w:ind w:left="432" w:hanging="432"/>
      </w:pPr>
      <w:r>
        <w:rPr>
          <w:b/>
        </w:rPr>
        <w:t>12.</w:t>
        <w:tab/>
      </w:r>
      <w:r>
        <w:rPr>
          <w:b/>
        </w:rPr>
        <w:t>VRS Board of Trustees meeting materials, 2026-04-23</w:t>
      </w:r>
      <w:r>
        <w:t xml:space="preserve"> — 2026 Legislation section (pp. 184–208): "28 VRS specific bills… The only bill remaining of the 28 is bill HB139… The remainder of the bills were unsuccessful"; HB 139 characterised as codifying "the existing VRS PPS policy"; FY27/FY28 certified employer rates; failed-legislation inventory including HR 9 (Maldonado, JLARC evaluation of VRS plans); retreat attendance recording Del. Alex Q. Askew and Carol Bauer (VEA) as guests — </w:t>
      </w:r>
      <w:r>
        <w:rPr>
          <w:rFonts w:ascii="Consolas" w:hAnsi="Consolas"/>
          <w:color w:val="303030"/>
          <w:sz w:val="18"/>
        </w:rPr>
        <w:t>varetire.org/media/members/pdf/board/materials/2026/bot-04-23-26.pdf</w:t>
      </w:r>
    </w:p>
    <w:p>
      <w:pPr>
        <w:spacing w:after="60"/>
        <w:ind w:left="432" w:hanging="432"/>
      </w:pPr>
      <w:r>
        <w:rPr>
          <w:b/>
        </w:rPr>
        <w:t>13.</w:t>
        <w:tab/>
      </w:r>
      <w:r>
        <w:t xml:space="preserve">VRS, </w:t>
      </w:r>
      <w:r>
        <w:rPr>
          <w:i/>
        </w:rPr>
        <w:t>2026 General Assembly Session Fiscal Impact Statement</w:t>
      </w:r>
      <w:r>
        <w:t xml:space="preserve">, HB 1306 (return to work; break in service), published 1/29/2026 — retrieved as a current example of the § 30-19.1:7 statement format and VRS's argumentative posture (unfunded-liability framing, contribution-rate translation, GF/NGF split, implementation cost, delayed-effective-date request) — </w:t>
      </w:r>
      <w:r>
        <w:rPr>
          <w:rFonts w:ascii="Consolas" w:hAnsi="Consolas"/>
          <w:color w:val="303030"/>
          <w:sz w:val="18"/>
        </w:rPr>
        <w:t>lis.blob.core.windows.net/files/1103192.PDF</w:t>
      </w:r>
    </w:p>
    <w:p>
      <w:pPr>
        <w:spacing w:after="60"/>
        <w:ind w:left="432" w:hanging="432"/>
      </w:pPr>
      <w:r>
        <w:rPr>
          <w:b/>
        </w:rPr>
        <w:t>14.</w:t>
        <w:tab/>
      </w:r>
      <w:r>
        <w:t xml:space="preserve">VRS legislation tracking page — </w:t>
      </w:r>
      <w:r>
        <w:rPr>
          <w:rFonts w:ascii="Consolas" w:hAnsi="Consolas"/>
          <w:color w:val="303030"/>
          <w:sz w:val="18"/>
        </w:rPr>
        <w:t>varetire.org/about/legislation/</w:t>
      </w:r>
    </w:p>
    <w:p>
      <w:pPr>
        <w:spacing w:after="60"/>
        <w:ind w:left="432" w:hanging="432"/>
      </w:pPr>
      <w:r>
        <w:rPr>
          <w:b/>
        </w:rPr>
        <w:t>15.</w:t>
        <w:tab/>
      </w:r>
      <w:r>
        <w:t xml:space="preserve">City of Alexandria pensions notice, </w:t>
      </w:r>
      <w:r>
        <w:rPr>
          <w:i/>
        </w:rPr>
        <w:t>VRS Making Changes to Purchase of Prior Service</w:t>
      </w:r>
      <w:r>
        <w:t xml:space="preserve"> (pre-2017 windows: one year for Plan 2/Hybrid, three years for Plan 1; new rules effective January 1, 2017) — </w:t>
      </w:r>
      <w:r>
        <w:rPr>
          <w:rFonts w:ascii="Consolas" w:hAnsi="Consolas"/>
          <w:color w:val="303030"/>
          <w:sz w:val="18"/>
        </w:rPr>
        <w:t>alexandriava.gov/pensions/vrs-making-changes-to-purchase-of-prior-service</w:t>
      </w:r>
    </w:p>
    <w:p>
      <w:r>
        <w:rPr>
          <w:b/>
        </w:rPr>
        <w:t>Committees and members</w:t>
      </w:r>
    </w:p>
    <w:p>
      <w:pPr>
        <w:spacing w:after="60"/>
        <w:ind w:left="432" w:hanging="432"/>
      </w:pPr>
      <w:r>
        <w:rPr>
          <w:b/>
        </w:rPr>
        <w:t>16.</w:t>
        <w:tab/>
      </w:r>
      <w:r>
        <w:t xml:space="preserve">House Appropriations Subcommittee on Compensation and Retirement (H02002), 2026 roster with Askew as chair — </w:t>
      </w:r>
      <w:r>
        <w:rPr>
          <w:rFonts w:ascii="Consolas" w:hAnsi="Consolas"/>
          <w:color w:val="303030"/>
          <w:sz w:val="18"/>
        </w:rPr>
        <w:t>apps.house.virginia.gov/subcommittees/H02002</w:t>
      </w:r>
    </w:p>
    <w:p>
      <w:pPr>
        <w:spacing w:after="60"/>
        <w:ind w:left="432" w:hanging="432"/>
      </w:pPr>
      <w:r>
        <w:rPr>
          <w:b/>
        </w:rPr>
        <w:t>17.</w:t>
        <w:tab/>
      </w:r>
      <w:r>
        <w:t xml:space="preserve">House Appropriations Committee, Compensation and Retirement Subcommittee page (roster; staff Michael Jay; 2026 session meetings) — </w:t>
      </w:r>
      <w:r>
        <w:rPr>
          <w:rFonts w:ascii="Consolas" w:hAnsi="Consolas"/>
          <w:color w:val="303030"/>
          <w:sz w:val="18"/>
        </w:rPr>
        <w:t>hac.virginia.gov/committee-information/compensation-and-retirement-subcommittee/</w:t>
      </w:r>
    </w:p>
    <w:p>
      <w:pPr>
        <w:spacing w:after="60"/>
        <w:ind w:left="432" w:hanging="432"/>
      </w:pPr>
      <w:r>
        <w:rPr>
          <w:b/>
        </w:rPr>
        <w:t>18.</w:t>
        <w:tab/>
      </w:r>
      <w:r>
        <w:t xml:space="preserve">House Appropriations Compensation and Retirement subcommittee agenda, 2025-01-27, with actions and tallies on HB 1705, HB 1933, HB 2315, HB 2447 — </w:t>
      </w:r>
      <w:r>
        <w:rPr>
          <w:rFonts w:ascii="Consolas" w:hAnsi="Consolas"/>
          <w:color w:val="303030"/>
          <w:sz w:val="18"/>
        </w:rPr>
        <w:t>house.vga.virginia.gov/subcommittees/H02002/agendas/4804</w:t>
      </w:r>
    </w:p>
    <w:p>
      <w:pPr>
        <w:spacing w:after="60"/>
        <w:ind w:left="432" w:hanging="432"/>
      </w:pPr>
      <w:r>
        <w:rPr>
          <w:b/>
        </w:rPr>
        <w:t>19.</w:t>
        <w:tab/>
      </w:r>
      <w:r>
        <w:rPr>
          <w:b/>
        </w:rPr>
        <w:t>Senate Finance and Appropriations Committee, 2026 Subcommittee List</w:t>
      </w:r>
      <w:r>
        <w:t xml:space="preserve">, updated 2026-01-20 (six subcommittees, none for compensation and retirement; staff assignments; chair votes on all subcommittees) — </w:t>
      </w:r>
      <w:r>
        <w:rPr>
          <w:rFonts w:ascii="Consolas" w:hAnsi="Consolas"/>
          <w:color w:val="303030"/>
          <w:sz w:val="18"/>
        </w:rPr>
        <w:t>sfac.virginia.gov/pdf/Documents/2026/_2026_Subcommittee%20List.pdf</w:t>
      </w:r>
    </w:p>
    <w:p>
      <w:pPr>
        <w:spacing w:after="60"/>
        <w:ind w:left="432" w:hanging="432"/>
      </w:pPr>
      <w:r>
        <w:rPr>
          <w:b/>
        </w:rPr>
        <w:t>20.</w:t>
        <w:tab/>
      </w:r>
      <w:r>
        <w:t xml:space="preserve">Senate Finance and Appropriations 2026 membership — </w:t>
      </w:r>
      <w:r>
        <w:rPr>
          <w:rFonts w:ascii="Consolas" w:hAnsi="Consolas"/>
          <w:color w:val="303030"/>
          <w:sz w:val="18"/>
        </w:rPr>
        <w:t>sfac.virginia.gov/about.shtml</w:t>
      </w:r>
    </w:p>
    <w:p>
      <w:pPr>
        <w:spacing w:after="60"/>
        <w:ind w:left="432" w:hanging="432"/>
      </w:pPr>
      <w:r>
        <w:rPr>
          <w:b/>
        </w:rPr>
        <w:t>21.</w:t>
        <w:tab/>
      </w:r>
      <w:r>
        <w:t xml:space="preserve">Contemporaneous coverage of the 2026 Compensation and Retirement subcommittee docket (HB 56 tabled 7-0; HB 162 tabled 7-0; HB 473 reported 7-0; HB 645 PBI 6-1; HB 659 tabled 5-2; HB 1107 tabled 5-2; HB 1267 substitute accepted then tabled after broad supportive testimony) — citizenportal.ai articles 7367178 and 7367183. </w:t>
      </w:r>
      <w:r>
        <w:rPr>
          <w:i/>
        </w:rPr>
        <w:t>Secondary source; tallies should be confirmed against LIS before use in a filed document.</w:t>
      </w:r>
    </w:p>
    <w:p>
      <w:r>
        <w:rPr>
          <w:b/>
        </w:rPr>
        <w:t>Local government</w:t>
      </w:r>
    </w:p>
    <w:p>
      <w:pPr>
        <w:spacing w:after="60"/>
        <w:ind w:left="432" w:hanging="432"/>
      </w:pPr>
      <w:r>
        <w:rPr>
          <w:b/>
        </w:rPr>
        <w:t>22.</w:t>
        <w:tab/>
      </w:r>
      <w:r>
        <w:rPr>
          <w:b/>
        </w:rPr>
        <w:t>VACo, 2027 Preliminary Legislative Program</w:t>
      </w:r>
      <w:r>
        <w:t xml:space="preserve">, released 2026-10-09 — Unfunded Mandates priority (lines 740–748); Legislation with Local Fiscal Impact / Commission on Local Government mandate review (lines 671–677); </w:t>
      </w:r>
      <w:r>
        <w:rPr>
          <w:b/>
        </w:rPr>
        <w:t>no retirement, VRS, pension or veteran position</w:t>
      </w:r>
      <w:r>
        <w:t xml:space="preserve"> — </w:t>
      </w:r>
      <w:r>
        <w:rPr>
          <w:rFonts w:ascii="Consolas" w:hAnsi="Consolas"/>
          <w:color w:val="303030"/>
          <w:sz w:val="18"/>
        </w:rPr>
        <w:t>vaco.org/wp-content/uploads/2026/10/2027PreliminaryLegislativeProgram.pdf</w:t>
      </w:r>
    </w:p>
    <w:p>
      <w:pPr>
        <w:spacing w:after="60"/>
        <w:ind w:left="432" w:hanging="432"/>
      </w:pPr>
      <w:r>
        <w:rPr>
          <w:b/>
        </w:rPr>
        <w:t>23.</w:t>
        <w:tab/>
      </w:r>
      <w:r>
        <w:t xml:space="preserve">VACo, </w:t>
      </w:r>
      <w:r>
        <w:rPr>
          <w:i/>
        </w:rPr>
        <w:t>VACo Releases Its 2027 Preliminary Legislative Program</w:t>
      </w:r>
      <w:r>
        <w:t>, 2026-10-09, with adoption schedule (steering committees 2026-11-08; Resolutions Committee 11-09; membership 11-10)</w:t>
      </w:r>
    </w:p>
    <w:p>
      <w:pPr>
        <w:spacing w:after="60"/>
        <w:ind w:left="432" w:hanging="432"/>
      </w:pPr>
      <w:r>
        <w:rPr>
          <w:b/>
        </w:rPr>
        <w:t>24.</w:t>
        <w:tab/>
      </w:r>
      <w:r>
        <w:rPr>
          <w:b/>
        </w:rPr>
        <w:t>VML, 2027 Legislative Program</w:t>
      </w:r>
      <w:r>
        <w:t xml:space="preserve">, approved 2026-10-12 — general mandate-funding language; </w:t>
      </w:r>
      <w:r>
        <w:rPr>
          <w:b/>
        </w:rPr>
        <w:t>no retirement, VRS, pension or veteran position</w:t>
      </w:r>
      <w:r>
        <w:t xml:space="preserve"> — </w:t>
      </w:r>
      <w:r>
        <w:rPr>
          <w:rFonts w:ascii="Consolas" w:hAnsi="Consolas"/>
          <w:color w:val="303030"/>
          <w:sz w:val="18"/>
        </w:rPr>
        <w:t>vml.org/Portals/0/GA-docs/27GA/</w:t>
      </w:r>
    </w:p>
    <w:p>
      <w:pPr>
        <w:spacing w:after="60"/>
        <w:ind w:left="432" w:hanging="432"/>
      </w:pPr>
      <w:r>
        <w:rPr>
          <w:b/>
        </w:rPr>
        <w:t>25.</w:t>
        <w:tab/>
      </w:r>
      <w:r>
        <w:t xml:space="preserve">VACo, </w:t>
      </w:r>
      <w:r>
        <w:rPr>
          <w:i/>
        </w:rPr>
        <w:t>Bills Allowing Local Governments to Offer Enhanced Retirement Benefits for 911 Dispatchers and Others Continued to 2025</w:t>
      </w:r>
      <w:r>
        <w:t xml:space="preserve">, 2024-02-13 — VACo "testified to thank those groups and the bill patrons who ensured that these bills </w:t>
      </w:r>
      <w:r>
        <w:rPr>
          <w:b/>
        </w:rPr>
        <w:t>remained a local option and not an unfunded mandate</w:t>
      </w:r>
      <w:r>
        <w:t>"; SB 328 and SB 472 continued to 2025 by SFAC 12-3 on 2024-02-06</w:t>
      </w:r>
    </w:p>
    <w:p>
      <w:pPr>
        <w:spacing w:after="60"/>
        <w:ind w:left="432" w:hanging="432"/>
      </w:pPr>
      <w:r>
        <w:rPr>
          <w:b/>
        </w:rPr>
        <w:t>26.</w:t>
        <w:tab/>
      </w:r>
      <w:r>
        <w:t xml:space="preserve">VACo, </w:t>
      </w:r>
      <w:r>
        <w:rPr>
          <w:i/>
        </w:rPr>
        <w:t>VRS Approves FY 2027-2028 Employer Contribution Rates for Participating Political Subdivisions</w:t>
      </w:r>
      <w:r>
        <w:t xml:space="preserve"> (average political-subdivision DB rates 4.98% / 12.32%)</w:t>
      </w:r>
    </w:p>
    <w:p>
      <w:pPr>
        <w:spacing w:after="60"/>
        <w:ind w:left="432" w:hanging="432"/>
      </w:pPr>
      <w:r>
        <w:rPr>
          <w:b/>
        </w:rPr>
        <w:t>27.</w:t>
        <w:tab/>
      </w:r>
      <w:r>
        <w:t xml:space="preserve">DHCD / Commission on Local Government, </w:t>
      </w:r>
      <w:r>
        <w:rPr>
          <w:i/>
        </w:rPr>
        <w:t>Fiscal Impact Review</w:t>
      </w:r>
      <w:r>
        <w:t xml:space="preserve"> and </w:t>
      </w:r>
      <w:r>
        <w:rPr>
          <w:i/>
        </w:rPr>
        <w:t>Agency Assessment of Mandates on Local Government</w:t>
      </w:r>
      <w:r>
        <w:t xml:space="preserve">; </w:t>
      </w:r>
      <w:r>
        <w:rPr>
          <w:i/>
        </w:rPr>
        <w:t>2025 Catalog of State and Federal Mandates on Local Governments</w:t>
      </w:r>
      <w:r>
        <w:t xml:space="preserve"> (RD336, published 2026)</w:t>
      </w:r>
    </w:p>
    <w:p>
      <w:pPr>
        <w:spacing w:after="60"/>
        <w:ind w:left="432" w:hanging="432"/>
      </w:pPr>
      <w:r>
        <w:rPr>
          <w:b/>
        </w:rPr>
        <w:t>28.</w:t>
        <w:tab/>
      </w:r>
      <w:r>
        <w:t xml:space="preserve">Fairfax County, </w:t>
      </w:r>
      <w:r>
        <w:rPr>
          <w:i/>
        </w:rPr>
        <w:t>2027 Draft Legislative Program</w:t>
      </w:r>
      <w:r>
        <w:t>, Board of Supervisors 2026-10-06</w:t>
      </w:r>
    </w:p>
    <w:p>
      <w:r>
        <w:rPr>
          <w:b/>
        </w:rPr>
        <w:t>Veterans and employees</w:t>
      </w:r>
    </w:p>
    <w:p>
      <w:pPr>
        <w:spacing w:after="60"/>
        <w:ind w:left="432" w:hanging="432"/>
      </w:pPr>
      <w:r>
        <w:rPr>
          <w:b/>
        </w:rPr>
        <w:t>29.</w:t>
        <w:tab/>
      </w:r>
      <w:r>
        <w:rPr>
          <w:b/>
        </w:rPr>
        <w:t>JLC Legislative Committee, Draft Meeting Minutes, 2025-04-23</w:t>
      </w:r>
      <w:r>
        <w:t xml:space="preserve"> (Virginia War Memorial) — attendance by member organisation; seventeen initiatives reduced to nine forwarded to the full JLC on June 18; the nine, verbatim; the six letters forwarded; Commissioner Zingler's remarks on transitioning service members — </w:t>
      </w:r>
      <w:r>
        <w:rPr>
          <w:rFonts w:ascii="Consolas" w:hAnsi="Consolas"/>
          <w:color w:val="303030"/>
          <w:sz w:val="18"/>
        </w:rPr>
        <w:t>commonwealthcalendar.virginia.gov/File/Index/76109</w:t>
      </w:r>
    </w:p>
    <w:p>
      <w:pPr>
        <w:spacing w:after="60"/>
        <w:ind w:left="432" w:hanging="432"/>
      </w:pPr>
      <w:r>
        <w:rPr>
          <w:b/>
        </w:rPr>
        <w:t>30.</w:t>
        <w:tab/>
      </w:r>
      <w:r>
        <w:t xml:space="preserve">DVS, </w:t>
      </w:r>
      <w:r>
        <w:rPr>
          <w:i/>
        </w:rPr>
        <w:t>Joint Leadership Council of Veterans Service Organizations</w:t>
      </w:r>
      <w:r>
        <w:t xml:space="preserve"> page — </w:t>
      </w:r>
      <w:r>
        <w:rPr>
          <w:b/>
        </w:rPr>
        <w:t>HTTP 403, not retrieved</w:t>
      </w:r>
      <w:r>
        <w:t xml:space="preserve"> (see U-1). Re-attempted 2026-10-25 with a browser user agent; still 403, so this is bot filtering rather than a dead page, and a person with a browser can retrieve it.</w:t>
      </w:r>
    </w:p>
    <w:p>
      <w:pPr>
        <w:spacing w:after="60"/>
        <w:ind w:left="432" w:hanging="432"/>
      </w:pPr>
      <w:r>
        <w:rPr>
          <w:b/>
        </w:rPr>
        <w:t>31.</w:t>
        <w:tab/>
      </w:r>
      <w:r>
        <w:t xml:space="preserve">JLC 2026 adopted initiatives, JLC 2026-01 through 2026-06 — identified via DVS eNews bulletins; </w:t>
      </w:r>
      <w:r>
        <w:rPr>
          <w:b/>
        </w:rPr>
        <w:t>not independently retrieved in primary form</w:t>
      </w:r>
    </w:p>
    <w:p>
      <w:r>
        <w:rPr>
          <w:b/>
        </w:rPr>
        <w:t>Added in v1.1 — the JLC 2027 cycle</w:t>
      </w:r>
      <w:r>
        <w:t xml:space="preserve"> (all retrieved 2026-10-25; the Commonwealth Calendar event records and their attachments were reached through the calendar's own keyword search for "Joint Leadership Council" over 2026)</w:t>
      </w:r>
    </w:p>
    <w:p>
      <w:pPr>
        <w:spacing w:after="60"/>
        <w:ind w:left="432" w:hanging="432"/>
      </w:pPr>
      <w:r>
        <w:rPr>
          <w:b/>
        </w:rPr>
        <w:t>41.</w:t>
        <w:tab/>
      </w:r>
      <w:r>
        <w:rPr>
          <w:b/>
        </w:rPr>
        <w:t>JLC draft agenda, 2026-03-17</w:t>
      </w:r>
      <w:r>
        <w:t xml:space="preserve"> (James Monroe Building) — "After Action Review of JLC Initiatives for 2026 General Assembly"; </w:t>
      </w:r>
      <w:r>
        <w:rPr>
          <w:b/>
        </w:rPr>
        <w:t>"Initial plan/discussion for 2027 Initiatives — Glenn Yarborough, Legislative Officer"</w:t>
      </w:r>
      <w:r>
        <w:t xml:space="preserve">; Timothy Williams as Secretary of Veterans and Defense Affairs, Lesley Kipling as Deputy Secretary, </w:t>
      </w:r>
      <w:r>
        <w:rPr>
          <w:b/>
        </w:rPr>
        <w:t>John Maxwell as DVS Commissioner</w:t>
      </w:r>
      <w:r>
        <w:t xml:space="preserve">; approval of the 2025-12-19 minutes; Nominating Committee report on 2026-2027 elected officers — </w:t>
      </w:r>
      <w:r>
        <w:rPr>
          <w:rFonts w:ascii="Consolas" w:hAnsi="Consolas"/>
          <w:color w:val="303030"/>
          <w:sz w:val="18"/>
        </w:rPr>
        <w:t>commonwealthcalendar.virginia.gov/File/Index/81942</w:t>
      </w:r>
      <w:r>
        <w:t xml:space="preserve"> (event 76649)</w:t>
      </w:r>
    </w:p>
    <w:p>
      <w:pPr>
        <w:spacing w:after="60"/>
        <w:ind w:left="432" w:hanging="432"/>
      </w:pPr>
      <w:r>
        <w:rPr>
          <w:b/>
        </w:rPr>
        <w:t>42.</w:t>
        <w:tab/>
      </w:r>
      <w:r>
        <w:rPr>
          <w:b/>
        </w:rPr>
        <w:t>JLC Legislative Committee agenda, 2026-04-14</w:t>
      </w:r>
      <w:r>
        <w:t xml:space="preserve">, 1000–1200, Schumann Conference Room, Virginia War Memorial — "Item VII. Discussion of Initiatives"; </w:t>
      </w:r>
      <w:r>
        <w:rPr>
          <w:b/>
        </w:rPr>
        <w:t>"Item VIII. Summary. Legislative Chair discussion of initiatives to be discussed with DVS and with GAMVC members"</w:t>
      </w:r>
      <w:r>
        <w:t xml:space="preserve">; Glenn Yarborough as Legislative Chair — </w:t>
      </w:r>
      <w:r>
        <w:rPr>
          <w:rFonts w:ascii="Consolas" w:hAnsi="Consolas"/>
          <w:color w:val="303030"/>
          <w:sz w:val="18"/>
        </w:rPr>
        <w:t>commonwealthcalendar.virginia.gov/File/Index/82386</w:t>
      </w:r>
      <w:r>
        <w:t xml:space="preserve"> (event 77111)</w:t>
      </w:r>
    </w:p>
    <w:p>
      <w:pPr>
        <w:spacing w:after="60"/>
        <w:ind w:left="432" w:hanging="432"/>
      </w:pPr>
      <w:r>
        <w:rPr>
          <w:b/>
        </w:rPr>
        <w:t>43.</w:t>
        <w:tab/>
      </w:r>
      <w:r>
        <w:rPr>
          <w:b/>
        </w:rPr>
        <w:t>JLC draft agenda, 2026-06-10</w:t>
      </w:r>
      <w:r>
        <w:t xml:space="preserve"> — "IX. Review of 2026 Legislative Initiatives — Glenn Yarborough, JLC Legislative Officer (10:50–11:35)"; Bill Aramony still in the chair — </w:t>
      </w:r>
      <w:r>
        <w:rPr>
          <w:rFonts w:ascii="Consolas" w:hAnsi="Consolas"/>
          <w:color w:val="303030"/>
          <w:sz w:val="18"/>
        </w:rPr>
        <w:t>commonwealthcalendar.virginia.gov/File/Index/83157</w:t>
      </w:r>
      <w:r>
        <w:t xml:space="preserve"> (event 76651)</w:t>
      </w:r>
    </w:p>
    <w:p>
      <w:pPr>
        <w:spacing w:after="60"/>
        <w:ind w:left="432" w:hanging="432"/>
      </w:pPr>
      <w:r>
        <w:rPr>
          <w:b/>
        </w:rPr>
        <w:t>44.</w:t>
        <w:tab/>
      </w:r>
      <w:r>
        <w:rPr>
          <w:b/>
        </w:rPr>
        <w:t>JLC draft agenda, 2026-09-16</w:t>
      </w:r>
      <w:r>
        <w:t xml:space="preserve"> — </w:t>
      </w:r>
      <w:r>
        <w:rPr>
          <w:b/>
        </w:rPr>
        <w:t>"Review of 2027 Legislative Initiatives — Katherine Martinez, JLC Chair (11:10–11:50)"</w:t>
      </w:r>
      <w:r>
        <w:t xml:space="preserve">; Martinez in the chair; John Maxwell as Commissioner; "JLC Day on the Hill Discussion" under New Business — </w:t>
      </w:r>
      <w:r>
        <w:rPr>
          <w:rFonts w:ascii="Consolas" w:hAnsi="Consolas"/>
          <w:color w:val="303030"/>
          <w:sz w:val="18"/>
        </w:rPr>
        <w:t>commonwealthcalendar.virginia.gov/File/Index/84114</w:t>
      </w:r>
      <w:r>
        <w:t xml:space="preserve"> (events 76653 and 78522; identical document) — </w:t>
      </w:r>
      <w:r>
        <w:rPr>
          <w:b/>
        </w:rPr>
        <w:t>minutes not posted as of retrieval</w:t>
      </w:r>
    </w:p>
    <w:p>
      <w:pPr>
        <w:spacing w:after="60"/>
        <w:ind w:left="432" w:hanging="432"/>
      </w:pPr>
      <w:r>
        <w:rPr>
          <w:b/>
        </w:rPr>
        <w:t>45.</w:t>
        <w:tab/>
      </w:r>
      <w:r>
        <w:rPr>
          <w:b/>
        </w:rPr>
        <w:t>JLC board meeting event record, 2026-12-17</w:t>
      </w:r>
      <w:r>
        <w:t xml:space="preserve">, 10:00 AM–12:00 PM, 621 South Belvidere Street, Richmond, sponsored by DVS — </w:t>
      </w:r>
      <w:r>
        <w:rPr>
          <w:b/>
        </w:rPr>
        <w:t>no agenda or materials posted as of retrieval</w:t>
      </w:r>
      <w:r>
        <w:t xml:space="preserve"> — </w:t>
      </w:r>
      <w:r>
        <w:rPr>
          <w:rFonts w:ascii="Consolas" w:hAnsi="Consolas"/>
          <w:color w:val="303030"/>
          <w:sz w:val="18"/>
        </w:rPr>
        <w:t>commonwealthcalendar.virginia.gov/Event/Details/76654</w:t>
      </w:r>
      <w:r>
        <w:t xml:space="preserve"> (duplicate listing 76657)</w:t>
      </w:r>
    </w:p>
    <w:p>
      <w:pPr>
        <w:spacing w:after="60"/>
        <w:ind w:left="432" w:hanging="432"/>
      </w:pPr>
      <w:r>
        <w:rPr>
          <w:b/>
        </w:rPr>
        <w:t>46.</w:t>
        <w:tab/>
      </w:r>
      <w:r>
        <w:rPr>
          <w:b/>
        </w:rPr>
        <w:t xml:space="preserve">JLC minutes, 2019-12-18, Attachment 4: </w:t>
      </w:r>
      <w:r>
        <w:rPr>
          <w:b/>
          <w:i/>
        </w:rPr>
        <w:t>JLC 2020 Work Plan</w:t>
      </w:r>
      <w:r>
        <w:t xml:space="preserve"> — the full annual cycle: spring call for initiatives; "NLT Monday, June 15 — JLC members submit potential initiatives, with draft papers preferably in JLC format"; summer meeting, "Sponsors of each potential … Initiative present to JLC. Each initiative is voted on to either continue forward or be rejected"; member feedback NLT September 15; fall meeting, "Final Review … Adopt and prioritize"; "November 1 — JLC Chairman submits Annual Report to DVS Commissioner and BVS Chairman"; </w:t>
      </w:r>
      <w:r>
        <w:rPr>
          <w:b/>
        </w:rPr>
        <w:t>December meeting, "Review and approve any additional … Initiatives that were not voted on in October," "Review list of approved General Assembly Patrons," "Adopt … Work Plan"</w:t>
      </w:r>
      <w:r>
        <w:t xml:space="preserve"> — </w:t>
      </w:r>
      <w:r>
        <w:rPr>
          <w:rFonts w:ascii="Consolas" w:hAnsi="Consolas"/>
          <w:color w:val="303030"/>
          <w:sz w:val="18"/>
        </w:rPr>
        <w:t>commonwealthcalendar.virginia.gov/File/Index/17796</w:t>
      </w:r>
      <w:r>
        <w:t xml:space="preserve">. </w:t>
      </w:r>
      <w:r>
        <w:rPr>
          <w:b/>
        </w:rPr>
        <w:t>This is the 2020 Work Plan, not the current one (U-8).</w:t>
      </w:r>
    </w:p>
    <w:p>
      <w:pPr>
        <w:spacing w:after="60"/>
        <w:ind w:left="432" w:hanging="432"/>
      </w:pPr>
      <w:r>
        <w:rPr>
          <w:b/>
        </w:rPr>
        <w:t>47.</w:t>
        <w:tab/>
      </w:r>
      <w:r>
        <w:rPr>
          <w:b/>
        </w:rPr>
        <w:t xml:space="preserve">JLC minutes, 2019-12-18, Item: </w:t>
      </w:r>
      <w:r>
        <w:rPr>
          <w:b/>
          <w:i/>
        </w:rPr>
        <w:t>Report on Military Service as Credit for Teachers</w:t>
      </w:r>
      <w:r>
        <w:t xml:space="preserve"> (William &amp; Mary MPP students) — Maryland and Florida districts give up to three years' credit for military service; Virginia Beach and Chesterfield up to two, "but it is not state-wide"; nine named localities costed for "the maximum cost of hiring a new veteran teacher with five years creditable military service"; VEA cited for the $1,930 Grade 0–Grade 5 salary gap; recommendation to "[r]equest collection of veteran data by the Virginia Department of Education"; DVS working the matter with the Deputy Secretary for K-12 Education — same document as source 46. </w:t>
      </w:r>
      <w:r>
        <w:rPr>
          <w:b/>
        </w:rPr>
        <w:t>Salary-scale credit, not § 51.1-142.2 creditable service.</w:t>
      </w:r>
    </w:p>
    <w:p>
      <w:pPr>
        <w:spacing w:after="60"/>
        <w:ind w:left="432" w:hanging="432"/>
      </w:pPr>
      <w:r>
        <w:rPr>
          <w:b/>
        </w:rPr>
        <w:t>48.</w:t>
        <w:tab/>
      </w:r>
      <w:r>
        <w:rPr>
          <w:b/>
        </w:rPr>
        <w:t>DVS, Commissioner's 2025 Annual Report</w:t>
      </w:r>
      <w:r>
        <w:t xml:space="preserve"> (RD986, 2025), pp. 26–27 and Appendix J — JLC composition (27 VSOs); the 2025-session advocacy record; the 2025-2026 priority proposals in prose; </w:t>
      </w:r>
      <w:r>
        <w:rPr>
          <w:b/>
        </w:rPr>
        <w:t>"JLC works closely with legislators, including Delegates and Senators on the bi-partisan General Assembly Military and Veterans Caucus (GAMVC)"</w:t>
      </w:r>
      <w:r>
        <w:t xml:space="preserve">; </w:t>
      </w:r>
      <w:r>
        <w:rPr>
          <w:b/>
        </w:rPr>
        <w:t>"January 15, 2026 is JLC Day on the Hill"</w:t>
      </w:r>
      <w:r>
        <w:t xml:space="preserve">; Zingler signing as Commissioner and Aramony as JLC Chair; § 2.2-2682 powers and duties — </w:t>
      </w:r>
      <w:r>
        <w:rPr>
          <w:rFonts w:ascii="Consolas" w:hAnsi="Consolas"/>
          <w:color w:val="303030"/>
          <w:sz w:val="18"/>
        </w:rPr>
        <w:t>rga.lis.virginia.gov/Published/2025/RD986/PDF</w:t>
      </w:r>
    </w:p>
    <w:p>
      <w:pPr>
        <w:spacing w:after="60"/>
        <w:ind w:left="432" w:hanging="432"/>
      </w:pPr>
      <w:r>
        <w:rPr>
          <w:b/>
        </w:rPr>
        <w:t>49.</w:t>
        <w:tab/>
      </w:r>
      <w:r>
        <w:rPr>
          <w:b/>
        </w:rPr>
        <w:t>Constitution of Virginia, Art. IV, § 6</w:t>
      </w:r>
      <w:r>
        <w:t xml:space="preserve"> — "no regular session … convened in an odd-numbered year shall continue longer than thirty days; but with the concurrence of two-thirds of the members elected to each house, any regular session may be extended." </w:t>
      </w:r>
      <w:r>
        <w:rPr>
          <w:b/>
        </w:rPr>
        <w:t>2027 is a short session</w:t>
      </w:r>
      <w:r>
        <w:t xml:space="preserve"> — the basis for the calendar-survival argument in § 11 — </w:t>
      </w:r>
      <w:r>
        <w:rPr>
          <w:rFonts w:ascii="Consolas" w:hAnsi="Consolas"/>
          <w:color w:val="303030"/>
          <w:sz w:val="18"/>
        </w:rPr>
        <w:t>law.lis.virginia.gov/constitution/article4/section6/</w:t>
      </w:r>
    </w:p>
    <w:p>
      <w:pPr>
        <w:spacing w:after="60"/>
        <w:ind w:left="432" w:hanging="432"/>
      </w:pPr>
      <w:r>
        <w:rPr>
          <w:b/>
        </w:rPr>
        <w:t>32.</w:t>
        <w:tab/>
      </w:r>
      <w:r>
        <w:t xml:space="preserve">VEA, </w:t>
      </w:r>
      <w:r>
        <w:rPr>
          <w:i/>
        </w:rPr>
        <w:t>Legislative Agenda</w:t>
      </w:r>
      <w:r>
        <w:t xml:space="preserve"> (most recent published version located is 2024) — VEA opposes measures that "undermine or reduce the health or retirement benefits of school personnel" — </w:t>
      </w:r>
      <w:r>
        <w:rPr>
          <w:rFonts w:ascii="Consolas" w:hAnsi="Consolas"/>
          <w:color w:val="303030"/>
          <w:sz w:val="18"/>
        </w:rPr>
        <w:t>veanea.org/take-action/legislation-policy/legislative-agenda/</w:t>
      </w:r>
    </w:p>
    <w:p>
      <w:pPr>
        <w:spacing w:after="60"/>
        <w:ind w:left="432" w:hanging="432"/>
      </w:pPr>
      <w:r>
        <w:rPr>
          <w:b/>
        </w:rPr>
        <w:t>33.</w:t>
        <w:tab/>
      </w:r>
      <w:r>
        <w:t xml:space="preserve">VGEA, </w:t>
      </w:r>
      <w:r>
        <w:rPr>
          <w:i/>
        </w:rPr>
        <w:t>Advocacy</w:t>
      </w:r>
      <w:r>
        <w:t xml:space="preserve">, </w:t>
      </w:r>
      <w:r>
        <w:rPr>
          <w:i/>
        </w:rPr>
        <w:t>The VGEA's Commitment to Retirees</w:t>
      </w:r>
      <w:r>
        <w:t xml:space="preserve">, and </w:t>
      </w:r>
      <w:r>
        <w:rPr>
          <w:i/>
        </w:rPr>
        <w:t>Legislation Tracker</w:t>
      </w:r>
      <w:r>
        <w:t xml:space="preserve"> — retiree COLA and Hybrid Plan adequacy priorities; JLARC partnership — </w:t>
      </w:r>
      <w:r>
        <w:rPr>
          <w:rFonts w:ascii="Consolas" w:hAnsi="Consolas"/>
          <w:color w:val="303030"/>
          <w:sz w:val="18"/>
        </w:rPr>
        <w:t>vgea.org</w:t>
      </w:r>
    </w:p>
    <w:p>
      <w:r>
        <w:rPr>
          <w:b/>
        </w:rPr>
        <w:t>Workforce</w:t>
      </w:r>
    </w:p>
    <w:p>
      <w:pPr>
        <w:spacing w:after="60"/>
        <w:ind w:left="432" w:hanging="432"/>
      </w:pPr>
      <w:r>
        <w:rPr>
          <w:b/>
        </w:rPr>
        <w:t>34.</w:t>
        <w:tab/>
      </w:r>
      <w:r>
        <w:rPr>
          <w:b/>
        </w:rPr>
        <w:t>DHRM, State Employee Workforce, Compensation, Health Benefits Update</w:t>
      </w:r>
      <w:r>
        <w:t xml:space="preserve">, presented to the Senate Finance &amp; Appropriations General Government Subcommittee, 2026-02-03 — 107,258 classified FTE; veteran status 6% / 25% / </w:t>
      </w:r>
      <w:r>
        <w:rPr>
          <w:b/>
        </w:rPr>
        <w:t>69% unknown</w:t>
      </w:r>
      <w:r>
        <w:t xml:space="preserve">; average age 46.1, average service 8.5 years, </w:t>
      </w:r>
      <w:r>
        <w:rPr>
          <w:b/>
        </w:rPr>
        <w:t>average age of new hires 39.1 years</w:t>
      </w:r>
      <w:r>
        <w:t xml:space="preserve">; FY25 vacancy 13.0%, turnover 12.8%, probationary turnover 25.6%, time to hire 68 days; key message on first-five-year voluntary resignations — </w:t>
      </w:r>
      <w:r>
        <w:rPr>
          <w:rFonts w:ascii="Consolas" w:hAnsi="Consolas"/>
          <w:color w:val="303030"/>
          <w:sz w:val="18"/>
        </w:rPr>
        <w:t>sfac.virginia.gov/pdf/General%20Gov/2026/02032026_No1_DHRM%20Workforce%20Update.pdf</w:t>
      </w:r>
    </w:p>
    <w:p>
      <w:pPr>
        <w:spacing w:after="60"/>
        <w:ind w:left="432" w:hanging="432"/>
      </w:pPr>
      <w:r>
        <w:rPr>
          <w:b/>
        </w:rPr>
        <w:t>35.</w:t>
        <w:tab/>
      </w:r>
      <w:r>
        <w:t xml:space="preserve">DHRM, </w:t>
      </w:r>
      <w:r>
        <w:rPr>
          <w:i/>
        </w:rPr>
        <w:t>Veteran Percentage by Agency</w:t>
      </w:r>
      <w:r>
        <w:t xml:space="preserve"> — </w:t>
      </w:r>
      <w:r>
        <w:rPr>
          <w:rFonts w:ascii="Consolas" w:hAnsi="Consolas"/>
          <w:color w:val="303030"/>
          <w:sz w:val="18"/>
        </w:rPr>
        <w:t>dhrm.virginia.gov/docs/default-source/talent-acquisition-resources/veteranpercentagebyagency.pdf</w:t>
      </w:r>
    </w:p>
    <w:p>
      <w:r>
        <w:rPr>
          <w:b/>
        </w:rPr>
        <w:t>Other states</w:t>
      </w:r>
    </w:p>
    <w:p>
      <w:pPr>
        <w:spacing w:after="60"/>
        <w:ind w:left="432" w:hanging="432"/>
      </w:pPr>
      <w:r>
        <w:rPr>
          <w:b/>
        </w:rPr>
        <w:t>36.</w:t>
        <w:tab/>
      </w:r>
      <w:r>
        <w:t xml:space="preserve">Massachusetts Teachers' Retirement System, </w:t>
      </w:r>
      <w:r>
        <w:rPr>
          <w:i/>
        </w:rPr>
        <w:t>Important update to military service purchase eligibility</w:t>
      </w:r>
      <w:r>
        <w:t xml:space="preserve"> (HERO Act, </w:t>
      </w:r>
      <w:r>
        <w:rPr>
          <w:b/>
        </w:rPr>
        <w:t>Chapter 178 of the Acts of 2024</w:t>
      </w:r>
      <w:r>
        <w:t xml:space="preserve">, signed 2024-08-08; new deadline one year after 10 years of creditable service or 2025-08-08, whichever is later) — </w:t>
      </w:r>
      <w:r>
        <w:rPr>
          <w:rFonts w:ascii="Consolas" w:hAnsi="Consolas"/>
          <w:color w:val="303030"/>
          <w:sz w:val="18"/>
        </w:rPr>
        <w:t>mtrs.state.ma.us/hero/</w:t>
      </w:r>
      <w:r>
        <w:t>; the repeal of the 180-day limitation in effect since 1996 is attributed to § 52 of that act</w:t>
      </w:r>
    </w:p>
    <w:p>
      <w:pPr>
        <w:spacing w:after="60"/>
        <w:ind w:left="432" w:hanging="432"/>
      </w:pPr>
      <w:r>
        <w:rPr>
          <w:b/>
        </w:rPr>
        <w:t>37.</w:t>
        <w:tab/>
      </w:r>
      <w:r>
        <w:rPr>
          <w:b/>
        </w:rPr>
        <w:t>Ohio Rev. Code § 145.301</w:t>
      </w:r>
      <w:r>
        <w:t xml:space="preserve"> — "may be purchased at any time prior to receipt of a retirement allowance"; max five years; not less than 50% of additional liability (armed forces), 100% (reserve/Guard) — </w:t>
      </w:r>
      <w:r>
        <w:rPr>
          <w:rFonts w:ascii="Consolas" w:hAnsi="Consolas"/>
          <w:color w:val="303030"/>
          <w:sz w:val="18"/>
        </w:rPr>
        <w:t>codes.ohio.gov/ohio-revised-code/section-145.301</w:t>
      </w:r>
    </w:p>
    <w:p>
      <w:pPr>
        <w:spacing w:after="60"/>
        <w:ind w:left="432" w:hanging="432"/>
      </w:pPr>
      <w:r>
        <w:rPr>
          <w:b/>
        </w:rPr>
        <w:t>38.</w:t>
        <w:tab/>
      </w:r>
      <w:r>
        <w:rPr>
          <w:b/>
        </w:rPr>
        <w:t>N.Y. Ret. &amp; Soc. Sec. Law § 1000</w:t>
      </w:r>
      <w:r>
        <w:t xml:space="preserve"> — five years credited service to be eligible; max three years; 3% (6% for post-April 1, 2012 members) of prior twelve months' compensation; "All costs… other than the member costs… shall be paid by the state and all employers"; "must make application for such credit </w:t>
      </w:r>
      <w:r>
        <w:rPr>
          <w:b/>
        </w:rPr>
        <w:t>before the effective date of retirement</w:t>
      </w:r>
      <w:r>
        <w:t xml:space="preserve">" — </w:t>
      </w:r>
      <w:r>
        <w:rPr>
          <w:rFonts w:ascii="Consolas" w:hAnsi="Consolas"/>
          <w:color w:val="303030"/>
          <w:sz w:val="18"/>
        </w:rPr>
        <w:t>newyork.public.law/laws/n.y._retirement_and_social_security_law_section_1000</w:t>
      </w:r>
    </w:p>
    <w:p>
      <w:pPr>
        <w:spacing w:after="60"/>
        <w:ind w:left="432" w:hanging="432"/>
      </w:pPr>
      <w:r>
        <w:rPr>
          <w:b/>
        </w:rPr>
        <w:t>39.</w:t>
        <w:tab/>
      </w:r>
      <w:r>
        <w:rPr>
          <w:b/>
        </w:rPr>
        <w:t>71 Pa.C.S. § 5304</w:t>
      </w:r>
      <w:r>
        <w:t xml:space="preserve"> — nonintervening military service, max five years, no application deadline; one-year election window applied only to a narrow unrelated category — </w:t>
      </w:r>
      <w:r>
        <w:rPr>
          <w:rFonts w:ascii="Consolas" w:hAnsi="Consolas"/>
          <w:color w:val="303030"/>
          <w:sz w:val="18"/>
        </w:rPr>
        <w:t>codes.findlaw.com/pa/title-71-pacsa-state-government/pa-csa-sect-71-5304/</w:t>
      </w:r>
      <w:r>
        <w:t xml:space="preserve">; PSERS </w:t>
      </w:r>
      <w:r>
        <w:rPr>
          <w:i/>
        </w:rPr>
        <w:t>Purchasing Service Credit</w:t>
      </w:r>
      <w:r>
        <w:t xml:space="preserve"> (three years of credited school service following the military service)</w:t>
      </w:r>
    </w:p>
    <w:p>
      <w:pPr>
        <w:spacing w:after="60"/>
        <w:ind w:left="432" w:hanging="432"/>
      </w:pPr>
      <w:r>
        <w:rPr>
          <w:b/>
        </w:rPr>
        <w:t>40.</w:t>
        <w:tab/>
      </w:r>
      <w:r>
        <w:t xml:space="preserve">Texas ERS and TRS member notices on purchasing military and refunded service credit (interest accrual from first eligibility; "buy by Aug. 31 to avoid a cost increase") — </w:t>
      </w:r>
      <w:r>
        <w:rPr>
          <w:rFonts w:ascii="Consolas" w:hAnsi="Consolas"/>
          <w:color w:val="303030"/>
          <w:sz w:val="18"/>
        </w:rPr>
        <w:t>ers.texas.gov/news/</w:t>
      </w:r>
      <w:r>
        <w:t xml:space="preserve">; </w:t>
      </w:r>
      <w:r>
        <w:rPr>
          <w:rFonts w:ascii="Consolas" w:hAnsi="Consolas"/>
          <w:color w:val="303030"/>
          <w:sz w:val="18"/>
        </w:rPr>
        <w:t>trs.texas.gov</w:t>
      </w:r>
    </w:p>
    <w:p>
      <w:pPr>
        <w:jc w:val="center"/>
      </w:pPr>
      <w:r>
        <w:rPr>
          <w:color w:val="909090"/>
          <w:sz w:val="18"/>
        </w:rPr>
        <w:t>* * *</w:t>
      </w:r>
    </w:p>
    <w:p>
      <w:pPr>
        <w:pStyle w:val="Heading2"/>
      </w:pPr>
      <w:r>
        <w:t>11. Handoffs</w:t>
      </w:r>
    </w:p>
    <w:tbl>
      <w:tblPr>
        <w:tblStyle w:val="TableGrid"/>
        <w:tblW w:type="auto" w:w="0"/>
        <w:jc w:val="left"/>
        <w:tblLook w:firstColumn="1" w:firstRow="1" w:lastColumn="0" w:lastRow="0" w:noHBand="0" w:noVBand="1" w:val="04A0"/>
      </w:tblPr>
      <w:tblGrid>
        <w:gridCol w:w="4320"/>
        <w:gridCol w:w="4320"/>
      </w:tblGrid>
      <w:tr>
        <w:trPr>
          <w:tblHeader w:val="true"/>
        </w:trPr>
        <w:tc>
          <w:tcPr>
            <w:tcW w:type="dxa" w:w="4320"/>
          </w:tcPr>
          <w:p>
            <w:pPr>
              <w:spacing w:before="20" w:after="20"/>
              <w:jc w:val="left"/>
            </w:pPr>
            <w:r>
              <w:rPr>
                <w:b/>
                <w:sz w:val="17"/>
              </w:rPr>
              <w:t>To</w:t>
            </w:r>
          </w:p>
        </w:tc>
        <w:tc>
          <w:tcPr>
            <w:tcW w:type="dxa" w:w="4320"/>
          </w:tcPr>
          <w:p>
            <w:pPr>
              <w:spacing w:before="20" w:after="20"/>
              <w:jc w:val="left"/>
            </w:pPr>
            <w:r>
              <w:rPr>
                <w:b/>
                <w:sz w:val="17"/>
              </w:rPr>
              <w:t>What is owed</w:t>
            </w:r>
          </w:p>
        </w:tc>
      </w:tr>
      <w:tr>
        <w:tc>
          <w:tcPr>
            <w:tcW w:type="dxa" w:w="4320"/>
          </w:tcPr>
          <w:p>
            <w:pPr>
              <w:spacing w:before="20" w:after="20"/>
              <w:jc w:val="left"/>
            </w:pPr>
            <w:r>
              <w:rPr>
                <w:b/>
                <w:sz w:val="17"/>
              </w:rPr>
              <w:t>Policy Director</w:t>
            </w:r>
          </w:p>
        </w:tc>
        <w:tc>
          <w:tcPr>
            <w:tcW w:type="dxa" w:w="4320"/>
          </w:tcPr>
          <w:p>
            <w:pPr>
              <w:spacing w:before="20" w:after="20"/>
              <w:jc w:val="left"/>
            </w:pPr>
            <w:r>
              <w:rPr>
                <w:b/>
                <w:sz w:val="17"/>
              </w:rPr>
              <w:t>Sequencing: decided. Superseded by Annex D v2.0 § 1 and § 3.</w:t>
            </w:r>
            <w:r>
              <w:rPr>
                <w:sz w:val="17"/>
              </w:rPr>
              <w:t xml:space="preserve"> The board chose the </w:t>
            </w:r>
            <w:r>
              <w:rPr>
                <w:b/>
                <w:sz w:val="17"/>
              </w:rPr>
              <w:t>2028 cycle</w:t>
            </w:r>
            <w:r>
              <w:rPr>
                <w:sz w:val="17"/>
              </w:rPr>
              <w:t xml:space="preserve"> on 2026-10-25 and authorised approaching the </w:t>
            </w:r>
            <w:r>
              <w:rPr>
                <w:b/>
                <w:sz w:val="17"/>
              </w:rPr>
              <w:t>VFW, Department of Virginia</w:t>
            </w:r>
            <w:r>
              <w:rPr>
                <w:sz w:val="17"/>
              </w:rPr>
              <w:t xml:space="preserve"> as sponsor. The 2026-12-17 gate is gone; </w:t>
            </w:r>
            <w:r>
              <w:rPr>
                <w:b/>
                <w:sz w:val="17"/>
              </w:rPr>
              <w:t>the operative date is now 2027-01-13</w:t>
            </w:r>
            <w:r>
              <w:rPr>
                <w:sz w:val="17"/>
              </w:rPr>
              <w:t xml:space="preserve">, the VFW Winter Council of Administration, because it is the last Department-level decision venue before the JLC's late-April screen. v1.2's text here — a decision needed at 2026-12-17, or a slip to a 2027-06-15 submission — is retained only as the record of what was asked. The approach route through </w:t>
            </w:r>
            <w:r>
              <w:rPr>
                <w:b/>
                <w:sz w:val="17"/>
              </w:rPr>
              <w:t>Glenn Yarborough, JLC Legislative Officer</w:t>
            </w:r>
            <w:r>
              <w:rPr>
                <w:sz w:val="17"/>
              </w:rPr>
              <w:t xml:space="preserve">, is unchanged, and remains JLCVSO's to make. Also still owed: § 6 opt-in recommendation (ratified 2026-10-25 as rung two); § 8 patron recommendations, with U-2 unverified; and the § 3.1 tension between Annex A v1.1's wide schedule authority and the "no new rate-setting by the Board" claim that A-3 was selected to preserve. </w:t>
            </w:r>
            <w:r>
              <w:rPr>
                <w:b/>
                <w:sz w:val="17"/>
              </w:rPr>
              <w:t>Nothing in this annex involves contacting anyone; the approach itself is JLCVSO's to make, not ours.</w:t>
            </w:r>
            <w:r>
              <w:rPr>
                <w:sz w:val="17"/>
              </w:rPr>
              <w:t xml:space="preserve"> </w:t>
            </w:r>
            <w:r>
              <w:rPr>
                <w:b/>
                <w:sz w:val="17"/>
              </w:rPr>
              <w:t>v1.3:</w:t>
            </w:r>
            <w:r>
              <w:rPr>
                <w:sz w:val="17"/>
              </w:rPr>
              <w:t xml:space="preserve"> the position paper, the sponsor dossier and the 2028-cycle calendar are in </w:t>
            </w:r>
            <w:hyperlink r:id="rId10">
              <w:r>
                <w:rPr>
                  <w:rFonts w:ascii="Calibri" w:hAnsi="Calibri"/>
                  <w:color w:val="1A4F8A"/>
                  <w:u w:val="single"/>
                  <w:sz w:val="17"/>
                  <w:b/>
                </w:rPr>
                <w:t xml:space="preserve">Annex D v2.0</w:t>
              </w:r>
            </w:hyperlink>
            <w:r>
              <w:rPr>
                <w:sz w:val="17"/>
              </w:rPr>
              <w:t xml:space="preserve"> — § 3 is the calendar, § 4 the two Department instruments and why the January gate beats the June one, § 5 the VFW dossier including the two documented negatives, § 7 the position paper, § 9 the reverse-planned critical path.</w:t>
            </w:r>
          </w:p>
        </w:tc>
      </w:tr>
      <w:tr>
        <w:tc>
          <w:tcPr>
            <w:tcW w:type="dxa" w:w="4320"/>
          </w:tcPr>
          <w:p>
            <w:pPr>
              <w:spacing w:before="20" w:after="20"/>
              <w:jc w:val="left"/>
            </w:pPr>
            <w:r>
              <w:rPr>
                <w:b/>
                <w:sz w:val="17"/>
              </w:rPr>
              <w:t>Fiscal &amp; Impact Modeler</w:t>
            </w:r>
          </w:p>
        </w:tc>
        <w:tc>
          <w:tcPr>
            <w:tcW w:type="dxa" w:w="4320"/>
          </w:tcPr>
          <w:p>
            <w:pPr>
              <w:spacing w:before="20" w:after="20"/>
              <w:jc w:val="left"/>
            </w:pPr>
            <w:r>
              <w:rPr>
                <w:b/>
                <w:sz w:val="17"/>
              </w:rPr>
              <w:t>Narrowed in v1.2, not closed.</w:t>
            </w:r>
            <w:r>
              <w:rPr>
                <w:sz w:val="17"/>
              </w:rPr>
              <w:t xml:space="preserve"> The blended statewide conversion is </w:t>
            </w:r>
            <w:r>
              <w:rPr>
                <w:b/>
                <w:sz w:val="17"/>
              </w:rPr>
              <w:t>delivered</w:t>
            </w:r>
            <w:r>
              <w:rPr>
                <w:sz w:val="17"/>
              </w:rPr>
              <w:t xml:space="preserve"> — </w:t>
            </w:r>
            <w:r>
              <w:rPr>
                <w:rFonts w:ascii="Consolas" w:hAnsi="Consolas"/>
                <w:color w:val="303030"/>
                <w:sz w:val="18"/>
              </w:rPr>
              <w:t>01</w:t>
            </w:r>
            <w:r>
              <w:rPr>
                <w:sz w:val="17"/>
              </w:rPr>
              <w:t xml:space="preserve"> v1.2 carries "0.11%–0.62% of covered payroll, about 1 to 4 basis points over 20 years," and red team M-5 computes 0.4–4.4 bp across the corrected grid. </w:t>
            </w:r>
            <w:r>
              <w:rPr>
                <w:b/>
                <w:sz w:val="17"/>
              </w:rPr>
              <w:t>What is still owed is the split: basis points per plan and per employer group (Teacher, state, political subdivision), at low and high take-up.</w:t>
            </w:r>
            <w:r>
              <w:rPr>
                <w:sz w:val="17"/>
              </w:rPr>
              <w:t xml:space="preserve"> That is the number VACo, VML and the Commission on Local Government respond to; a blended statewide figure does not answer a county administrator. Also: VACo/VML will claim an unfunded mandate; our model says no appropriation ask plus a pooled rate liability. Both are true; the conflict is one of unit, not of fact. </w:t>
            </w:r>
            <w:r>
              <w:rPr>
                <w:b/>
                <w:sz w:val="17"/>
              </w:rPr>
              <w:t>New in v1.2 (Annex D U-11):</w:t>
            </w:r>
            <w:r>
              <w:rPr>
                <w:sz w:val="17"/>
              </w:rPr>
              <w:t xml:space="preserve"> how VRS administers the second limb of the § 51.1-142.2 B 3 bar (defined-contribution balance / BRS–TSP) is items 9–10 of the VRS data request and it moves the eligible pool.</w:t>
            </w:r>
          </w:p>
        </w:tc>
      </w:tr>
      <w:tr>
        <w:tc>
          <w:tcPr>
            <w:tcW w:type="dxa" w:w="4320"/>
          </w:tcPr>
          <w:p>
            <w:pPr>
              <w:spacing w:before="20" w:after="20"/>
              <w:jc w:val="left"/>
            </w:pPr>
            <w:r>
              <w:rPr>
                <w:b/>
                <w:sz w:val="17"/>
              </w:rPr>
              <w:t>Drafting Specialist</w:t>
            </w:r>
          </w:p>
        </w:tc>
        <w:tc>
          <w:tcPr>
            <w:tcW w:type="dxa" w:w="4320"/>
          </w:tcPr>
          <w:p>
            <w:pPr>
              <w:spacing w:before="20" w:after="20"/>
              <w:jc w:val="left"/>
            </w:pPr>
            <w:r>
              <w:rPr>
                <w:sz w:val="17"/>
              </w:rPr>
              <w:t xml:space="preserve">The political chokepoints are (i) </w:t>
            </w:r>
            <w:r>
              <w:rPr>
                <w:b/>
                <w:sz w:val="17"/>
              </w:rPr>
              <w:t>the price, not the deadline</w:t>
            </w:r>
            <w:r>
              <w:rPr>
                <w:sz w:val="17"/>
              </w:rPr>
              <w:t xml:space="preserve"> — and post-F-1 the instrument should be a </w:t>
            </w:r>
            <w:r>
              <w:rPr>
                <w:b/>
                <w:sz w:val="17"/>
              </w:rPr>
              <w:t>statutory recovery floor on the Ohio § 145.301 model</w:t>
            </w:r>
            <w:r>
              <w:rPr>
                <w:sz w:val="17"/>
              </w:rPr>
              <w:t xml:space="preserve"> ("not less than X% of the actuarial equivalent cost"), not a Board schedule hemmed in by a uniformity requirement plus an individual-member ceiling, because the subcommittee needs a number on the face of the bill and F-1 shows the schedule cannot supply one; (ii) the no-spillover sentence confining relief to subdivision B 2 must be load-bearing and conspicuous, because the first floor amendment will try to extend it across all of B 1; (iii) VRS's acceptance criterion is "changes no current VRS procedure," which argues for a delayed effective date and against anything requiring a new actuarial product; (iv) </w:t>
            </w:r>
            <w:r>
              <w:rPr>
                <w:b/>
                <w:sz w:val="17"/>
              </w:rPr>
              <w:t>corrected in v1.3 — the target is now the 2028 session, which is the long one (60 days).</w:t>
            </w:r>
            <w:r>
              <w:rPr>
                <w:sz w:val="17"/>
              </w:rPr>
              <w:t xml:space="preserve"> Simplicity remains a cost-control argument; it is no longer also a calendar-survival argument, so the case for keeping the bill to one Code section now rests on the fiscal note and the subcommittee's attention, not on the clock.</w:t>
            </w:r>
          </w:p>
        </w:tc>
      </w:tr>
      <w:tr>
        <w:tc>
          <w:tcPr>
            <w:tcW w:type="dxa" w:w="4320"/>
          </w:tcPr>
          <w:p>
            <w:pPr>
              <w:spacing w:before="20" w:after="20"/>
              <w:jc w:val="left"/>
            </w:pPr>
            <w:r>
              <w:rPr>
                <w:b/>
                <w:sz w:val="17"/>
              </w:rPr>
              <w:t>Statutory Researcher</w:t>
            </w:r>
          </w:p>
        </w:tc>
        <w:tc>
          <w:tcPr>
            <w:tcW w:type="dxa" w:w="4320"/>
          </w:tcPr>
          <w:p>
            <w:pPr>
              <w:spacing w:before="20" w:after="20"/>
              <w:jc w:val="left"/>
            </w:pPr>
            <w:r>
              <w:rPr>
                <w:sz w:val="17"/>
              </w:rPr>
              <w:t>U-5: whether any bill 2017–2026 attempted to extend or remove the § 51.1-142.2 window itself. I could not run a code-section search across sessions (legacy LIS rejects the query form; current LIS is client-rendered).</w:t>
            </w:r>
          </w:p>
        </w:tc>
      </w:tr>
      <w:tr>
        <w:tc>
          <w:tcPr>
            <w:tcW w:type="dxa" w:w="4320"/>
          </w:tcPr>
          <w:p>
            <w:pPr>
              <w:spacing w:before="20" w:after="20"/>
              <w:jc w:val="left"/>
            </w:pPr>
            <w:r>
              <w:rPr>
                <w:b/>
                <w:sz w:val="17"/>
              </w:rPr>
              <w:t>Red Team / Counsel Reviewer</w:t>
            </w:r>
          </w:p>
        </w:tc>
        <w:tc>
          <w:tcPr>
            <w:tcW w:type="dxa" w:w="4320"/>
          </w:tcPr>
          <w:p>
            <w:pPr>
              <w:spacing w:before="20" w:after="20"/>
              <w:jc w:val="left"/>
            </w:pPr>
            <w:r>
              <w:rPr>
                <w:sz w:val="17"/>
              </w:rPr>
              <w:t xml:space="preserve">Two things. First, </w:t>
            </w:r>
            <w:r>
              <w:rPr>
                <w:b/>
                <w:sz w:val="17"/>
              </w:rPr>
              <w:t>test every confidence label in § 3</w:t>
            </w:r>
            <w:r>
              <w:rPr>
                <w:sz w:val="17"/>
              </w:rPr>
              <w:t xml:space="preserve"> — the ones I consider most exposed are the DHRM row (Medium, inferred from an adjacent record), the VEA support read (Medium), and the Reeves caucus co-chair claim in § 8 (Low–Medium, 2018-era source, flagged as requiring verification before it is acted on). Second, F-1's remedy space now has a precedent option it did not have when you wrote the finding: </w:t>
            </w:r>
            <w:r>
              <w:rPr>
                <w:b/>
                <w:sz w:val="17"/>
              </w:rPr>
              <w:t>Ohio ORC § 145.301</w:t>
            </w:r>
            <w:r>
              <w:rPr>
                <w:sz w:val="17"/>
              </w:rPr>
              <w:t xml:space="preserve"> delivers cost control through a statutory price floor with no filing window at all. Whether a floor expressed as a percentage of each member's own actuarial equivalent cost escapes the uniformity-versus-ceiling trap is a legal question and it is yours, not mine.</w:t>
            </w:r>
          </w:p>
        </w:tc>
      </w:tr>
      <w:tr>
        <w:tc>
          <w:tcPr>
            <w:tcW w:type="dxa" w:w="4320"/>
          </w:tcPr>
          <w:p>
            <w:pPr>
              <w:spacing w:before="20" w:after="20"/>
              <w:jc w:val="left"/>
            </w:pPr>
            <w:r>
              <w:rPr>
                <w:b/>
                <w:sz w:val="17"/>
              </w:rPr>
              <w:t>Editor</w:t>
            </w:r>
          </w:p>
        </w:tc>
        <w:tc>
          <w:tcPr>
            <w:tcW w:type="dxa" w:w="4320"/>
          </w:tcPr>
          <w:p>
            <w:pPr>
              <w:spacing w:before="20" w:after="20"/>
              <w:jc w:val="left"/>
            </w:pPr>
            <w:r>
              <w:rPr>
                <w:sz w:val="17"/>
              </w:rPr>
              <w:t>§ 1 is written for you. The one sentence worth lifting into the one-pager is in § 3.6: Chapter 508's stated purpose was to bring Virginia "more in line with other states' programs," and on military service credit specifically it did the opposite.</w:t>
            </w:r>
          </w:p>
        </w:tc>
      </w:tr>
    </w:tbl>
    <w:p>
      <w:pPr>
        <w:spacing w:before="0" w:after="0" w:line="80" w:lineRule="exact"/>
      </w:pPr>
      <w:r>
        <w:rPr>
          <w:sz w:val="8"/>
        </w:rPr>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pPr>
    <w:r>
      <w:rPr>
        <w:rFonts w:ascii="Calibri" w:hAnsi="Calibri"/>
        <w:sz w:val="16"/>
      </w:rPr>
      <w:t>JLCVSO 2027 session — military service credit purchase price deadline</w:t>
      <w:tab/>
    </w:r>
    <w:r>
      <w:rPr>
        <w:rFonts w:ascii="Calibri" w:hAnsi="Calibri"/>
        <w:sz w:val="16"/>
      </w:rPr>
      <w:fldChar w:fldCharType="begin"/>
      <w:instrText xml:space="preserve"> PAGE </w:instrText>
      <w:fldChar w:fldCharType="end"/>
    </w:r>
    <w:r>
      <w:rPr>
        <w:rFonts w:ascii="Calibri" w:hAnsi="Calibri"/>
        <w:sz w:val="16"/>
      </w:rPr>
      <w:t xml:space="preserve"> of </w:t>
    </w:r>
    <w:r>
      <w:rPr>
        <w:rFonts w:ascii="Calibri" w:hAnsi="Calibri"/>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60"/>
      <w:contextualSpacing/>
    </w:pPr>
    <w:rPr>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07-Annex-D-JLC-Sponsor-and-December-Submiss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Annex C — Stakeholder and Political Analysis</dc:title>
  <dc:subject>Virginia Retirement System § 51.1-142.2 military service credit purchase price deadline</dc:subject>
  <dc:creator>Policy Development Team</dc:creator>
  <cp:keywords/>
  <dc:description>Generated from the Markdown source of record by tools/md_to_docx.py. The .md file in the repository is authoritative; regenerate rather than hand-editing it.</dc:description>
  <cp:lastModifiedBy>Policy Development Team</cp:lastModifiedBy>
  <cp:revision>1</cp:revision>
  <dcterms:created xsi:type="dcterms:W3CDTF">2013-12-23T23:15:00Z</dcterms:created>
  <dcterms:modified xsi:type="dcterms:W3CDTF">2013-12-23T23:15:00Z</dcterms:modified>
  <cp:category>Legislative brief — 2027 Virginia General Assembly session</cp:category>
</cp:coreProperties>
</file>