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Annex D — The 2028 JLC cycle: sponsor of record, instruments and calendar</w:t>
      </w:r>
    </w:p>
    <w:p>
      <w:r>
        <w:rPr>
          <w:b/>
        </w:rPr>
        <w:t>Version 2.0 — 2026-10-25</w:t>
      </w:r>
      <w:r>
        <w:t xml:space="preserve"> </w:t>
      </w:r>
      <w:r>
        <w:rPr>
          <w:b/>
        </w:rPr>
        <w:t xml:space="preserve">Supersedes v1.0 (same date, commit </w:t>
      </w:r>
      <w:r>
        <w:rPr>
          <w:rFonts w:ascii="Consolas" w:hAnsi="Consolas"/>
          <w:b/>
          <w:color w:val="303030"/>
          <w:sz w:val="18"/>
        </w:rPr>
        <w:t>e71cb7c</w:t>
      </w:r>
      <w:r>
        <w:rPr>
          <w:b/>
        </w:rPr>
        <w:t>), which was written before the decision.</w:t>
      </w:r>
      <w:r>
        <w:t xml:space="preserve"> </w:t>
      </w:r>
      <w:r>
        <w:rPr>
          <w:b/>
        </w:rPr>
        <w:t>Prepared by:</w:t>
      </w:r>
      <w:r>
        <w:t xml:space="preserve"> Stakeholder Analyst, Virginia Policy Lab </w:t>
      </w:r>
      <w:r>
        <w:rPr>
          <w:b/>
        </w:rPr>
        <w:t>Issue:</w:t>
      </w:r>
      <w:r>
        <w:t xml:space="preserve"> MOO-302 (from MOO-290; parent MOO-287) </w:t>
      </w:r>
      <w:r>
        <w:rPr>
          <w:b/>
        </w:rPr>
        <w:t>Status:</w:t>
      </w:r>
      <w:r>
        <w:t xml:space="preserve"> Pre-decisional and internal. Not for distribution outside Paperclip until Policy Director releases it.</w:t>
      </w:r>
    </w:p>
    <w:p>
      <w:pPr>
        <w:spacing w:before="120" w:after="120"/>
        <w:ind w:left="480"/>
      </w:pPr>
      <w:r>
        <w:rPr>
          <w:b/>
          <w:i/>
          <w:color w:val="444444"/>
          <w:sz w:val="20"/>
        </w:rPr>
        <w:t>Method and limits.</w:t>
      </w:r>
      <w:r>
        <w:rPr>
          <w:i/>
          <w:color w:val="444444"/>
          <w:sz w:val="20"/>
        </w:rPr>
        <w:t xml:space="preserve"> Desk research on the public record only. </w:t>
      </w:r>
      <w:r>
        <w:rPr>
          <w:b/>
          <w:i/>
          <w:color w:val="444444"/>
          <w:sz w:val="20"/>
        </w:rPr>
        <w:t>No JLC member organisation, JLC officer, legislator, staffer, agency or association has been contacted, and none will be.</w:t>
      </w:r>
      <w:r>
        <w:rPr>
          <w:i/>
          <w:color w:val="444444"/>
          <w:sz w:val="20"/>
        </w:rPr>
        <w:t xml:space="preserve"> The approach is JLCVSO's to make. Every position below is labelled </w:t>
      </w:r>
      <w:r>
        <w:rPr>
          <w:b/>
          <w:i/>
          <w:color w:val="444444"/>
          <w:sz w:val="20"/>
        </w:rPr>
        <w:t>documented</w:t>
      </w:r>
      <w:r>
        <w:rPr>
          <w:i/>
          <w:color w:val="444444"/>
          <w:sz w:val="20"/>
        </w:rPr>
        <w:t xml:space="preserve">, </w:t>
      </w:r>
      <w:r>
        <w:rPr>
          <w:b/>
          <w:i/>
          <w:color w:val="444444"/>
          <w:sz w:val="20"/>
        </w:rPr>
        <w:t>inferred — pattern</w:t>
      </w:r>
      <w:r>
        <w:rPr>
          <w:i/>
          <w:color w:val="444444"/>
          <w:sz w:val="20"/>
        </w:rPr>
        <w:t xml:space="preserve">, or </w:t>
      </w:r>
      <w:r>
        <w:rPr>
          <w:b/>
          <w:i/>
          <w:color w:val="444444"/>
          <w:sz w:val="20"/>
        </w:rPr>
        <w:t>inferred — interest</w:t>
      </w:r>
      <w:r>
        <w:rPr>
          <w:i/>
          <w:color w:val="444444"/>
          <w:sz w:val="20"/>
        </w:rPr>
        <w:t xml:space="preserve">, with </w:t>
      </w:r>
      <w:r>
        <w:rPr>
          <w:b/>
          <w:i/>
          <w:color w:val="444444"/>
          <w:sz w:val="20"/>
        </w:rPr>
        <w:t>High / Medium / Low</w:t>
      </w:r>
      <w:r>
        <w:rPr>
          <w:i/>
          <w:color w:val="444444"/>
          <w:sz w:val="20"/>
        </w:rPr>
        <w:t xml:space="preserve"> confidence meaning exactly that distinction. Retrieval dates are in § 11.</w:t>
      </w:r>
    </w:p>
    <w:p>
      <w:pPr>
        <w:spacing w:before="120" w:after="120"/>
        <w:ind w:left="480"/>
      </w:pPr>
      <w:r>
        <w:rPr>
          <w:b/>
          <w:i/>
          <w:color w:val="444444"/>
          <w:sz w:val="20"/>
        </w:rPr>
        <w:t>Cost figures in this annex are not mine and are not re-derived.</w:t>
      </w:r>
      <w:r>
        <w:rPr>
          <w:i/>
          <w:color w:val="444444"/>
          <w:sz w:val="20"/>
        </w:rPr>
        <w:t xml:space="preserve"> § 7 carries figures from the current package authority (</w:t>
      </w:r>
      <w:r>
        <w:rPr>
          <w:rFonts w:ascii="Consolas" w:hAnsi="Consolas"/>
          <w:i/>
          <w:color w:val="303030"/>
          <w:sz w:val="18"/>
        </w:rPr>
        <w:t>00-ONE-PAGE-BRIEF.md</w:t>
      </w:r>
      <w:r>
        <w:rPr>
          <w:i/>
          <w:color w:val="444444"/>
          <w:sz w:val="20"/>
        </w:rPr>
        <w:t xml:space="preserve"> v1.3) with an inheritance label on each. Legal conclusions are Counsel's; § 6 reads a statute that Counsel and the Red Team have both already construed, and cites them. Bill text is the Drafting Specialist's.</w:t>
      </w:r>
    </w:p>
    <w:p>
      <w:pPr>
        <w:spacing w:before="120" w:after="120"/>
        <w:ind w:left="480"/>
      </w:pPr>
      <w:r>
        <w:rPr>
          <w:b/>
          <w:i/>
          <w:color w:val="444444"/>
          <w:sz w:val="20"/>
        </w:rPr>
        <w:t>Named individuals</w:t>
      </w:r>
      <w:r>
        <w:rPr>
          <w:i/>
          <w:color w:val="444444"/>
          <w:sz w:val="20"/>
        </w:rPr>
        <w:t xml:space="preserve"> appear only as officeholders, from published rosters, published committee lists and published meeting minutes, and only in their organisational capacity.</w:t>
      </w:r>
    </w:p>
    <w:p>
      <w:pPr>
        <w:jc w:val="center"/>
      </w:pPr>
      <w:r>
        <w:rPr>
          <w:color w:val="909090"/>
          <w:sz w:val="18"/>
        </w:rPr>
        <w:t>* * *</w:t>
      </w:r>
    </w:p>
    <w:p>
      <w:pPr>
        <w:pStyle w:val="Heading2"/>
      </w:pPr>
      <w:r>
        <w:t>1. The decision, as taken</w:t>
      </w:r>
    </w:p>
    <w:p>
      <w:r>
        <w:t xml:space="preserve">On </w:t>
      </w:r>
      <w:r>
        <w:rPr>
          <w:b/>
        </w:rPr>
        <w:t>2026-10-25</w:t>
      </w:r>
      <w:r>
        <w:t xml:space="preserve"> the board answered the two questions this issue carried.</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Question</w:t>
            </w:r>
          </w:p>
        </w:tc>
        <w:tc>
          <w:tcPr>
            <w:tcW w:type="dxa" w:w="2880"/>
          </w:tcPr>
          <w:p>
            <w:pPr>
              <w:spacing w:before="20" w:after="20"/>
              <w:jc w:val="left"/>
            </w:pPr>
            <w:r>
              <w:rPr>
                <w:b/>
                <w:sz w:val="17"/>
              </w:rPr>
              <w:t>Answer as given</w:t>
            </w:r>
          </w:p>
        </w:tc>
        <w:tc>
          <w:tcPr>
            <w:tcW w:type="dxa" w:w="2880"/>
          </w:tcPr>
          <w:p>
            <w:pPr>
              <w:spacing w:before="20" w:after="20"/>
              <w:jc w:val="left"/>
            </w:pPr>
            <w:r>
              <w:rPr>
                <w:b/>
                <w:sz w:val="17"/>
              </w:rPr>
              <w:t>How I am reading it</w:t>
            </w:r>
          </w:p>
        </w:tc>
      </w:tr>
      <w:tr>
        <w:tc>
          <w:tcPr>
            <w:tcW w:type="dxa" w:w="2880"/>
          </w:tcPr>
          <w:p>
            <w:pPr>
              <w:spacing w:before="20" w:after="20"/>
              <w:jc w:val="left"/>
            </w:pPr>
            <w:r>
              <w:rPr>
                <w:sz w:val="17"/>
              </w:rPr>
              <w:t>Sequencing</w:t>
            </w:r>
          </w:p>
        </w:tc>
        <w:tc>
          <w:tcPr>
            <w:tcW w:type="dxa" w:w="2880"/>
          </w:tcPr>
          <w:p>
            <w:pPr>
              <w:spacing w:before="20" w:after="20"/>
              <w:jc w:val="left"/>
            </w:pPr>
            <w:r>
              <w:rPr>
                <w:b/>
                <w:sz w:val="17"/>
              </w:rPr>
              <w:t>B — accept the slip to the 2028 cycle.</w:t>
            </w:r>
          </w:p>
        </w:tc>
        <w:tc>
          <w:tcPr>
            <w:tcW w:type="dxa" w:w="2880"/>
          </w:tcPr>
          <w:p>
            <w:pPr>
              <w:spacing w:before="20" w:after="20"/>
              <w:jc w:val="left"/>
            </w:pPr>
            <w:r>
              <w:rPr>
                <w:sz w:val="17"/>
              </w:rPr>
              <w:t xml:space="preserve">Taken as given. The 2026-12-17 JLC meeting is </w:t>
            </w:r>
            <w:r>
              <w:rPr>
                <w:b/>
                <w:sz w:val="17"/>
              </w:rPr>
              <w:t>no longer a gate</w:t>
            </w:r>
            <w:r>
              <w:rPr>
                <w:sz w:val="17"/>
              </w:rPr>
              <w:t>. Nothing in this package is now aimed at the 2027 session.</w:t>
            </w:r>
          </w:p>
        </w:tc>
      </w:tr>
      <w:tr>
        <w:tc>
          <w:tcPr>
            <w:tcW w:type="dxa" w:w="2880"/>
          </w:tcPr>
          <w:p>
            <w:pPr>
              <w:spacing w:before="20" w:after="20"/>
              <w:jc w:val="left"/>
            </w:pPr>
            <w:r>
              <w:rPr>
                <w:sz w:val="17"/>
              </w:rPr>
              <w:t>Sponsor to authorise approaching</w:t>
            </w:r>
          </w:p>
        </w:tc>
        <w:tc>
          <w:tcPr>
            <w:tcW w:type="dxa" w:w="2880"/>
          </w:tcPr>
          <w:p>
            <w:pPr>
              <w:spacing w:before="20" w:after="20"/>
              <w:jc w:val="left"/>
            </w:pPr>
            <w:r>
              <w:rPr>
                <w:b/>
                <w:sz w:val="17"/>
              </w:rPr>
              <w:t>"1. VFW"</w:t>
            </w:r>
          </w:p>
        </w:tc>
        <w:tc>
          <w:tcPr>
            <w:tcW w:type="dxa" w:w="2880"/>
          </w:tcPr>
          <w:p>
            <w:pPr>
              <w:spacing w:before="20" w:after="20"/>
              <w:jc w:val="left"/>
            </w:pPr>
            <w:r>
              <w:rPr>
                <w:b/>
                <w:sz w:val="17"/>
              </w:rPr>
              <w:t>The named organisation governs: Veterans of Foreign Wars, Department of Virginia.</w:t>
            </w:r>
            <w:r>
              <w:rPr>
                <w:sz w:val="17"/>
              </w:rPr>
              <w:t xml:space="preserve"> The numeral "1" was the Virginia National Guard Association in my option list, so the answer mixes my option number with a different organisation's name. I am resolving it to </w:t>
            </w:r>
            <w:r>
              <w:rPr>
                <w:b/>
                <w:sz w:val="17"/>
              </w:rPr>
              <w:t>VFW</w:t>
            </w:r>
            <w:r>
              <w:rPr>
                <w:sz w:val="17"/>
              </w:rPr>
              <w:t xml:space="preserve"> because (a) an organisation named explicitly is a stronger signal than a list position, and (b) VFW is coherent with answer B — my own v1.0 § 5 put the Legion and VFW in Tier 4 as </w:t>
            </w:r>
            <w:r>
              <w:rPr>
                <w:i/>
                <w:sz w:val="17"/>
              </w:rPr>
              <w:t>"the right sponsors for the 2028 cycle, probably not for December,"</w:t>
            </w:r>
            <w:r>
              <w:rPr>
                <w:sz w:val="17"/>
              </w:rPr>
              <w:t xml:space="preserve"> and B is the 2028 cycle. </w:t>
            </w:r>
            <w:r>
              <w:rPr>
                <w:b/>
                <w:sz w:val="17"/>
              </w:rPr>
              <w:t>If the board meant VNGA, say so and § 5 of v1.0 still stands unamended.</w:t>
            </w:r>
          </w:p>
        </w:tc>
      </w:tr>
    </w:tbl>
    <w:p>
      <w:pPr>
        <w:spacing w:before="0" w:after="0" w:line="80" w:lineRule="exact"/>
      </w:pPr>
      <w:r>
        <w:rPr>
          <w:sz w:val="8"/>
        </w:rPr>
      </w:r>
    </w:p>
    <w:p>
      <w:r>
        <w:rPr>
          <w:b/>
        </w:rPr>
        <w:t>The one-line political read, for the Editor.</w:t>
      </w:r>
      <w:r>
        <w:t xml:space="preserve"> The slip to 2028 buys the one thing this bill actually needs — a bounded fiscal note before prefiling — and VFW brings what no other candidate had documented: </w:t>
      </w:r>
      <w:r>
        <w:rPr>
          <w:b/>
        </w:rPr>
        <w:t>33,645 Virginia members, a standing Commonwealth Legislative Team, a resolutions process, a JLC seat, and an annual bus to the General Assembly Building.</w:t>
      </w:r>
      <w:r>
        <w:t xml:space="preserve"> The price is that VFW </w:t>
      </w:r>
      <w:r>
        <w:rPr>
          <w:b/>
        </w:rPr>
        <w:t>does not hold one of the eight seats on the JLC Legislative Committee</w:t>
      </w:r>
      <w:r>
        <w:t xml:space="preserve"> — the screen that killed 8 of 17 initiatives in the last full cycle — so the sponsor will be speaking from the floor, not from inside the committee that decides what reaches the floor.</w:t>
      </w:r>
    </w:p>
    <w:p>
      <w:r>
        <w:rPr>
          <w:b/>
        </w:rPr>
        <w:t>And the calendar is not what "a year away" implies.</w:t>
      </w:r>
      <w:r>
        <w:t xml:space="preserve"> The operative date is not 2027-06-15. It is </w:t>
      </w:r>
      <w:r>
        <w:rPr>
          <w:b/>
        </w:rPr>
        <w:t>2027-01-13 — the VFW Department of Virginia Winter Council of Administration, 80 days from today</w:t>
      </w:r>
      <w:r>
        <w:t xml:space="preserve"> — because that is the last Department-level decision venue before the JLC's spring screen. See § 4.</w:t>
      </w:r>
    </w:p>
    <w:p>
      <w:pPr>
        <w:jc w:val="center"/>
      </w:pPr>
      <w:r>
        <w:rPr>
          <w:color w:val="909090"/>
          <w:sz w:val="18"/>
        </w:rPr>
        <w:t>* * *</w:t>
      </w:r>
    </w:p>
    <w:p>
      <w:pPr>
        <w:pStyle w:val="Heading2"/>
      </w:pPr>
      <w:r>
        <w:t>2. What this version changes</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w:t>
            </w:r>
          </w:p>
        </w:tc>
        <w:tc>
          <w:tcPr>
            <w:tcW w:type="dxa" w:w="4320"/>
          </w:tcPr>
          <w:p>
            <w:pPr>
              <w:spacing w:before="20" w:after="20"/>
              <w:jc w:val="left"/>
            </w:pPr>
            <w:r>
              <w:rPr>
                <w:b/>
                <w:sz w:val="17"/>
              </w:rPr>
              <w:t>Change</w:t>
            </w:r>
          </w:p>
        </w:tc>
      </w:tr>
      <w:tr>
        <w:tc>
          <w:tcPr>
            <w:tcW w:type="dxa" w:w="4320"/>
          </w:tcPr>
          <w:p>
            <w:pPr>
              <w:spacing w:before="20" w:after="20"/>
              <w:jc w:val="left"/>
            </w:pPr>
            <w:r>
              <w:rPr>
                <w:sz w:val="17"/>
              </w:rPr>
              <w:t>1</w:t>
            </w:r>
          </w:p>
        </w:tc>
        <w:tc>
          <w:tcPr>
            <w:tcW w:type="dxa" w:w="4320"/>
          </w:tcPr>
          <w:p>
            <w:pPr>
              <w:spacing w:before="20" w:after="20"/>
              <w:jc w:val="left"/>
            </w:pPr>
            <w:r>
              <w:rPr>
                <w:sz w:val="17"/>
              </w:rPr>
              <w:t>New. Records the decision and how I resolved the option-number/name mismatch.</w:t>
            </w:r>
          </w:p>
        </w:tc>
      </w:tr>
      <w:tr>
        <w:tc>
          <w:tcPr>
            <w:tcW w:type="dxa" w:w="4320"/>
          </w:tcPr>
          <w:p>
            <w:pPr>
              <w:spacing w:before="20" w:after="20"/>
              <w:jc w:val="left"/>
            </w:pPr>
            <w:r>
              <w:rPr>
                <w:sz w:val="17"/>
              </w:rPr>
              <w:t>3–4</w:t>
            </w:r>
          </w:p>
        </w:tc>
        <w:tc>
          <w:tcPr>
            <w:tcW w:type="dxa" w:w="4320"/>
          </w:tcPr>
          <w:p>
            <w:pPr>
              <w:spacing w:before="20" w:after="20"/>
              <w:jc w:val="left"/>
            </w:pPr>
            <w:r>
              <w:rPr>
                <w:b/>
                <w:sz w:val="17"/>
              </w:rPr>
              <w:t>Calendar rebuilt for the 2028 cycle</w:t>
            </w:r>
            <w:r>
              <w:rPr>
                <w:sz w:val="17"/>
              </w:rPr>
              <w:t>, from the primary meeting record rather than the 2020 Work Plan alone. The 2020 Work Plan's "2027-06-15" is now one input among several, and no longer the binding date.</w:t>
            </w:r>
          </w:p>
        </w:tc>
      </w:tr>
      <w:tr>
        <w:tc>
          <w:tcPr>
            <w:tcW w:type="dxa" w:w="4320"/>
          </w:tcPr>
          <w:p>
            <w:pPr>
              <w:spacing w:before="20" w:after="20"/>
              <w:jc w:val="left"/>
            </w:pPr>
            <w:r>
              <w:rPr>
                <w:sz w:val="17"/>
              </w:rPr>
              <w:t>5</w:t>
            </w:r>
          </w:p>
        </w:tc>
        <w:tc>
          <w:tcPr>
            <w:tcW w:type="dxa" w:w="4320"/>
          </w:tcPr>
          <w:p>
            <w:pPr>
              <w:spacing w:before="20" w:after="20"/>
              <w:jc w:val="left"/>
            </w:pPr>
            <w:r>
              <w:rPr>
                <w:b/>
                <w:sz w:val="17"/>
              </w:rPr>
              <w:t>New VFW dossier.</w:t>
            </w:r>
            <w:r>
              <w:rPr>
                <w:sz w:val="17"/>
              </w:rPr>
              <w:t xml:space="preserve"> v1.0 gave VFW four lines in Tier 4 on a search that returned nothing. The primary record turns out to be rich; three of v1.0's four Tier-4 statements needed correcting. See § 8.</w:t>
            </w:r>
          </w:p>
        </w:tc>
      </w:tr>
      <w:tr>
        <w:tc>
          <w:tcPr>
            <w:tcW w:type="dxa" w:w="4320"/>
          </w:tcPr>
          <w:p>
            <w:pPr>
              <w:spacing w:before="20" w:after="20"/>
              <w:jc w:val="left"/>
            </w:pPr>
            <w:r>
              <w:rPr>
                <w:sz w:val="17"/>
              </w:rPr>
              <w:t>6</w:t>
            </w:r>
          </w:p>
        </w:tc>
        <w:tc>
          <w:tcPr>
            <w:tcW w:type="dxa" w:w="4320"/>
          </w:tcPr>
          <w:p>
            <w:pPr>
              <w:spacing w:before="20" w:after="20"/>
              <w:jc w:val="left"/>
            </w:pPr>
            <w:r>
              <w:rPr>
                <w:sz w:val="17"/>
              </w:rPr>
              <w:t>Cohort analysis retained from v1.0 § 4, with VFW's own membership rule laid over it.</w:t>
            </w:r>
          </w:p>
        </w:tc>
      </w:tr>
      <w:tr>
        <w:tc>
          <w:tcPr>
            <w:tcW w:type="dxa" w:w="4320"/>
          </w:tcPr>
          <w:p>
            <w:pPr>
              <w:spacing w:before="20" w:after="20"/>
              <w:jc w:val="left"/>
            </w:pPr>
            <w:r>
              <w:rPr>
                <w:sz w:val="17"/>
              </w:rPr>
              <w:t>7</w:t>
            </w:r>
          </w:p>
        </w:tc>
        <w:tc>
          <w:tcPr>
            <w:tcW w:type="dxa" w:w="4320"/>
          </w:tcPr>
          <w:p>
            <w:pPr>
              <w:spacing w:before="20" w:after="20"/>
              <w:jc w:val="left"/>
            </w:pPr>
            <w:r>
              <w:rPr>
                <w:sz w:val="17"/>
              </w:rPr>
              <w:t>Position paper retained, re-pointed at the 2028 cycle, and given the framing the record says this Council and this agency respond to.</w:t>
            </w:r>
          </w:p>
        </w:tc>
      </w:tr>
      <w:tr>
        <w:tc>
          <w:tcPr>
            <w:tcW w:type="dxa" w:w="4320"/>
          </w:tcPr>
          <w:p>
            <w:pPr>
              <w:spacing w:before="20" w:after="20"/>
              <w:jc w:val="left"/>
            </w:pPr>
            <w:r>
              <w:rPr>
                <w:sz w:val="17"/>
              </w:rPr>
              <w:t>8</w:t>
            </w:r>
          </w:p>
        </w:tc>
        <w:tc>
          <w:tcPr>
            <w:tcW w:type="dxa" w:w="4320"/>
          </w:tcPr>
          <w:p>
            <w:pPr>
              <w:spacing w:before="20" w:after="20"/>
              <w:jc w:val="left"/>
            </w:pPr>
            <w:r>
              <w:rPr>
                <w:b/>
                <w:sz w:val="17"/>
              </w:rPr>
              <w:t>New. Corrections to my own v1.0 and to Annex C.</w:t>
            </w:r>
          </w:p>
        </w:tc>
      </w:tr>
      <w:tr>
        <w:tc>
          <w:tcPr>
            <w:tcW w:type="dxa" w:w="4320"/>
          </w:tcPr>
          <w:p>
            <w:pPr>
              <w:spacing w:before="20" w:after="20"/>
              <w:jc w:val="left"/>
            </w:pPr>
            <w:r>
              <w:rPr>
                <w:sz w:val="17"/>
              </w:rPr>
              <w:t>9</w:t>
            </w:r>
          </w:p>
        </w:tc>
        <w:tc>
          <w:tcPr>
            <w:tcW w:type="dxa" w:w="4320"/>
          </w:tcPr>
          <w:p>
            <w:pPr>
              <w:spacing w:before="20" w:after="20"/>
              <w:jc w:val="left"/>
            </w:pPr>
            <w:r>
              <w:rPr>
                <w:sz w:val="17"/>
              </w:rPr>
              <w:t>What the extra 14 months must be spent on, with the dates the package now has to hit.</w:t>
            </w:r>
          </w:p>
        </w:tc>
      </w:tr>
      <w:tr>
        <w:tc>
          <w:tcPr>
            <w:tcW w:type="dxa" w:w="4320"/>
          </w:tcPr>
          <w:p>
            <w:pPr>
              <w:spacing w:before="20" w:after="20"/>
              <w:jc w:val="left"/>
            </w:pPr>
            <w:r>
              <w:rPr>
                <w:sz w:val="17"/>
              </w:rPr>
              <w:t>10</w:t>
            </w:r>
          </w:p>
        </w:tc>
        <w:tc>
          <w:tcPr>
            <w:tcW w:type="dxa" w:w="4320"/>
          </w:tcPr>
          <w:p>
            <w:pPr>
              <w:spacing w:before="20" w:after="20"/>
              <w:jc w:val="left"/>
            </w:pPr>
            <w:r>
              <w:rPr>
                <w:sz w:val="17"/>
              </w:rPr>
              <w:t xml:space="preserve">Unknowns. U-1 and U-8 are </w:t>
            </w:r>
            <w:r>
              <w:rPr>
                <w:b/>
                <w:sz w:val="17"/>
              </w:rPr>
              <w:t>de-escalated but not closed</w:t>
            </w:r>
            <w:r>
              <w:rPr>
                <w:sz w:val="17"/>
              </w:rPr>
              <w:t xml:space="preserve">, and U-8 now points at a different date. </w:t>
            </w:r>
            <w:r>
              <w:rPr>
                <w:b/>
                <w:sz w:val="17"/>
              </w:rPr>
              <w:t>Four new unknowns (U-12 to U-15)</w:t>
            </w:r>
            <w:r>
              <w:rPr>
                <w:sz w:val="17"/>
              </w:rPr>
              <w:t>, and a numbering-collision warning against the Annex B fiscal register.</w:t>
            </w:r>
          </w:p>
        </w:tc>
      </w:tr>
      <w:tr>
        <w:tc>
          <w:tcPr>
            <w:tcW w:type="dxa" w:w="4320"/>
          </w:tcPr>
          <w:p>
            <w:pPr>
              <w:spacing w:before="20" w:after="20"/>
              <w:jc w:val="left"/>
            </w:pPr>
            <w:r>
              <w:rPr>
                <w:sz w:val="17"/>
              </w:rPr>
              <w:t>—</w:t>
            </w:r>
          </w:p>
        </w:tc>
        <w:tc>
          <w:tcPr>
            <w:tcW w:type="dxa" w:w="4320"/>
          </w:tcPr>
          <w:p>
            <w:pPr>
              <w:spacing w:before="20" w:after="20"/>
              <w:jc w:val="left"/>
            </w:pPr>
            <w:r>
              <w:rPr>
                <w:b/>
                <w:sz w:val="17"/>
              </w:rPr>
              <w:t>Dropped:</w:t>
            </w:r>
            <w:r>
              <w:rPr>
                <w:sz w:val="17"/>
              </w:rPr>
              <w:t xml:space="preserve"> v1.0 § 8's A/B/C comparison table, which the decision has consumed. The 2027-vs-2028 reasoning is in the MOO-302 thread if it is ever needed again.</w:t>
            </w:r>
          </w:p>
        </w:tc>
      </w:tr>
    </w:tbl>
    <w:p>
      <w:pPr>
        <w:spacing w:before="0" w:after="0" w:line="80" w:lineRule="exact"/>
      </w:pPr>
      <w:r>
        <w:rPr>
          <w:sz w:val="8"/>
        </w:rPr>
      </w:r>
    </w:p>
    <w:p>
      <w:pPr>
        <w:jc w:val="center"/>
      </w:pPr>
      <w:r>
        <w:rPr>
          <w:color w:val="909090"/>
          <w:sz w:val="18"/>
        </w:rPr>
        <w:t>* * *</w:t>
      </w:r>
    </w:p>
    <w:p>
      <w:pPr>
        <w:pStyle w:val="Heading2"/>
      </w:pPr>
      <w:r>
        <w:t>3. The 2028-cycle calendar</w:t>
      </w:r>
    </w:p>
    <w:p>
      <w:r>
        <w:t xml:space="preserve">Two clocks run in parallel: the </w:t>
      </w:r>
      <w:r>
        <w:rPr>
          <w:b/>
        </w:rPr>
        <w:t>JLC's</w:t>
      </w:r>
      <w:r>
        <w:t xml:space="preserve"> initiative cycle and the </w:t>
      </w:r>
      <w:r>
        <w:rPr>
          <w:b/>
        </w:rPr>
        <w:t>VFW Department of Virginia's</w:t>
      </w:r>
      <w:r>
        <w:t xml:space="preserve"> own governance calendar. The package's job is to be ready for whichever comes first, and the Department's comes first.</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Date</w:t>
            </w:r>
          </w:p>
        </w:tc>
        <w:tc>
          <w:tcPr>
            <w:tcW w:type="dxa" w:w="1728"/>
          </w:tcPr>
          <w:p>
            <w:pPr>
              <w:spacing w:before="20" w:after="20"/>
              <w:jc w:val="left"/>
            </w:pPr>
            <w:r>
              <w:rPr>
                <w:b/>
                <w:sz w:val="17"/>
              </w:rPr>
              <w:t>Clock</w:t>
            </w:r>
          </w:p>
        </w:tc>
        <w:tc>
          <w:tcPr>
            <w:tcW w:type="dxa" w:w="1728"/>
          </w:tcPr>
          <w:p>
            <w:pPr>
              <w:spacing w:before="20" w:after="20"/>
              <w:jc w:val="left"/>
            </w:pPr>
            <w:r>
              <w:rPr>
                <w:b/>
                <w:sz w:val="17"/>
              </w:rPr>
              <w:t>What happens</w:t>
            </w:r>
          </w:p>
        </w:tc>
        <w:tc>
          <w:tcPr>
            <w:tcW w:type="dxa" w:w="1728"/>
          </w:tcPr>
          <w:p>
            <w:pPr>
              <w:spacing w:before="20" w:after="20"/>
              <w:jc w:val="left"/>
            </w:pPr>
            <w:r>
              <w:rPr>
                <w:b/>
                <w:sz w:val="17"/>
              </w:rPr>
              <w:t>Source</w:t>
            </w:r>
          </w:p>
        </w:tc>
        <w:tc>
          <w:tcPr>
            <w:tcW w:type="dxa" w:w="1728"/>
          </w:tcPr>
          <w:p>
            <w:pPr>
              <w:spacing w:before="20" w:after="20"/>
              <w:jc w:val="left"/>
            </w:pPr>
            <w:r>
              <w:rPr>
                <w:b/>
                <w:sz w:val="17"/>
              </w:rPr>
              <w:t>Confidence</w:t>
            </w:r>
          </w:p>
        </w:tc>
      </w:tr>
      <w:tr>
        <w:tc>
          <w:tcPr>
            <w:tcW w:type="dxa" w:w="1728"/>
          </w:tcPr>
          <w:p>
            <w:pPr>
              <w:spacing w:before="20" w:after="20"/>
              <w:jc w:val="left"/>
            </w:pPr>
            <w:r>
              <w:rPr>
                <w:b/>
                <w:sz w:val="17"/>
              </w:rPr>
              <w:t>2026-11-10</w:t>
            </w:r>
          </w:p>
        </w:tc>
        <w:tc>
          <w:tcPr>
            <w:tcW w:type="dxa" w:w="1728"/>
          </w:tcPr>
          <w:p>
            <w:pPr>
              <w:spacing w:before="20" w:after="20"/>
              <w:jc w:val="left"/>
            </w:pPr>
            <w:r>
              <w:rPr>
                <w:sz w:val="17"/>
              </w:rPr>
              <w:t>Other</w:t>
            </w:r>
          </w:p>
        </w:tc>
        <w:tc>
          <w:tcPr>
            <w:tcW w:type="dxa" w:w="1728"/>
          </w:tcPr>
          <w:p>
            <w:pPr>
              <w:spacing w:before="20" w:after="20"/>
              <w:jc w:val="left"/>
            </w:pPr>
            <w:r>
              <w:rPr>
                <w:b/>
                <w:sz w:val="17"/>
              </w:rPr>
              <w:t>VACo adopts its final 2027 program.</w:t>
            </w:r>
            <w:r>
              <w:rPr>
                <w:sz w:val="17"/>
              </w:rPr>
              <w:t xml:space="preserve"> Still live, and still the only stakeholder read in Annex C with an expiry date (Annex C U-3). A retirement plank adopted here sits in VACo's program throughout the 2028 run-up.</w:t>
            </w:r>
          </w:p>
        </w:tc>
        <w:tc>
          <w:tcPr>
            <w:tcW w:type="dxa" w:w="1728"/>
          </w:tcPr>
          <w:p>
            <w:pPr>
              <w:spacing w:before="20" w:after="20"/>
              <w:jc w:val="left"/>
            </w:pPr>
            <w:r>
              <w:rPr>
                <w:sz w:val="17"/>
              </w:rPr>
              <w:t>VACo release 2026-10-09</w:t>
            </w:r>
          </w:p>
        </w:tc>
        <w:tc>
          <w:tcPr>
            <w:tcW w:type="dxa" w:w="1728"/>
          </w:tcPr>
          <w:p>
            <w:pPr>
              <w:spacing w:before="20" w:after="20"/>
              <w:jc w:val="left"/>
            </w:pPr>
            <w:r>
              <w:rPr>
                <w:b/>
                <w:sz w:val="17"/>
              </w:rPr>
              <w:t>High</w:t>
            </w:r>
          </w:p>
        </w:tc>
      </w:tr>
      <w:tr>
        <w:tc>
          <w:tcPr>
            <w:tcW w:type="dxa" w:w="1728"/>
          </w:tcPr>
          <w:p>
            <w:pPr>
              <w:spacing w:before="20" w:after="20"/>
              <w:jc w:val="left"/>
            </w:pPr>
            <w:r>
              <w:rPr>
                <w:b/>
                <w:sz w:val="17"/>
              </w:rPr>
              <w:t>2026-12-12</w:t>
            </w:r>
          </w:p>
        </w:tc>
        <w:tc>
          <w:tcPr>
            <w:tcW w:type="dxa" w:w="1728"/>
          </w:tcPr>
          <w:p>
            <w:pPr>
              <w:spacing w:before="20" w:after="20"/>
              <w:jc w:val="left"/>
            </w:pPr>
            <w:r>
              <w:rPr>
                <w:sz w:val="17"/>
              </w:rPr>
              <w:t>VFW</w:t>
            </w:r>
          </w:p>
        </w:tc>
        <w:tc>
          <w:tcPr>
            <w:tcW w:type="dxa" w:w="1728"/>
          </w:tcPr>
          <w:p>
            <w:pPr>
              <w:spacing w:before="20" w:after="20"/>
              <w:jc w:val="left"/>
            </w:pPr>
            <w:r>
              <w:rPr>
                <w:sz w:val="17"/>
              </w:rPr>
              <w:t>Registration cutoff for the VFW Winter Council (5:00 pm).</w:t>
            </w:r>
          </w:p>
        </w:tc>
        <w:tc>
          <w:tcPr>
            <w:tcW w:type="dxa" w:w="1728"/>
          </w:tcPr>
          <w:p>
            <w:pPr>
              <w:spacing w:before="20" w:after="20"/>
              <w:jc w:val="left"/>
            </w:pPr>
            <w:r>
              <w:rPr>
                <w:i/>
                <w:sz w:val="17"/>
              </w:rPr>
              <w:t>General Orders</w:t>
            </w:r>
            <w:r>
              <w:rPr>
                <w:sz w:val="17"/>
              </w:rPr>
              <w:t xml:space="preserve"> No. 7, 2026-01-01</w:t>
            </w:r>
          </w:p>
        </w:tc>
        <w:tc>
          <w:tcPr>
            <w:tcW w:type="dxa" w:w="1728"/>
          </w:tcPr>
          <w:p>
            <w:pPr>
              <w:spacing w:before="20" w:after="20"/>
              <w:jc w:val="left"/>
            </w:pPr>
            <w:r>
              <w:rPr>
                <w:b/>
                <w:sz w:val="17"/>
              </w:rPr>
              <w:t>High</w:t>
            </w:r>
            <w:r>
              <w:rPr>
                <w:sz w:val="17"/>
              </w:rPr>
              <w:t xml:space="preserve"> (documented)</w:t>
            </w:r>
          </w:p>
        </w:tc>
      </w:tr>
      <w:tr>
        <w:tc>
          <w:tcPr>
            <w:tcW w:type="dxa" w:w="1728"/>
          </w:tcPr>
          <w:p>
            <w:pPr>
              <w:spacing w:before="20" w:after="20"/>
              <w:jc w:val="left"/>
            </w:pPr>
            <w:r>
              <w:rPr>
                <w:b/>
                <w:sz w:val="17"/>
              </w:rPr>
              <w:t>2026-12-17</w:t>
            </w:r>
          </w:p>
        </w:tc>
        <w:tc>
          <w:tcPr>
            <w:tcW w:type="dxa" w:w="1728"/>
          </w:tcPr>
          <w:p>
            <w:pPr>
              <w:spacing w:before="20" w:after="20"/>
              <w:jc w:val="left"/>
            </w:pPr>
            <w:r>
              <w:rPr>
                <w:sz w:val="17"/>
              </w:rPr>
              <w:t>JLC</w:t>
            </w:r>
          </w:p>
        </w:tc>
        <w:tc>
          <w:tcPr>
            <w:tcW w:type="dxa" w:w="1728"/>
          </w:tcPr>
          <w:p>
            <w:pPr>
              <w:spacing w:before="20" w:after="20"/>
              <w:jc w:val="left"/>
            </w:pPr>
            <w:r>
              <w:rPr>
                <w:sz w:val="17"/>
              </w:rPr>
              <w:t xml:space="preserve">JLC board, Virginia War Memorial. </w:t>
            </w:r>
            <w:r>
              <w:rPr>
                <w:b/>
                <w:sz w:val="17"/>
              </w:rPr>
              <w:t>No longer a gate.</w:t>
            </w:r>
            <w:r>
              <w:rPr>
                <w:sz w:val="17"/>
              </w:rPr>
              <w:t xml:space="preserve"> Now useful for one reason: the Work Plan is re-adopted each December, so this is where the </w:t>
            </w:r>
            <w:r>
              <w:rPr>
                <w:b/>
                <w:sz w:val="17"/>
              </w:rPr>
              <w:t>2028-cycle dates</w:t>
            </w:r>
            <w:r>
              <w:rPr>
                <w:sz w:val="17"/>
              </w:rPr>
              <w:t xml:space="preserve"> become knowable (U-8).</w:t>
            </w:r>
          </w:p>
        </w:tc>
        <w:tc>
          <w:tcPr>
            <w:tcW w:type="dxa" w:w="1728"/>
          </w:tcPr>
          <w:p>
            <w:pPr>
              <w:spacing w:before="20" w:after="20"/>
              <w:jc w:val="left"/>
            </w:pPr>
            <w:r>
              <w:rPr>
                <w:sz w:val="17"/>
              </w:rPr>
              <w:t>Commonwealth Calendar event 76654</w:t>
            </w:r>
          </w:p>
        </w:tc>
        <w:tc>
          <w:tcPr>
            <w:tcW w:type="dxa" w:w="1728"/>
          </w:tcPr>
          <w:p>
            <w:pPr>
              <w:spacing w:before="20" w:after="20"/>
              <w:jc w:val="left"/>
            </w:pPr>
            <w:r>
              <w:rPr>
                <w:b/>
                <w:sz w:val="17"/>
              </w:rPr>
              <w:t>High</w:t>
            </w:r>
            <w:r>
              <w:rPr>
                <w:sz w:val="17"/>
              </w:rPr>
              <w:t xml:space="preserve"> on the meeting; </w:t>
            </w:r>
            <w:r>
              <w:rPr>
                <w:b/>
                <w:sz w:val="17"/>
              </w:rPr>
              <w:t>Medium</w:t>
            </w:r>
            <w:r>
              <w:rPr>
                <w:sz w:val="17"/>
              </w:rPr>
              <w:t xml:space="preserve"> on what it decides</w:t>
            </w:r>
          </w:p>
        </w:tc>
      </w:tr>
      <w:tr>
        <w:tc>
          <w:tcPr>
            <w:tcW w:type="dxa" w:w="1728"/>
          </w:tcPr>
          <w:p>
            <w:pPr>
              <w:spacing w:before="20" w:after="20"/>
              <w:jc w:val="left"/>
            </w:pPr>
            <w:r>
              <w:rPr>
                <w:b/>
                <w:sz w:val="17"/>
              </w:rPr>
              <w:t>2027-01-13 – 01-15</w:t>
            </w:r>
          </w:p>
        </w:tc>
        <w:tc>
          <w:tcPr>
            <w:tcW w:type="dxa" w:w="1728"/>
          </w:tcPr>
          <w:p>
            <w:pPr>
              <w:spacing w:before="20" w:after="20"/>
              <w:jc w:val="left"/>
            </w:pPr>
            <w:r>
              <w:rPr>
                <w:b/>
                <w:sz w:val="17"/>
              </w:rPr>
              <w:t>VFW</w:t>
            </w:r>
          </w:p>
        </w:tc>
        <w:tc>
          <w:tcPr>
            <w:tcW w:type="dxa" w:w="1728"/>
          </w:tcPr>
          <w:p>
            <w:pPr>
              <w:spacing w:before="20" w:after="20"/>
              <w:jc w:val="left"/>
            </w:pPr>
            <w:r>
              <w:rPr>
                <w:b/>
                <w:sz w:val="17"/>
              </w:rPr>
              <w:t>THE OPERATIVE GATE. Winter Council of Administration</w:t>
            </w:r>
            <w:r>
              <w:rPr>
                <w:sz w:val="17"/>
              </w:rPr>
              <w:t xml:space="preserve">, Hotel Madison, Harrisonburg. The Council of Administration "shall govern the affairs of this Department between annual Department Conventions." This is the last Department decision venue before the JLC's spring screen. </w:t>
            </w:r>
            <w:r>
              <w:rPr>
                <w:b/>
                <w:sz w:val="17"/>
              </w:rPr>
              <w:t>80 days from today.</w:t>
            </w:r>
          </w:p>
        </w:tc>
        <w:tc>
          <w:tcPr>
            <w:tcW w:type="dxa" w:w="1728"/>
          </w:tcPr>
          <w:p>
            <w:pPr>
              <w:spacing w:before="20" w:after="20"/>
              <w:jc w:val="left"/>
            </w:pPr>
            <w:r>
              <w:rPr>
                <w:i/>
                <w:sz w:val="17"/>
              </w:rPr>
              <w:t>General Orders</w:t>
            </w:r>
            <w:r>
              <w:rPr>
                <w:sz w:val="17"/>
              </w:rPr>
              <w:t xml:space="preserve"> No. 7, 2026-01-01, Item 10; SOP § 5</w:t>
            </w:r>
          </w:p>
        </w:tc>
        <w:tc>
          <w:tcPr>
            <w:tcW w:type="dxa" w:w="1728"/>
          </w:tcPr>
          <w:p>
            <w:pPr>
              <w:spacing w:before="20" w:after="20"/>
              <w:jc w:val="left"/>
            </w:pPr>
            <w:r>
              <w:rPr>
                <w:b/>
                <w:sz w:val="17"/>
              </w:rPr>
              <w:t>High</w:t>
            </w:r>
            <w:r>
              <w:rPr>
                <w:sz w:val="17"/>
              </w:rPr>
              <w:t xml:space="preserve"> (both documented)</w:t>
            </w:r>
          </w:p>
        </w:tc>
      </w:tr>
      <w:tr>
        <w:tc>
          <w:tcPr>
            <w:tcW w:type="dxa" w:w="1728"/>
          </w:tcPr>
          <w:p>
            <w:pPr>
              <w:spacing w:before="20" w:after="20"/>
              <w:jc w:val="left"/>
            </w:pPr>
            <w:r>
              <w:rPr>
                <w:b/>
                <w:sz w:val="17"/>
              </w:rPr>
              <w:t>~2027-01</w:t>
            </w:r>
          </w:p>
        </w:tc>
        <w:tc>
          <w:tcPr>
            <w:tcW w:type="dxa" w:w="1728"/>
          </w:tcPr>
          <w:p>
            <w:pPr>
              <w:spacing w:before="20" w:after="20"/>
              <w:jc w:val="left"/>
            </w:pPr>
            <w:r>
              <w:rPr>
                <w:sz w:val="17"/>
              </w:rPr>
              <w:t>JLC</w:t>
            </w:r>
          </w:p>
        </w:tc>
        <w:tc>
          <w:tcPr>
            <w:tcW w:type="dxa" w:w="1728"/>
          </w:tcPr>
          <w:p>
            <w:pPr>
              <w:spacing w:before="20" w:after="20"/>
              <w:jc w:val="left"/>
            </w:pPr>
            <w:r>
              <w:rPr>
                <w:sz w:val="17"/>
              </w:rPr>
              <w:t>VFW/JLC Day on the Hill in Richmond — annual; the 2026 edition was 2026-01-15. Mobilisation, not decision.</w:t>
            </w:r>
          </w:p>
        </w:tc>
        <w:tc>
          <w:tcPr>
            <w:tcW w:type="dxa" w:w="1728"/>
          </w:tcPr>
          <w:p>
            <w:pPr>
              <w:spacing w:before="20" w:after="20"/>
              <w:jc w:val="left"/>
            </w:pPr>
            <w:r>
              <w:rPr>
                <w:i/>
                <w:sz w:val="17"/>
              </w:rPr>
              <w:t>General Orders</w:t>
            </w:r>
            <w:r>
              <w:rPr>
                <w:sz w:val="17"/>
              </w:rPr>
              <w:t xml:space="preserve"> No. 7, Item 20</w:t>
            </w:r>
          </w:p>
        </w:tc>
        <w:tc>
          <w:tcPr>
            <w:tcW w:type="dxa" w:w="1728"/>
          </w:tcPr>
          <w:p>
            <w:pPr>
              <w:spacing w:before="20" w:after="20"/>
              <w:jc w:val="left"/>
            </w:pPr>
            <w:r>
              <w:rPr>
                <w:b/>
                <w:sz w:val="17"/>
              </w:rPr>
              <w:t>High</w:t>
            </w:r>
            <w:r>
              <w:rPr>
                <w:sz w:val="17"/>
              </w:rPr>
              <w:t xml:space="preserve"> on the 2026 event; </w:t>
            </w:r>
            <w:r>
              <w:rPr>
                <w:b/>
                <w:sz w:val="17"/>
              </w:rPr>
              <w:t>Medium</w:t>
            </w:r>
            <w:r>
              <w:rPr>
                <w:sz w:val="17"/>
              </w:rPr>
              <w:t xml:space="preserve"> that it recurs in 2027</w:t>
            </w:r>
          </w:p>
        </w:tc>
      </w:tr>
      <w:tr>
        <w:tc>
          <w:tcPr>
            <w:tcW w:type="dxa" w:w="1728"/>
          </w:tcPr>
          <w:p>
            <w:pPr>
              <w:spacing w:before="20" w:after="20"/>
              <w:jc w:val="left"/>
            </w:pPr>
            <w:r>
              <w:rPr>
                <w:b/>
                <w:sz w:val="17"/>
              </w:rPr>
              <w:t>mid-to-late April 2027</w:t>
            </w:r>
          </w:p>
        </w:tc>
        <w:tc>
          <w:tcPr>
            <w:tcW w:type="dxa" w:w="1728"/>
          </w:tcPr>
          <w:p>
            <w:pPr>
              <w:spacing w:before="20" w:after="20"/>
              <w:jc w:val="left"/>
            </w:pPr>
            <w:r>
              <w:rPr>
                <w:b/>
                <w:sz w:val="17"/>
              </w:rPr>
              <w:t>JLC</w:t>
            </w:r>
          </w:p>
        </w:tc>
        <w:tc>
          <w:tcPr>
            <w:tcW w:type="dxa" w:w="1728"/>
          </w:tcPr>
          <w:p>
            <w:pPr>
              <w:spacing w:before="20" w:after="20"/>
              <w:jc w:val="left"/>
            </w:pPr>
            <w:r>
              <w:rPr>
                <w:b/>
                <w:sz w:val="17"/>
              </w:rPr>
              <w:t>The screen.</w:t>
            </w:r>
            <w:r>
              <w:rPr>
                <w:sz w:val="17"/>
              </w:rPr>
              <w:t xml:space="preserve"> JLC Legislative Committee meets to decide which proposed initiatives go to the full Council. The 2026-cycle screen was </w:t>
            </w:r>
            <w:r>
              <w:rPr>
                <w:b/>
                <w:sz w:val="17"/>
              </w:rPr>
              <w:t>2025-04-23</w:t>
            </w:r>
            <w:r>
              <w:rPr>
                <w:sz w:val="17"/>
              </w:rPr>
              <w:t xml:space="preserve">; the 2027-cycle screen was </w:t>
            </w:r>
            <w:r>
              <w:rPr>
                <w:b/>
                <w:sz w:val="17"/>
              </w:rPr>
              <w:t>2026-04-14</w:t>
            </w:r>
            <w:r>
              <w:rPr>
                <w:sz w:val="17"/>
              </w:rPr>
              <w:t xml:space="preserve">. </w:t>
            </w:r>
            <w:r>
              <w:rPr>
                <w:b/>
                <w:sz w:val="17"/>
              </w:rPr>
              <w:t>At the 2025-04-23 screen, 17 proposals were discussed and 9 were forwarded.</w:t>
            </w:r>
          </w:p>
        </w:tc>
        <w:tc>
          <w:tcPr>
            <w:tcW w:type="dxa" w:w="1728"/>
          </w:tcPr>
          <w:p>
            <w:pPr>
              <w:spacing w:before="20" w:after="20"/>
              <w:jc w:val="left"/>
            </w:pPr>
            <w:r>
              <w:rPr>
                <w:sz w:val="17"/>
              </w:rPr>
              <w:t>JLC Legislative Committee minutes 2025-04-23</w:t>
            </w:r>
          </w:p>
        </w:tc>
        <w:tc>
          <w:tcPr>
            <w:tcW w:type="dxa" w:w="1728"/>
          </w:tcPr>
          <w:p>
            <w:pPr>
              <w:spacing w:before="20" w:after="20"/>
              <w:jc w:val="left"/>
            </w:pPr>
            <w:r>
              <w:rPr>
                <w:b/>
                <w:sz w:val="17"/>
              </w:rPr>
              <w:t>High</w:t>
            </w:r>
            <w:r>
              <w:rPr>
                <w:sz w:val="17"/>
              </w:rPr>
              <w:t xml:space="preserve"> on the two dates and the 17→9 count; </w:t>
            </w:r>
            <w:r>
              <w:rPr>
                <w:b/>
                <w:sz w:val="17"/>
              </w:rPr>
              <w:t>Medium</w:t>
            </w:r>
            <w:r>
              <w:rPr>
                <w:sz w:val="17"/>
              </w:rPr>
              <w:t xml:space="preserve"> that 2027 falls in the same window</w:t>
            </w:r>
          </w:p>
        </w:tc>
      </w:tr>
      <w:tr>
        <w:tc>
          <w:tcPr>
            <w:tcW w:type="dxa" w:w="1728"/>
          </w:tcPr>
          <w:p>
            <w:pPr>
              <w:spacing w:before="20" w:after="20"/>
              <w:jc w:val="left"/>
            </w:pPr>
            <w:r>
              <w:rPr>
                <w:b/>
                <w:sz w:val="17"/>
              </w:rPr>
              <w:t>2027-05-05</w:t>
            </w:r>
          </w:p>
        </w:tc>
        <w:tc>
          <w:tcPr>
            <w:tcW w:type="dxa" w:w="1728"/>
          </w:tcPr>
          <w:p>
            <w:pPr>
              <w:spacing w:before="20" w:after="20"/>
              <w:jc w:val="left"/>
            </w:pPr>
            <w:r>
              <w:rPr>
                <w:sz w:val="17"/>
              </w:rPr>
              <w:t>VFW</w:t>
            </w:r>
          </w:p>
        </w:tc>
        <w:tc>
          <w:tcPr>
            <w:tcW w:type="dxa" w:w="1728"/>
          </w:tcPr>
          <w:p>
            <w:pPr>
              <w:spacing w:before="20" w:after="20"/>
              <w:jc w:val="left"/>
            </w:pPr>
            <w:r>
              <w:rPr>
                <w:sz w:val="17"/>
              </w:rPr>
              <w:t>Convention registration cutoff (5:00 pm). Administrative lead marker for the June convention.</w:t>
            </w:r>
          </w:p>
        </w:tc>
        <w:tc>
          <w:tcPr>
            <w:tcW w:type="dxa" w:w="1728"/>
          </w:tcPr>
          <w:p>
            <w:pPr>
              <w:spacing w:before="20" w:after="20"/>
              <w:jc w:val="left"/>
            </w:pPr>
            <w:r>
              <w:rPr>
                <w:i/>
                <w:sz w:val="17"/>
              </w:rPr>
              <w:t>General Orders</w:t>
            </w:r>
            <w:r>
              <w:rPr>
                <w:sz w:val="17"/>
              </w:rPr>
              <w:t xml:space="preserve"> No. 7, Item 10</w:t>
            </w:r>
          </w:p>
        </w:tc>
        <w:tc>
          <w:tcPr>
            <w:tcW w:type="dxa" w:w="1728"/>
          </w:tcPr>
          <w:p>
            <w:pPr>
              <w:spacing w:before="20" w:after="20"/>
              <w:jc w:val="left"/>
            </w:pPr>
            <w:r>
              <w:rPr>
                <w:b/>
                <w:sz w:val="17"/>
              </w:rPr>
              <w:t>High</w:t>
            </w:r>
          </w:p>
        </w:tc>
      </w:tr>
      <w:tr>
        <w:tc>
          <w:tcPr>
            <w:tcW w:type="dxa" w:w="1728"/>
          </w:tcPr>
          <w:p>
            <w:pPr>
              <w:spacing w:before="20" w:after="20"/>
              <w:jc w:val="left"/>
            </w:pPr>
            <w:r>
              <w:rPr>
                <w:b/>
                <w:sz w:val="17"/>
              </w:rPr>
              <w:t>2027-06-06 – 06-12</w:t>
            </w:r>
          </w:p>
        </w:tc>
        <w:tc>
          <w:tcPr>
            <w:tcW w:type="dxa" w:w="1728"/>
          </w:tcPr>
          <w:p>
            <w:pPr>
              <w:spacing w:before="20" w:after="20"/>
              <w:jc w:val="left"/>
            </w:pPr>
            <w:r>
              <w:rPr>
                <w:b/>
                <w:sz w:val="17"/>
              </w:rPr>
              <w:t>VFW</w:t>
            </w:r>
          </w:p>
        </w:tc>
        <w:tc>
          <w:tcPr>
            <w:tcW w:type="dxa" w:w="1728"/>
          </w:tcPr>
          <w:p>
            <w:pPr>
              <w:spacing w:before="20" w:after="20"/>
              <w:jc w:val="left"/>
            </w:pPr>
            <w:r>
              <w:rPr>
                <w:b/>
                <w:sz w:val="17"/>
              </w:rPr>
              <w:t>Department Convention</w:t>
            </w:r>
            <w:r>
              <w:rPr>
                <w:sz w:val="17"/>
              </w:rPr>
              <w:t xml:space="preserve">, Harrisonburg. The resolution venue: </w:t>
            </w:r>
            <w:r>
              <w:rPr>
                <w:i/>
                <w:sz w:val="17"/>
              </w:rPr>
              <w:t>"All resolutions of statewide, regional, or national concern must be acted upon by the Department Convention."</w:t>
            </w:r>
          </w:p>
        </w:tc>
        <w:tc>
          <w:tcPr>
            <w:tcW w:type="dxa" w:w="1728"/>
          </w:tcPr>
          <w:p>
            <w:pPr>
              <w:spacing w:before="20" w:after="20"/>
              <w:jc w:val="left"/>
            </w:pPr>
            <w:r>
              <w:rPr>
                <w:i/>
                <w:sz w:val="17"/>
              </w:rPr>
              <w:t>General Orders</w:t>
            </w:r>
            <w:r>
              <w:rPr>
                <w:sz w:val="17"/>
              </w:rPr>
              <w:t xml:space="preserve"> No. 7, Item 10; SOP § 3</w:t>
            </w:r>
          </w:p>
        </w:tc>
        <w:tc>
          <w:tcPr>
            <w:tcW w:type="dxa" w:w="1728"/>
          </w:tcPr>
          <w:p>
            <w:pPr>
              <w:spacing w:before="20" w:after="20"/>
              <w:jc w:val="left"/>
            </w:pPr>
            <w:r>
              <w:rPr>
                <w:b/>
                <w:sz w:val="17"/>
              </w:rPr>
              <w:t>High</w:t>
            </w:r>
            <w:r>
              <w:rPr>
                <w:sz w:val="17"/>
              </w:rPr>
              <w:t xml:space="preserve"> (both documented)</w:t>
            </w:r>
          </w:p>
        </w:tc>
      </w:tr>
      <w:tr>
        <w:tc>
          <w:tcPr>
            <w:tcW w:type="dxa" w:w="1728"/>
          </w:tcPr>
          <w:p>
            <w:pPr>
              <w:spacing w:before="20" w:after="20"/>
              <w:jc w:val="left"/>
            </w:pPr>
            <w:r>
              <w:rPr>
                <w:b/>
                <w:sz w:val="17"/>
              </w:rPr>
              <w:t>mid-June 2027</w:t>
            </w:r>
          </w:p>
        </w:tc>
        <w:tc>
          <w:tcPr>
            <w:tcW w:type="dxa" w:w="1728"/>
          </w:tcPr>
          <w:p>
            <w:pPr>
              <w:spacing w:before="20" w:after="20"/>
              <w:jc w:val="left"/>
            </w:pPr>
            <w:r>
              <w:rPr>
                <w:sz w:val="17"/>
              </w:rPr>
              <w:t>JLC</w:t>
            </w:r>
          </w:p>
        </w:tc>
        <w:tc>
          <w:tcPr>
            <w:tcW w:type="dxa" w:w="1728"/>
          </w:tcPr>
          <w:p>
            <w:pPr>
              <w:spacing w:before="20" w:after="20"/>
              <w:jc w:val="left"/>
            </w:pPr>
            <w:r>
              <w:rPr>
                <w:b/>
                <w:sz w:val="17"/>
              </w:rPr>
              <w:t>Full Council presentation.</w:t>
            </w:r>
            <w:r>
              <w:rPr>
                <w:sz w:val="17"/>
              </w:rPr>
              <w:t xml:space="preserve"> The 2026-cycle analogue was </w:t>
            </w:r>
            <w:r>
              <w:rPr>
                <w:b/>
                <w:sz w:val="17"/>
              </w:rPr>
              <w:t>2025-06-18</w:t>
            </w:r>
            <w:r>
              <w:rPr>
                <w:sz w:val="17"/>
              </w:rPr>
              <w:t xml:space="preserve">, where the nine screened initiatives went to the full JLC. Members whose initiatives advance </w:t>
            </w:r>
            <w:r>
              <w:rPr>
                <w:i/>
                <w:sz w:val="17"/>
              </w:rPr>
              <w:t>"should be prepared to fill out a template and present their idea to the full group."</w:t>
            </w:r>
          </w:p>
        </w:tc>
        <w:tc>
          <w:tcPr>
            <w:tcW w:type="dxa" w:w="1728"/>
          </w:tcPr>
          <w:p>
            <w:pPr>
              <w:spacing w:before="20" w:after="20"/>
              <w:jc w:val="left"/>
            </w:pPr>
            <w:r>
              <w:rPr>
                <w:sz w:val="17"/>
              </w:rPr>
              <w:t>JLC Legislative Committee minutes 2025-04-23, Items VII and IX</w:t>
            </w:r>
          </w:p>
        </w:tc>
        <w:tc>
          <w:tcPr>
            <w:tcW w:type="dxa" w:w="1728"/>
          </w:tcPr>
          <w:p>
            <w:pPr>
              <w:spacing w:before="20" w:after="20"/>
              <w:jc w:val="left"/>
            </w:pPr>
            <w:r>
              <w:rPr>
                <w:b/>
                <w:sz w:val="17"/>
              </w:rPr>
              <w:t>High</w:t>
            </w:r>
            <w:r>
              <w:rPr>
                <w:sz w:val="17"/>
              </w:rPr>
              <w:t xml:space="preserve"> on the requirement and the 2025 date; </w:t>
            </w:r>
            <w:r>
              <w:rPr>
                <w:b/>
                <w:sz w:val="17"/>
              </w:rPr>
              <w:t>Medium</w:t>
            </w:r>
            <w:r>
              <w:rPr>
                <w:sz w:val="17"/>
              </w:rPr>
              <w:t xml:space="preserve"> on the 2027 date</w:t>
            </w:r>
          </w:p>
        </w:tc>
      </w:tr>
      <w:tr>
        <w:tc>
          <w:tcPr>
            <w:tcW w:type="dxa" w:w="1728"/>
          </w:tcPr>
          <w:p>
            <w:pPr>
              <w:spacing w:before="20" w:after="20"/>
              <w:jc w:val="left"/>
            </w:pPr>
            <w:r>
              <w:rPr>
                <w:b/>
                <w:sz w:val="17"/>
              </w:rPr>
              <w:t>2027-06-15</w:t>
            </w:r>
          </w:p>
        </w:tc>
        <w:tc>
          <w:tcPr>
            <w:tcW w:type="dxa" w:w="1728"/>
          </w:tcPr>
          <w:p>
            <w:pPr>
              <w:spacing w:before="20" w:after="20"/>
              <w:jc w:val="left"/>
            </w:pPr>
            <w:r>
              <w:rPr>
                <w:sz w:val="17"/>
              </w:rPr>
              <w:t>JLC</w:t>
            </w:r>
          </w:p>
        </w:tc>
        <w:tc>
          <w:tcPr>
            <w:tcW w:type="dxa" w:w="1728"/>
          </w:tcPr>
          <w:p>
            <w:pPr>
              <w:spacing w:before="20" w:after="20"/>
              <w:jc w:val="left"/>
            </w:pPr>
            <w:r>
              <w:rPr>
                <w:sz w:val="17"/>
              </w:rPr>
              <w:t xml:space="preserve">Member submission deadline </w:t>
            </w:r>
            <w:r>
              <w:rPr>
                <w:b/>
                <w:sz w:val="17"/>
              </w:rPr>
              <w:t>per the 2020 Work Plan</w:t>
            </w:r>
            <w:r>
              <w:rPr>
                <w:sz w:val="17"/>
              </w:rPr>
              <w:t xml:space="preserve">. </w:t>
            </w:r>
            <w:r>
              <w:rPr>
                <w:b/>
                <w:sz w:val="17"/>
              </w:rPr>
              <w:t>Treat as indicative, not binding</w:t>
            </w:r>
            <w:r>
              <w:rPr>
                <w:sz w:val="17"/>
              </w:rPr>
              <w:t xml:space="preserve"> — the 2022 record shows the paper deadline being set in open meeting instead: </w:t>
            </w:r>
            <w:r>
              <w:rPr>
                <w:i/>
                <w:sz w:val="17"/>
              </w:rPr>
              <w:t>"Mr. Clickener asked members to provide a one page white paper on all legislative proposals by 1 September."</w:t>
            </w:r>
          </w:p>
        </w:tc>
        <w:tc>
          <w:tcPr>
            <w:tcW w:type="dxa" w:w="1728"/>
          </w:tcPr>
          <w:p>
            <w:pPr>
              <w:spacing w:before="20" w:after="20"/>
              <w:jc w:val="left"/>
            </w:pPr>
            <w:r>
              <w:rPr>
                <w:i/>
                <w:sz w:val="17"/>
              </w:rPr>
              <w:t>JLC 2020 Work Plan</w:t>
            </w:r>
            <w:r>
              <w:rPr>
                <w:sz w:val="17"/>
              </w:rPr>
              <w:t>; JLC minutes 2022-07-14</w:t>
            </w:r>
          </w:p>
        </w:tc>
        <w:tc>
          <w:tcPr>
            <w:tcW w:type="dxa" w:w="1728"/>
          </w:tcPr>
          <w:p>
            <w:pPr>
              <w:spacing w:before="20" w:after="20"/>
              <w:jc w:val="left"/>
            </w:pPr>
            <w:r>
              <w:rPr>
                <w:b/>
                <w:sz w:val="17"/>
              </w:rPr>
              <w:t>Medium</w:t>
            </w:r>
            <w:r>
              <w:rPr>
                <w:sz w:val="17"/>
              </w:rPr>
              <w:t xml:space="preserve"> — the two primary sources disagree on the date while agreeing on the shape</w:t>
            </w:r>
          </w:p>
        </w:tc>
      </w:tr>
      <w:tr>
        <w:tc>
          <w:tcPr>
            <w:tcW w:type="dxa" w:w="1728"/>
          </w:tcPr>
          <w:p>
            <w:pPr>
              <w:spacing w:before="20" w:after="20"/>
              <w:jc w:val="left"/>
            </w:pPr>
            <w:r>
              <w:rPr>
                <w:b/>
                <w:sz w:val="17"/>
              </w:rPr>
              <w:t>2027-07-31 – 08-04</w:t>
            </w:r>
          </w:p>
        </w:tc>
        <w:tc>
          <w:tcPr>
            <w:tcW w:type="dxa" w:w="1728"/>
          </w:tcPr>
          <w:p>
            <w:pPr>
              <w:spacing w:before="20" w:after="20"/>
              <w:jc w:val="left"/>
            </w:pPr>
            <w:r>
              <w:rPr>
                <w:sz w:val="17"/>
              </w:rPr>
              <w:t>VFW</w:t>
            </w:r>
          </w:p>
        </w:tc>
        <w:tc>
          <w:tcPr>
            <w:tcW w:type="dxa" w:w="1728"/>
          </w:tcPr>
          <w:p>
            <w:pPr>
              <w:spacing w:before="20" w:after="20"/>
              <w:jc w:val="left"/>
            </w:pPr>
            <w:r>
              <w:rPr>
                <w:sz w:val="17"/>
              </w:rPr>
              <w:t xml:space="preserve">VFW National Convention, Milwaukee. </w:t>
            </w:r>
            <w:r>
              <w:rPr>
                <w:b/>
                <w:sz w:val="17"/>
              </w:rPr>
              <w:t>Not on our path</w:t>
            </w:r>
            <w:r>
              <w:rPr>
                <w:sz w:val="17"/>
              </w:rPr>
              <w:t xml:space="preserve"> — see § 5, the intrastate carve-out.</w:t>
            </w:r>
          </w:p>
        </w:tc>
        <w:tc>
          <w:tcPr>
            <w:tcW w:type="dxa" w:w="1728"/>
          </w:tcPr>
          <w:p>
            <w:pPr>
              <w:spacing w:before="20" w:after="20"/>
              <w:jc w:val="left"/>
            </w:pPr>
            <w:r>
              <w:rPr>
                <w:i/>
                <w:sz w:val="17"/>
              </w:rPr>
              <w:t>General Orders</w:t>
            </w:r>
            <w:r>
              <w:rPr>
                <w:sz w:val="17"/>
              </w:rPr>
              <w:t xml:space="preserve"> No. 7, Item 10</w:t>
            </w:r>
          </w:p>
        </w:tc>
        <w:tc>
          <w:tcPr>
            <w:tcW w:type="dxa" w:w="1728"/>
          </w:tcPr>
          <w:p>
            <w:pPr>
              <w:spacing w:before="20" w:after="20"/>
              <w:jc w:val="left"/>
            </w:pPr>
            <w:r>
              <w:rPr>
                <w:b/>
                <w:sz w:val="17"/>
              </w:rPr>
              <w:t>High</w:t>
            </w:r>
          </w:p>
        </w:tc>
      </w:tr>
      <w:tr>
        <w:tc>
          <w:tcPr>
            <w:tcW w:type="dxa" w:w="1728"/>
          </w:tcPr>
          <w:p>
            <w:pPr>
              <w:spacing w:before="20" w:after="20"/>
              <w:jc w:val="left"/>
            </w:pPr>
            <w:r>
              <w:rPr>
                <w:b/>
                <w:sz w:val="17"/>
              </w:rPr>
              <w:t>~2027-09-01 to 09-15</w:t>
            </w:r>
          </w:p>
        </w:tc>
        <w:tc>
          <w:tcPr>
            <w:tcW w:type="dxa" w:w="1728"/>
          </w:tcPr>
          <w:p>
            <w:pPr>
              <w:spacing w:before="20" w:after="20"/>
              <w:jc w:val="left"/>
            </w:pPr>
            <w:r>
              <w:rPr>
                <w:sz w:val="17"/>
              </w:rPr>
              <w:t>JLC</w:t>
            </w:r>
          </w:p>
        </w:tc>
        <w:tc>
          <w:tcPr>
            <w:tcW w:type="dxa" w:w="1728"/>
          </w:tcPr>
          <w:p>
            <w:pPr>
              <w:spacing w:before="20" w:after="20"/>
              <w:jc w:val="left"/>
            </w:pPr>
            <w:r>
              <w:rPr>
                <w:sz w:val="17"/>
              </w:rPr>
              <w:t>One-page white papers / position papers due and member feedback. Two sources, two dates (1 Sep in 2022; NLT 15 Sep in the 2020 Work Plan).</w:t>
            </w:r>
          </w:p>
        </w:tc>
        <w:tc>
          <w:tcPr>
            <w:tcW w:type="dxa" w:w="1728"/>
          </w:tcPr>
          <w:p>
            <w:pPr>
              <w:spacing w:before="20" w:after="20"/>
              <w:jc w:val="left"/>
            </w:pPr>
            <w:r>
              <w:rPr>
                <w:sz w:val="17"/>
              </w:rPr>
              <w:t xml:space="preserve">JLC minutes 2022-07-14; </w:t>
            </w:r>
            <w:r>
              <w:rPr>
                <w:i/>
                <w:sz w:val="17"/>
              </w:rPr>
              <w:t>2020 Work Plan</w:t>
            </w:r>
          </w:p>
        </w:tc>
        <w:tc>
          <w:tcPr>
            <w:tcW w:type="dxa" w:w="1728"/>
          </w:tcPr>
          <w:p>
            <w:pPr>
              <w:spacing w:before="20" w:after="20"/>
              <w:jc w:val="left"/>
            </w:pPr>
            <w:r>
              <w:rPr>
                <w:b/>
                <w:sz w:val="17"/>
              </w:rPr>
              <w:t>Medium</w:t>
            </w:r>
          </w:p>
        </w:tc>
      </w:tr>
      <w:tr>
        <w:tc>
          <w:tcPr>
            <w:tcW w:type="dxa" w:w="1728"/>
          </w:tcPr>
          <w:p>
            <w:pPr>
              <w:spacing w:before="20" w:after="20"/>
              <w:jc w:val="left"/>
            </w:pPr>
            <w:r>
              <w:rPr>
                <w:b/>
                <w:sz w:val="17"/>
              </w:rPr>
              <w:t>Autumn 2027</w:t>
            </w:r>
          </w:p>
        </w:tc>
        <w:tc>
          <w:tcPr>
            <w:tcW w:type="dxa" w:w="1728"/>
          </w:tcPr>
          <w:p>
            <w:pPr>
              <w:spacing w:before="20" w:after="20"/>
              <w:jc w:val="left"/>
            </w:pPr>
            <w:r>
              <w:rPr>
                <w:sz w:val="17"/>
              </w:rPr>
              <w:t>JLC</w:t>
            </w:r>
          </w:p>
        </w:tc>
        <w:tc>
          <w:tcPr>
            <w:tcW w:type="dxa" w:w="1728"/>
          </w:tcPr>
          <w:p>
            <w:pPr>
              <w:spacing w:before="20" w:after="20"/>
              <w:jc w:val="left"/>
            </w:pPr>
            <w:r>
              <w:rPr>
                <w:sz w:val="17"/>
              </w:rPr>
              <w:t>Council adopts and prioritises the 2028 slate.</w:t>
            </w:r>
          </w:p>
        </w:tc>
        <w:tc>
          <w:tcPr>
            <w:tcW w:type="dxa" w:w="1728"/>
          </w:tcPr>
          <w:p>
            <w:pPr>
              <w:spacing w:before="20" w:after="20"/>
              <w:jc w:val="left"/>
            </w:pPr>
            <w:r>
              <w:rPr>
                <w:i/>
                <w:sz w:val="17"/>
              </w:rPr>
              <w:t>2020 Work Plan</w:t>
            </w:r>
          </w:p>
        </w:tc>
        <w:tc>
          <w:tcPr>
            <w:tcW w:type="dxa" w:w="1728"/>
          </w:tcPr>
          <w:p>
            <w:pPr>
              <w:spacing w:before="20" w:after="20"/>
              <w:jc w:val="left"/>
            </w:pPr>
            <w:r>
              <w:rPr>
                <w:b/>
                <w:sz w:val="17"/>
              </w:rPr>
              <w:t>Medium</w:t>
            </w:r>
          </w:p>
        </w:tc>
      </w:tr>
      <w:tr>
        <w:tc>
          <w:tcPr>
            <w:tcW w:type="dxa" w:w="1728"/>
          </w:tcPr>
          <w:p>
            <w:pPr>
              <w:spacing w:before="20" w:after="20"/>
              <w:jc w:val="left"/>
            </w:pPr>
            <w:r>
              <w:rPr>
                <w:b/>
                <w:sz w:val="17"/>
              </w:rPr>
              <w:t>Dec 2027</w:t>
            </w:r>
          </w:p>
        </w:tc>
        <w:tc>
          <w:tcPr>
            <w:tcW w:type="dxa" w:w="1728"/>
          </w:tcPr>
          <w:p>
            <w:pPr>
              <w:spacing w:before="20" w:after="20"/>
              <w:jc w:val="left"/>
            </w:pPr>
            <w:r>
              <w:rPr>
                <w:sz w:val="17"/>
              </w:rPr>
              <w:t>JLC</w:t>
            </w:r>
          </w:p>
        </w:tc>
        <w:tc>
          <w:tcPr>
            <w:tcW w:type="dxa" w:w="1728"/>
          </w:tcPr>
          <w:p>
            <w:pPr>
              <w:spacing w:before="20" w:after="20"/>
              <w:jc w:val="left"/>
            </w:pPr>
            <w:r>
              <w:rPr>
                <w:sz w:val="17"/>
              </w:rPr>
              <w:t>Patron list reviewed and approved; Work Plan re-adopted.</w:t>
            </w:r>
          </w:p>
        </w:tc>
        <w:tc>
          <w:tcPr>
            <w:tcW w:type="dxa" w:w="1728"/>
          </w:tcPr>
          <w:p>
            <w:pPr>
              <w:spacing w:before="20" w:after="20"/>
              <w:jc w:val="left"/>
            </w:pPr>
            <w:r>
              <w:rPr>
                <w:i/>
                <w:sz w:val="17"/>
              </w:rPr>
              <w:t>2020 Work Plan</w:t>
            </w:r>
          </w:p>
        </w:tc>
        <w:tc>
          <w:tcPr>
            <w:tcW w:type="dxa" w:w="1728"/>
          </w:tcPr>
          <w:p>
            <w:pPr>
              <w:spacing w:before="20" w:after="20"/>
              <w:jc w:val="left"/>
            </w:pPr>
            <w:r>
              <w:rPr>
                <w:b/>
                <w:sz w:val="17"/>
              </w:rPr>
              <w:t>Medium</w:t>
            </w:r>
          </w:p>
        </w:tc>
      </w:tr>
      <w:tr>
        <w:tc>
          <w:tcPr>
            <w:tcW w:type="dxa" w:w="1728"/>
          </w:tcPr>
          <w:p>
            <w:pPr>
              <w:spacing w:before="20" w:after="20"/>
              <w:jc w:val="left"/>
            </w:pPr>
            <w:r>
              <w:rPr>
                <w:b/>
                <w:sz w:val="17"/>
              </w:rPr>
              <w:t>2028-01-12 – 01-14</w:t>
            </w:r>
          </w:p>
        </w:tc>
        <w:tc>
          <w:tcPr>
            <w:tcW w:type="dxa" w:w="1728"/>
          </w:tcPr>
          <w:p>
            <w:pPr>
              <w:spacing w:before="20" w:after="20"/>
              <w:jc w:val="left"/>
            </w:pPr>
            <w:r>
              <w:rPr>
                <w:sz w:val="17"/>
              </w:rPr>
              <w:t>VFW</w:t>
            </w:r>
          </w:p>
        </w:tc>
        <w:tc>
          <w:tcPr>
            <w:tcW w:type="dxa" w:w="1728"/>
          </w:tcPr>
          <w:p>
            <w:pPr>
              <w:spacing w:before="20" w:after="20"/>
              <w:jc w:val="left"/>
            </w:pPr>
            <w:r>
              <w:rPr>
                <w:sz w:val="17"/>
              </w:rPr>
              <w:t xml:space="preserve">Winter Council of Administration — </w:t>
            </w:r>
            <w:r>
              <w:rPr>
                <w:b/>
                <w:sz w:val="17"/>
              </w:rPr>
              <w:t>the same week session convenes.</w:t>
            </w:r>
          </w:p>
        </w:tc>
        <w:tc>
          <w:tcPr>
            <w:tcW w:type="dxa" w:w="1728"/>
          </w:tcPr>
          <w:p>
            <w:pPr>
              <w:spacing w:before="20" w:after="20"/>
              <w:jc w:val="left"/>
            </w:pPr>
            <w:r>
              <w:rPr>
                <w:i/>
                <w:sz w:val="17"/>
              </w:rPr>
              <w:t>General Orders</w:t>
            </w:r>
            <w:r>
              <w:rPr>
                <w:sz w:val="17"/>
              </w:rPr>
              <w:t xml:space="preserve"> No. 7, Item 10</w:t>
            </w:r>
          </w:p>
        </w:tc>
        <w:tc>
          <w:tcPr>
            <w:tcW w:type="dxa" w:w="1728"/>
          </w:tcPr>
          <w:p>
            <w:pPr>
              <w:spacing w:before="20" w:after="20"/>
              <w:jc w:val="left"/>
            </w:pPr>
            <w:r>
              <w:rPr>
                <w:b/>
                <w:sz w:val="17"/>
              </w:rPr>
              <w:t>High</w:t>
            </w:r>
          </w:p>
        </w:tc>
      </w:tr>
      <w:tr>
        <w:tc>
          <w:tcPr>
            <w:tcW w:type="dxa" w:w="1728"/>
          </w:tcPr>
          <w:p>
            <w:pPr>
              <w:spacing w:before="20" w:after="20"/>
              <w:jc w:val="left"/>
            </w:pPr>
            <w:r>
              <w:rPr>
                <w:b/>
                <w:sz w:val="17"/>
              </w:rPr>
              <w:t>2028-01-12</w:t>
            </w:r>
          </w:p>
        </w:tc>
        <w:tc>
          <w:tcPr>
            <w:tcW w:type="dxa" w:w="1728"/>
          </w:tcPr>
          <w:p>
            <w:pPr>
              <w:spacing w:before="20" w:after="20"/>
              <w:jc w:val="left"/>
            </w:pPr>
            <w:r>
              <w:rPr>
                <w:sz w:val="17"/>
              </w:rPr>
              <w:t>GA</w:t>
            </w:r>
          </w:p>
        </w:tc>
        <w:tc>
          <w:tcPr>
            <w:tcW w:type="dxa" w:w="1728"/>
          </w:tcPr>
          <w:p>
            <w:pPr>
              <w:spacing w:before="20" w:after="20"/>
              <w:jc w:val="left"/>
            </w:pPr>
            <w:r>
              <w:rPr>
                <w:b/>
                <w:sz w:val="17"/>
              </w:rPr>
              <w:t>2028 Regular Session convenes.</w:t>
            </w:r>
            <w:r>
              <w:rPr>
                <w:sz w:val="17"/>
              </w:rPr>
              <w:t xml:space="preserve"> Even year, so </w:t>
            </w:r>
            <w:r>
              <w:rPr>
                <w:b/>
                <w:sz w:val="17"/>
              </w:rPr>
              <w:t>60 days</w:t>
            </w:r>
            <w:r>
              <w:rPr>
                <w:sz w:val="17"/>
              </w:rPr>
              <w:t xml:space="preserve"> under Art. IV, § 6 — the long session, which was the substantive argument for the slip.</w:t>
            </w:r>
          </w:p>
        </w:tc>
        <w:tc>
          <w:tcPr>
            <w:tcW w:type="dxa" w:w="1728"/>
          </w:tcPr>
          <w:p>
            <w:pPr>
              <w:spacing w:before="20" w:after="20"/>
              <w:jc w:val="left"/>
            </w:pPr>
            <w:r>
              <w:rPr>
                <w:sz w:val="17"/>
              </w:rPr>
              <w:t>Const. Va. Art. IV, § 6; second Wednesday in January</w:t>
            </w:r>
          </w:p>
        </w:tc>
        <w:tc>
          <w:tcPr>
            <w:tcW w:type="dxa" w:w="1728"/>
          </w:tcPr>
          <w:p>
            <w:pPr>
              <w:spacing w:before="20" w:after="20"/>
              <w:jc w:val="left"/>
            </w:pPr>
            <w:r>
              <w:rPr>
                <w:b/>
                <w:sz w:val="17"/>
              </w:rPr>
              <w:t>High</w:t>
            </w:r>
          </w:p>
        </w:tc>
      </w:tr>
    </w:tbl>
    <w:p>
      <w:pPr>
        <w:spacing w:before="0" w:after="0" w:line="80" w:lineRule="exact"/>
      </w:pPr>
      <w:r>
        <w:rPr>
          <w:sz w:val="8"/>
        </w:rPr>
      </w:r>
    </w:p>
    <w:p>
      <w:r>
        <w:rPr>
          <w:b/>
        </w:rPr>
        <w:t>The three numbers that matter.</w:t>
      </w:r>
      <w:r>
        <w:t xml:space="preserve"> 80 days to the VFW Winter Council. About 175 days to the JLC spring screen. 233 days to the indicative JLC paper deadline. </w:t>
      </w:r>
      <w:r>
        <w:rPr>
          <w:b/>
        </w:rPr>
        <w:t>The package has to be presentable at 80 days, not at 233.</w:t>
      </w:r>
    </w:p>
    <w:p>
      <w:pPr>
        <w:jc w:val="center"/>
      </w:pPr>
      <w:r>
        <w:rPr>
          <w:color w:val="909090"/>
          <w:sz w:val="18"/>
        </w:rPr>
        <w:t>* * *</w:t>
      </w:r>
    </w:p>
    <w:p>
      <w:pPr>
        <w:pStyle w:val="Heading2"/>
      </w:pPr>
      <w:r>
        <w:t>4. Why the Winter Council is the gate, and not the June convention</w:t>
      </w:r>
    </w:p>
    <w:p>
      <w:r>
        <w:t>This is the finding that the decision changes most.</w:t>
      </w:r>
    </w:p>
    <w:p>
      <w:r>
        <w:t xml:space="preserve">The JLC screen sits in </w:t>
      </w:r>
      <w:r>
        <w:rPr>
          <w:b/>
        </w:rPr>
        <w:t>late April</w:t>
      </w:r>
      <w:r>
        <w:t xml:space="preserve">. The VFW Department Convention sits in </w:t>
      </w:r>
      <w:r>
        <w:rPr>
          <w:b/>
        </w:rPr>
        <w:t>June</w:t>
      </w:r>
      <w:r>
        <w:t xml:space="preserve">. So if the Department's position had to come from a convention resolution, </w:t>
      </w:r>
      <w:r>
        <w:rPr>
          <w:b/>
        </w:rPr>
        <w:t>the sponsor would arrive at the screen with nothing adopted</w:t>
      </w:r>
      <w:r>
        <w:t xml:space="preserve"> — and the resolution would land in the same week as the full-Council presentation, three days before the indicative paper deadline. That ordering is wrong and it is fixable, because the Department has </w:t>
      </w:r>
      <w:r>
        <w:rPr>
          <w:b/>
        </w:rPr>
        <w:t>two instruments, not one</w:t>
      </w:r>
      <w:r>
        <w:t>, and the faster one is documented.</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Instrument</w:t>
            </w:r>
          </w:p>
        </w:tc>
        <w:tc>
          <w:tcPr>
            <w:tcW w:type="dxa" w:w="2160"/>
          </w:tcPr>
          <w:p>
            <w:pPr>
              <w:spacing w:before="20" w:after="20"/>
              <w:jc w:val="left"/>
            </w:pPr>
            <w:r>
              <w:rPr>
                <w:b/>
                <w:sz w:val="17"/>
              </w:rPr>
              <w:t>Who acts</w:t>
            </w:r>
          </w:p>
        </w:tc>
        <w:tc>
          <w:tcPr>
            <w:tcW w:type="dxa" w:w="2160"/>
          </w:tcPr>
          <w:p>
            <w:pPr>
              <w:spacing w:before="20" w:after="20"/>
              <w:jc w:val="left"/>
            </w:pPr>
            <w:r>
              <w:rPr>
                <w:b/>
                <w:sz w:val="17"/>
              </w:rPr>
              <w:t>Documented authority</w:t>
            </w:r>
          </w:p>
        </w:tc>
        <w:tc>
          <w:tcPr>
            <w:tcW w:type="dxa" w:w="2160"/>
          </w:tcPr>
          <w:p>
            <w:pPr>
              <w:spacing w:before="20" w:after="20"/>
              <w:jc w:val="left"/>
            </w:pPr>
            <w:r>
              <w:rPr>
                <w:b/>
                <w:sz w:val="17"/>
              </w:rPr>
              <w:t>Timing fit</w:t>
            </w:r>
          </w:p>
        </w:tc>
      </w:tr>
      <w:tr>
        <w:tc>
          <w:tcPr>
            <w:tcW w:type="dxa" w:w="2160"/>
          </w:tcPr>
          <w:p>
            <w:pPr>
              <w:spacing w:before="20" w:after="20"/>
              <w:jc w:val="left"/>
            </w:pPr>
            <w:r>
              <w:rPr>
                <w:b/>
                <w:sz w:val="17"/>
              </w:rPr>
              <w:t>Legislative Committee's prioritized listing</w:t>
            </w:r>
          </w:p>
        </w:tc>
        <w:tc>
          <w:tcPr>
            <w:tcW w:type="dxa" w:w="2160"/>
          </w:tcPr>
          <w:p>
            <w:pPr>
              <w:spacing w:before="20" w:after="20"/>
              <w:jc w:val="left"/>
            </w:pPr>
            <w:r>
              <w:rPr>
                <w:sz w:val="17"/>
              </w:rPr>
              <w:t>Legislative Committee (min. 7 members) → Department Commander and Council of Administration</w:t>
            </w:r>
          </w:p>
        </w:tc>
        <w:tc>
          <w:tcPr>
            <w:tcW w:type="dxa" w:w="2160"/>
          </w:tcPr>
          <w:p>
            <w:pPr>
              <w:spacing w:before="20" w:after="20"/>
              <w:jc w:val="left"/>
            </w:pPr>
            <w:r>
              <w:rPr>
                <w:sz w:val="17"/>
              </w:rPr>
              <w:t xml:space="preserve">SOP: the committee </w:t>
            </w:r>
            <w:r>
              <w:rPr>
                <w:i/>
                <w:sz w:val="17"/>
              </w:rPr>
              <w:t>"shall recommend in writing to the Department Commander and Council of Administration a prioritized listing of state and local legislative measures it feels worthy of support by the membership."</w:t>
            </w:r>
          </w:p>
        </w:tc>
        <w:tc>
          <w:tcPr>
            <w:tcW w:type="dxa" w:w="2160"/>
          </w:tcPr>
          <w:p>
            <w:pPr>
              <w:spacing w:before="20" w:after="20"/>
              <w:jc w:val="left"/>
            </w:pPr>
            <w:r>
              <w:rPr>
                <w:b/>
                <w:sz w:val="17"/>
              </w:rPr>
              <w:t>Fits.</w:t>
            </w:r>
            <w:r>
              <w:rPr>
                <w:sz w:val="17"/>
              </w:rPr>
              <w:t xml:space="preserve"> A written recommendation needs no convention. The COA "shall govern the affairs of this Department between annual Department Conventions" and meets "not less than twice each year," with the Commander able to call a special meeting. </w:t>
            </w:r>
            <w:r>
              <w:rPr>
                <w:b/>
                <w:sz w:val="17"/>
              </w:rPr>
              <w:t>Winter Council 2027-01-13 is the scheduled venue.</w:t>
            </w:r>
          </w:p>
        </w:tc>
      </w:tr>
      <w:tr>
        <w:tc>
          <w:tcPr>
            <w:tcW w:type="dxa" w:w="2160"/>
          </w:tcPr>
          <w:p>
            <w:pPr>
              <w:spacing w:before="20" w:after="20"/>
              <w:jc w:val="left"/>
            </w:pPr>
            <w:r>
              <w:rPr>
                <w:b/>
                <w:sz w:val="17"/>
              </w:rPr>
              <w:t>Convention resolution</w:t>
            </w:r>
          </w:p>
        </w:tc>
        <w:tc>
          <w:tcPr>
            <w:tcW w:type="dxa" w:w="2160"/>
          </w:tcPr>
          <w:p>
            <w:pPr>
              <w:spacing w:before="20" w:after="20"/>
              <w:jc w:val="left"/>
            </w:pPr>
            <w:r>
              <w:rPr>
                <w:sz w:val="17"/>
              </w:rPr>
              <w:t>Member → Post approval → Post Adjutant → Department Adjutant → Resolutions Committee → Department Convention floor</w:t>
            </w:r>
          </w:p>
        </w:tc>
        <w:tc>
          <w:tcPr>
            <w:tcW w:type="dxa" w:w="2160"/>
          </w:tcPr>
          <w:p>
            <w:pPr>
              <w:spacing w:before="20" w:after="20"/>
              <w:jc w:val="left"/>
            </w:pPr>
            <w:r>
              <w:rPr>
                <w:sz w:val="17"/>
              </w:rPr>
              <w:t xml:space="preserve">SOP § 3, verbatim chain. </w:t>
            </w:r>
            <w:r>
              <w:rPr>
                <w:i/>
                <w:sz w:val="17"/>
              </w:rPr>
              <w:t>"All resolutions of statewide, regional, or national concern must be acted upon by the Department Convention."</w:t>
            </w:r>
          </w:p>
        </w:tc>
        <w:tc>
          <w:tcPr>
            <w:tcW w:type="dxa" w:w="2160"/>
          </w:tcPr>
          <w:p>
            <w:pPr>
              <w:spacing w:before="20" w:after="20"/>
              <w:jc w:val="left"/>
            </w:pPr>
            <w:r>
              <w:rPr>
                <w:b/>
                <w:sz w:val="17"/>
              </w:rPr>
              <w:t>Does not fit the screen, fits everything after it.</w:t>
            </w:r>
            <w:r>
              <w:rPr>
                <w:sz w:val="17"/>
              </w:rPr>
              <w:t xml:space="preserve"> June 2027. This is the durable instrument — and the one that makes the position survive a change of Department officers.</w:t>
            </w:r>
          </w:p>
        </w:tc>
      </w:tr>
    </w:tbl>
    <w:p>
      <w:pPr>
        <w:spacing w:before="0" w:after="0" w:line="80" w:lineRule="exact"/>
      </w:pPr>
      <w:r>
        <w:rPr>
          <w:sz w:val="8"/>
        </w:rPr>
      </w:r>
    </w:p>
    <w:p>
      <w:r>
        <w:rPr>
          <w:b/>
        </w:rPr>
        <w:t>So the sequence that works, if JLCVSO chooses to make the approach:</w:t>
      </w:r>
      <w:r>
        <w:t xml:space="preserve"> the prioritized listing carries the initiative into the </w:t>
      </w:r>
      <w:r>
        <w:rPr>
          <w:b/>
        </w:rPr>
        <w:t>April screen</w:t>
      </w:r>
      <w:r>
        <w:t xml:space="preserve"> and the </w:t>
      </w:r>
      <w:r>
        <w:rPr>
          <w:b/>
        </w:rPr>
        <w:t>June full-Council presentation</w:t>
      </w:r>
      <w:r>
        <w:t xml:space="preserve">; the </w:t>
      </w:r>
      <w:r>
        <w:rPr>
          <w:b/>
        </w:rPr>
        <w:t>convention resolution ratifies it</w:t>
      </w:r>
      <w:r>
        <w:t xml:space="preserve"> during the same June window and becomes the standing Department position for the 2028 session and after. Those are complementary, not alternatives.</w:t>
      </w:r>
    </w:p>
    <w:p>
      <w:r>
        <w:rPr>
          <w:b/>
        </w:rPr>
        <w:t>Confidence.</w:t>
      </w:r>
      <w:r>
        <w:t xml:space="preserve"> </w:t>
      </w:r>
      <w:r>
        <w:rPr>
          <w:b/>
        </w:rPr>
        <w:t>High</w:t>
      </w:r>
      <w:r>
        <w:t xml:space="preserve"> that both instruments exist and that the authority language is as quoted — both are from the Department's own approved SOP. </w:t>
      </w:r>
      <w:r>
        <w:rPr>
          <w:b/>
        </w:rPr>
        <w:t>Medium</w:t>
      </w:r>
      <w:r>
        <w:t xml:space="preserve"> on the sequencing recommendation itself, which is my inference from the two calendars, not a documented VFW practice. </w:t>
      </w:r>
      <w:r>
        <w:rPr>
          <w:b/>
        </w:rPr>
        <w:t>Not documented at all:</w:t>
      </w:r>
      <w:r>
        <w:t xml:space="preserve"> whether the Department would use the listing route for an item outside its current priorities. That is U-12.</w:t>
      </w:r>
    </w:p>
    <w:p>
      <w:r>
        <w:rPr>
          <w:b/>
        </w:rPr>
        <w:t>One timing trap inside the resolution route.</w:t>
      </w:r>
      <w:r>
        <w:t xml:space="preserve"> A resolution originates with a member and </w:t>
      </w:r>
      <w:r>
        <w:rPr>
          <w:b/>
        </w:rPr>
        <w:t>must be approved by the author's Post</w:t>
      </w:r>
      <w:r>
        <w:t xml:space="preserve"> before the Post Adjutant forwards it to the Department Adjutant. Post-level action is monthly at best. Working backwards from a June 2027 convention, the originating Post step belongs in </w:t>
      </w:r>
      <w:r>
        <w:rPr>
          <w:b/>
        </w:rPr>
        <w:t>winter or early spring 2027</w:t>
      </w:r>
      <w:r>
        <w:t xml:space="preserve">, not May. Confidence </w:t>
      </w:r>
      <w:r>
        <w:rPr>
          <w:b/>
        </w:rPr>
        <w:t>High</w:t>
      </w:r>
      <w:r>
        <w:t xml:space="preserve"> on the chain (SOP § 3 verbatim); </w:t>
      </w:r>
      <w:r>
        <w:rPr>
          <w:b/>
        </w:rPr>
        <w:t>Medium</w:t>
      </w:r>
      <w:r>
        <w:t xml:space="preserve"> on the lead time, which is inferred from how Posts meet.</w:t>
      </w:r>
    </w:p>
    <w:p>
      <w:pPr>
        <w:jc w:val="center"/>
      </w:pPr>
      <w:r>
        <w:rPr>
          <w:color w:val="909090"/>
          <w:sz w:val="18"/>
        </w:rPr>
        <w:t>* * *</w:t>
      </w:r>
    </w:p>
    <w:p>
      <w:pPr>
        <w:pStyle w:val="Heading2"/>
      </w:pPr>
      <w:r>
        <w:t>5. The sponsor dossier — VFW, Department of Virginia</w:t>
      </w:r>
    </w:p>
    <w:p>
      <w:pPr>
        <w:pStyle w:val="Heading3"/>
      </w:pPr>
      <w:r>
        <w:t>5.1 What is documented</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w:t>
            </w:r>
          </w:p>
        </w:tc>
        <w:tc>
          <w:tcPr>
            <w:tcW w:type="dxa" w:w="2160"/>
          </w:tcPr>
          <w:p>
            <w:pPr>
              <w:spacing w:before="20" w:after="20"/>
              <w:jc w:val="left"/>
            </w:pPr>
            <w:r>
              <w:rPr>
                <w:b/>
                <w:sz w:val="17"/>
              </w:rPr>
              <w:t>Fact</w:t>
            </w:r>
          </w:p>
        </w:tc>
        <w:tc>
          <w:tcPr>
            <w:tcW w:type="dxa" w:w="2160"/>
          </w:tcPr>
          <w:p>
            <w:pPr>
              <w:spacing w:before="20" w:after="20"/>
              <w:jc w:val="left"/>
            </w:pPr>
            <w:r>
              <w:rPr>
                <w:b/>
                <w:sz w:val="17"/>
              </w:rPr>
              <w:t>Source</w:t>
            </w:r>
          </w:p>
        </w:tc>
        <w:tc>
          <w:tcPr>
            <w:tcW w:type="dxa" w:w="2160"/>
          </w:tcPr>
          <w:p>
            <w:pPr>
              <w:spacing w:before="20" w:after="20"/>
              <w:jc w:val="left"/>
            </w:pPr>
            <w:r>
              <w:rPr>
                <w:b/>
                <w:sz w:val="17"/>
              </w:rPr>
              <w:t>Confidence</w:t>
            </w:r>
          </w:p>
        </w:tc>
      </w:tr>
      <w:tr>
        <w:tc>
          <w:tcPr>
            <w:tcW w:type="dxa" w:w="2160"/>
          </w:tcPr>
          <w:p>
            <w:pPr>
              <w:spacing w:before="20" w:after="20"/>
              <w:jc w:val="left"/>
            </w:pPr>
            <w:r>
              <w:rPr>
                <w:sz w:val="17"/>
              </w:rPr>
              <w:t>1</w:t>
            </w:r>
          </w:p>
        </w:tc>
        <w:tc>
          <w:tcPr>
            <w:tcW w:type="dxa" w:w="2160"/>
          </w:tcPr>
          <w:p>
            <w:pPr>
              <w:spacing w:before="20" w:after="20"/>
              <w:jc w:val="left"/>
            </w:pPr>
            <w:r>
              <w:rPr>
                <w:b/>
                <w:sz w:val="17"/>
              </w:rPr>
              <w:t>Holds a JLC seat.</w:t>
            </w:r>
            <w:r>
              <w:rPr>
                <w:sz w:val="17"/>
              </w:rPr>
              <w:t xml:space="preserve"> Representative and alternate are both published.</w:t>
            </w:r>
          </w:p>
        </w:tc>
        <w:tc>
          <w:tcPr>
            <w:tcW w:type="dxa" w:w="2160"/>
          </w:tcPr>
          <w:p>
            <w:pPr>
              <w:spacing w:before="20" w:after="20"/>
              <w:jc w:val="left"/>
            </w:pPr>
            <w:r>
              <w:rPr>
                <w:sz w:val="17"/>
              </w:rPr>
              <w:t>DVS JLC roster as of 2026-01-17 (via search index — the page itself is still HTTP 403); JLC minutes 2022-07-14 list "Rick Raskin, Veterans of Foreign Wars" among Members Present and "Joanne Smith, Veterans of Foreign Wars" among Alternates Present</w:t>
            </w:r>
          </w:p>
        </w:tc>
        <w:tc>
          <w:tcPr>
            <w:tcW w:type="dxa" w:w="2160"/>
          </w:tcPr>
          <w:p>
            <w:pPr>
              <w:spacing w:before="20" w:after="20"/>
              <w:jc w:val="left"/>
            </w:pPr>
            <w:r>
              <w:rPr>
                <w:b/>
                <w:sz w:val="17"/>
              </w:rPr>
              <w:t>High</w:t>
            </w:r>
          </w:p>
        </w:tc>
      </w:tr>
      <w:tr>
        <w:tc>
          <w:tcPr>
            <w:tcW w:type="dxa" w:w="2160"/>
          </w:tcPr>
          <w:p>
            <w:pPr>
              <w:spacing w:before="20" w:after="20"/>
              <w:jc w:val="left"/>
            </w:pPr>
            <w:r>
              <w:rPr>
                <w:sz w:val="17"/>
              </w:rPr>
              <w:t>2</w:t>
            </w:r>
          </w:p>
        </w:tc>
        <w:tc>
          <w:tcPr>
            <w:tcW w:type="dxa" w:w="2160"/>
          </w:tcPr>
          <w:p>
            <w:pPr>
              <w:spacing w:before="20" w:after="20"/>
              <w:jc w:val="left"/>
            </w:pPr>
            <w:r>
              <w:rPr>
                <w:b/>
                <w:sz w:val="17"/>
              </w:rPr>
              <w:t>Its representative works the Council procedurally, not just attends.</w:t>
            </w:r>
            <w:r>
              <w:rPr>
                <w:sz w:val="17"/>
              </w:rPr>
              <w:t xml:space="preserve"> At the 2022-07-14 full Council meeting, VFW's representative moved a friendly amendment to the JLC by-laws, which was taken up and carried.</w:t>
            </w:r>
          </w:p>
        </w:tc>
        <w:tc>
          <w:tcPr>
            <w:tcW w:type="dxa" w:w="2160"/>
          </w:tcPr>
          <w:p>
            <w:pPr>
              <w:spacing w:before="20" w:after="20"/>
              <w:jc w:val="left"/>
            </w:pPr>
            <w:r>
              <w:rPr>
                <w:sz w:val="17"/>
              </w:rPr>
              <w:t>JLC minutes 2022-07-14</w:t>
            </w:r>
          </w:p>
        </w:tc>
        <w:tc>
          <w:tcPr>
            <w:tcW w:type="dxa" w:w="2160"/>
          </w:tcPr>
          <w:p>
            <w:pPr>
              <w:spacing w:before="20" w:after="20"/>
              <w:jc w:val="left"/>
            </w:pPr>
            <w:r>
              <w:rPr>
                <w:b/>
                <w:sz w:val="17"/>
              </w:rPr>
              <w:t>High</w:t>
            </w:r>
          </w:p>
        </w:tc>
      </w:tr>
      <w:tr>
        <w:tc>
          <w:tcPr>
            <w:tcW w:type="dxa" w:w="2160"/>
          </w:tcPr>
          <w:p>
            <w:pPr>
              <w:spacing w:before="20" w:after="20"/>
              <w:jc w:val="left"/>
            </w:pPr>
            <w:r>
              <w:rPr>
                <w:sz w:val="17"/>
              </w:rPr>
              <w:t>3</w:t>
            </w:r>
          </w:p>
        </w:tc>
        <w:tc>
          <w:tcPr>
            <w:tcW w:type="dxa" w:w="2160"/>
          </w:tcPr>
          <w:p>
            <w:pPr>
              <w:spacing w:before="20" w:after="20"/>
              <w:jc w:val="left"/>
            </w:pPr>
            <w:r>
              <w:rPr>
                <w:b/>
                <w:sz w:val="17"/>
              </w:rPr>
              <w:t>Standing Commonwealth Legislative Team</w:t>
            </w:r>
            <w:r>
              <w:rPr>
                <w:sz w:val="17"/>
              </w:rPr>
              <w:t xml:space="preserve">, named in the Department's own publication, with the </w:t>
            </w:r>
            <w:r>
              <w:rPr>
                <w:b/>
                <w:sz w:val="17"/>
              </w:rPr>
              <w:t>JLC Representative and JLC Alternate on it</w:t>
            </w:r>
            <w:r>
              <w:rPr>
                <w:sz w:val="17"/>
              </w:rPr>
              <w:t xml:space="preserve"> alongside the Legislative Chairman.</w:t>
            </w:r>
          </w:p>
        </w:tc>
        <w:tc>
          <w:tcPr>
            <w:tcW w:type="dxa" w:w="2160"/>
          </w:tcPr>
          <w:p>
            <w:pPr>
              <w:spacing w:before="20" w:after="20"/>
              <w:jc w:val="left"/>
            </w:pPr>
            <w:r>
              <w:rPr>
                <w:i/>
                <w:sz w:val="17"/>
              </w:rPr>
              <w:t>General Orders</w:t>
            </w:r>
            <w:r>
              <w:rPr>
                <w:sz w:val="17"/>
              </w:rPr>
              <w:t xml:space="preserve"> No. 7, 2026-01-01, Commander's message</w:t>
            </w:r>
          </w:p>
        </w:tc>
        <w:tc>
          <w:tcPr>
            <w:tcW w:type="dxa" w:w="2160"/>
          </w:tcPr>
          <w:p>
            <w:pPr>
              <w:spacing w:before="20" w:after="20"/>
              <w:jc w:val="left"/>
            </w:pPr>
            <w:r>
              <w:rPr>
                <w:b/>
                <w:sz w:val="17"/>
              </w:rPr>
              <w:t>High</w:t>
            </w:r>
          </w:p>
        </w:tc>
      </w:tr>
      <w:tr>
        <w:tc>
          <w:tcPr>
            <w:tcW w:type="dxa" w:w="2160"/>
          </w:tcPr>
          <w:p>
            <w:pPr>
              <w:spacing w:before="20" w:after="20"/>
              <w:jc w:val="left"/>
            </w:pPr>
            <w:r>
              <w:rPr>
                <w:sz w:val="17"/>
              </w:rPr>
              <w:t>4</w:t>
            </w:r>
          </w:p>
        </w:tc>
        <w:tc>
          <w:tcPr>
            <w:tcW w:type="dxa" w:w="2160"/>
          </w:tcPr>
          <w:p>
            <w:pPr>
              <w:spacing w:before="20" w:after="20"/>
              <w:jc w:val="left"/>
            </w:pPr>
            <w:r>
              <w:rPr>
                <w:b/>
                <w:sz w:val="17"/>
              </w:rPr>
              <w:t>Two standing committees and overlapping membership.</w:t>
            </w:r>
            <w:r>
              <w:rPr>
                <w:sz w:val="17"/>
              </w:rPr>
              <w:t xml:space="preserve"> Legislative Committee – State and Resolutions Committee are both standing Department committees for 2026–2027, and </w:t>
            </w:r>
            <w:r>
              <w:rPr>
                <w:b/>
                <w:sz w:val="17"/>
              </w:rPr>
              <w:t>two people sit on both</w:t>
            </w:r>
            <w:r>
              <w:rPr>
                <w:sz w:val="17"/>
              </w:rPr>
              <w:t>, one of them the JLC Representative.</w:t>
            </w:r>
          </w:p>
        </w:tc>
        <w:tc>
          <w:tcPr>
            <w:tcW w:type="dxa" w:w="2160"/>
          </w:tcPr>
          <w:p>
            <w:pPr>
              <w:spacing w:before="20" w:after="20"/>
              <w:jc w:val="left"/>
            </w:pPr>
            <w:r>
              <w:rPr>
                <w:sz w:val="17"/>
              </w:rPr>
              <w:t>vfwva.org committees page, 2026–2027 rosters</w:t>
            </w:r>
          </w:p>
        </w:tc>
        <w:tc>
          <w:tcPr>
            <w:tcW w:type="dxa" w:w="2160"/>
          </w:tcPr>
          <w:p>
            <w:pPr>
              <w:spacing w:before="20" w:after="20"/>
              <w:jc w:val="left"/>
            </w:pPr>
            <w:r>
              <w:rPr>
                <w:b/>
                <w:sz w:val="17"/>
              </w:rPr>
              <w:t>High</w:t>
            </w:r>
            <w:r>
              <w:rPr>
                <w:sz w:val="17"/>
              </w:rPr>
              <w:t xml:space="preserve"> on the rosters; the significance (the JLC seat, the legislative listing and the resolutions gate share membership) is my read, </w:t>
            </w:r>
            <w:r>
              <w:rPr>
                <w:b/>
                <w:sz w:val="17"/>
              </w:rPr>
              <w:t>Medium</w:t>
            </w:r>
          </w:p>
        </w:tc>
      </w:tr>
      <w:tr>
        <w:tc>
          <w:tcPr>
            <w:tcW w:type="dxa" w:w="2160"/>
          </w:tcPr>
          <w:p>
            <w:pPr>
              <w:spacing w:before="20" w:after="20"/>
              <w:jc w:val="left"/>
            </w:pPr>
            <w:r>
              <w:rPr>
                <w:sz w:val="17"/>
              </w:rPr>
              <w:t>5</w:t>
            </w:r>
          </w:p>
        </w:tc>
        <w:tc>
          <w:tcPr>
            <w:tcW w:type="dxa" w:w="2160"/>
          </w:tcPr>
          <w:p>
            <w:pPr>
              <w:spacing w:before="20" w:after="20"/>
              <w:jc w:val="left"/>
            </w:pPr>
            <w:r>
              <w:rPr>
                <w:b/>
                <w:sz w:val="17"/>
              </w:rPr>
              <w:t>33,645 members in Virginia</w:t>
            </w:r>
            <w:r>
              <w:rPr>
                <w:sz w:val="17"/>
              </w:rPr>
              <w:t xml:space="preserve"> (2024–2025).</w:t>
            </w:r>
          </w:p>
        </w:tc>
        <w:tc>
          <w:tcPr>
            <w:tcW w:type="dxa" w:w="2160"/>
          </w:tcPr>
          <w:p>
            <w:pPr>
              <w:spacing w:before="20" w:after="20"/>
              <w:jc w:val="left"/>
            </w:pPr>
            <w:r>
              <w:rPr>
                <w:i/>
                <w:sz w:val="17"/>
              </w:rPr>
              <w:t>General Orders</w:t>
            </w:r>
            <w:r>
              <w:rPr>
                <w:sz w:val="17"/>
              </w:rPr>
              <w:t xml:space="preserve"> No. 7, Commander's message</w:t>
            </w:r>
          </w:p>
        </w:tc>
        <w:tc>
          <w:tcPr>
            <w:tcW w:type="dxa" w:w="2160"/>
          </w:tcPr>
          <w:p>
            <w:pPr>
              <w:spacing w:before="20" w:after="20"/>
              <w:jc w:val="left"/>
            </w:pPr>
            <w:r>
              <w:rPr>
                <w:b/>
                <w:sz w:val="17"/>
              </w:rPr>
              <w:t>High</w:t>
            </w:r>
          </w:p>
        </w:tc>
      </w:tr>
      <w:tr>
        <w:tc>
          <w:tcPr>
            <w:tcW w:type="dxa" w:w="2160"/>
          </w:tcPr>
          <w:p>
            <w:pPr>
              <w:spacing w:before="20" w:after="20"/>
              <w:jc w:val="left"/>
            </w:pPr>
            <w:r>
              <w:rPr>
                <w:sz w:val="17"/>
              </w:rPr>
              <w:t>6</w:t>
            </w:r>
          </w:p>
        </w:tc>
        <w:tc>
          <w:tcPr>
            <w:tcW w:type="dxa" w:w="2160"/>
          </w:tcPr>
          <w:p>
            <w:pPr>
              <w:spacing w:before="20" w:after="20"/>
              <w:jc w:val="left"/>
            </w:pPr>
            <w:r>
              <w:rPr>
                <w:b/>
                <w:sz w:val="17"/>
              </w:rPr>
              <w:t>A mobilisation channel: VFW/JLC Day on the Hill in Richmond.</w:t>
            </w:r>
            <w:r>
              <w:rPr>
                <w:sz w:val="17"/>
              </w:rPr>
              <w:t xml:space="preserve"> The Department musters members at a Post at 07:00 and buses them to the General Assembly Building — 36 bus seats in 2026.</w:t>
            </w:r>
          </w:p>
        </w:tc>
        <w:tc>
          <w:tcPr>
            <w:tcW w:type="dxa" w:w="2160"/>
          </w:tcPr>
          <w:p>
            <w:pPr>
              <w:spacing w:before="20" w:after="20"/>
              <w:jc w:val="left"/>
            </w:pPr>
            <w:r>
              <w:rPr>
                <w:i/>
                <w:sz w:val="17"/>
              </w:rPr>
              <w:t>General Orders</w:t>
            </w:r>
            <w:r>
              <w:rPr>
                <w:sz w:val="17"/>
              </w:rPr>
              <w:t xml:space="preserve"> No. 7, Item 20</w:t>
            </w:r>
          </w:p>
        </w:tc>
        <w:tc>
          <w:tcPr>
            <w:tcW w:type="dxa" w:w="2160"/>
          </w:tcPr>
          <w:p>
            <w:pPr>
              <w:spacing w:before="20" w:after="20"/>
              <w:jc w:val="left"/>
            </w:pPr>
            <w:r>
              <w:rPr>
                <w:b/>
                <w:sz w:val="17"/>
              </w:rPr>
              <w:t>High</w:t>
            </w:r>
          </w:p>
        </w:tc>
      </w:tr>
      <w:tr>
        <w:tc>
          <w:tcPr>
            <w:tcW w:type="dxa" w:w="2160"/>
          </w:tcPr>
          <w:p>
            <w:pPr>
              <w:spacing w:before="20" w:after="20"/>
              <w:jc w:val="left"/>
            </w:pPr>
            <w:r>
              <w:rPr>
                <w:sz w:val="17"/>
              </w:rPr>
              <w:t>7</w:t>
            </w:r>
          </w:p>
        </w:tc>
        <w:tc>
          <w:tcPr>
            <w:tcW w:type="dxa" w:w="2160"/>
          </w:tcPr>
          <w:p>
            <w:pPr>
              <w:spacing w:before="20" w:after="20"/>
              <w:jc w:val="left"/>
            </w:pPr>
            <w:r>
              <w:rPr>
                <w:b/>
                <w:sz w:val="17"/>
              </w:rPr>
              <w:t>A publication channel with a known deadline.</w:t>
            </w:r>
            <w:r>
              <w:rPr>
                <w:sz w:val="17"/>
              </w:rPr>
              <w:t xml:space="preserve"> Monthly </w:t>
            </w:r>
            <w:r>
              <w:rPr>
                <w:i/>
                <w:sz w:val="17"/>
              </w:rPr>
              <w:t>General Orders</w:t>
            </w:r>
            <w:r>
              <w:rPr>
                <w:sz w:val="17"/>
              </w:rPr>
              <w:t>, cutoff the 20th of the month, "No EXCEPTIONS," reaching the whole Department.</w:t>
            </w:r>
          </w:p>
        </w:tc>
        <w:tc>
          <w:tcPr>
            <w:tcW w:type="dxa" w:w="2160"/>
          </w:tcPr>
          <w:p>
            <w:pPr>
              <w:spacing w:before="20" w:after="20"/>
              <w:jc w:val="left"/>
            </w:pPr>
            <w:r>
              <w:rPr>
                <w:i/>
                <w:sz w:val="17"/>
              </w:rPr>
              <w:t>General Orders</w:t>
            </w:r>
            <w:r>
              <w:rPr>
                <w:sz w:val="17"/>
              </w:rPr>
              <w:t xml:space="preserve"> No. 7, Item 9</w:t>
            </w:r>
          </w:p>
        </w:tc>
        <w:tc>
          <w:tcPr>
            <w:tcW w:type="dxa" w:w="2160"/>
          </w:tcPr>
          <w:p>
            <w:pPr>
              <w:spacing w:before="20" w:after="20"/>
              <w:jc w:val="left"/>
            </w:pPr>
            <w:r>
              <w:rPr>
                <w:b/>
                <w:sz w:val="17"/>
              </w:rPr>
              <w:t>High</w:t>
            </w:r>
          </w:p>
        </w:tc>
      </w:tr>
      <w:tr>
        <w:tc>
          <w:tcPr>
            <w:tcW w:type="dxa" w:w="2160"/>
          </w:tcPr>
          <w:p>
            <w:pPr>
              <w:spacing w:before="20" w:after="20"/>
              <w:jc w:val="left"/>
            </w:pPr>
            <w:r>
              <w:rPr>
                <w:sz w:val="17"/>
              </w:rPr>
              <w:t>8</w:t>
            </w:r>
          </w:p>
        </w:tc>
        <w:tc>
          <w:tcPr>
            <w:tcW w:type="dxa" w:w="2160"/>
          </w:tcPr>
          <w:p>
            <w:pPr>
              <w:spacing w:before="20" w:after="20"/>
              <w:jc w:val="left"/>
            </w:pPr>
            <w:r>
              <w:rPr>
                <w:b/>
                <w:sz w:val="17"/>
              </w:rPr>
              <w:t>It already treats the JLC slate as its session agenda.</w:t>
            </w:r>
            <w:r>
              <w:rPr>
                <w:sz w:val="17"/>
              </w:rPr>
              <w:t xml:space="preserve"> The Commander's message points members to the DVS JLC initiatives page for "JLC initiatives for the upcoming legislative session."</w:t>
            </w:r>
          </w:p>
        </w:tc>
        <w:tc>
          <w:tcPr>
            <w:tcW w:type="dxa" w:w="2160"/>
          </w:tcPr>
          <w:p>
            <w:pPr>
              <w:spacing w:before="20" w:after="20"/>
              <w:jc w:val="left"/>
            </w:pPr>
            <w:r>
              <w:rPr>
                <w:i/>
                <w:sz w:val="17"/>
              </w:rPr>
              <w:t>General Orders</w:t>
            </w:r>
            <w:r>
              <w:rPr>
                <w:sz w:val="17"/>
              </w:rPr>
              <w:t xml:space="preserve"> No. 7, Commander's message</w:t>
            </w:r>
          </w:p>
        </w:tc>
        <w:tc>
          <w:tcPr>
            <w:tcW w:type="dxa" w:w="2160"/>
          </w:tcPr>
          <w:p>
            <w:pPr>
              <w:spacing w:before="20" w:after="20"/>
              <w:jc w:val="left"/>
            </w:pPr>
            <w:r>
              <w:rPr>
                <w:b/>
                <w:sz w:val="17"/>
              </w:rPr>
              <w:t>High</w:t>
            </w:r>
          </w:p>
        </w:tc>
      </w:tr>
      <w:tr>
        <w:tc>
          <w:tcPr>
            <w:tcW w:type="dxa" w:w="2160"/>
          </w:tcPr>
          <w:p>
            <w:pPr>
              <w:spacing w:before="20" w:after="20"/>
              <w:jc w:val="left"/>
            </w:pPr>
            <w:r>
              <w:rPr>
                <w:sz w:val="17"/>
              </w:rPr>
              <w:t>9</w:t>
            </w:r>
          </w:p>
        </w:tc>
        <w:tc>
          <w:tcPr>
            <w:tcW w:type="dxa" w:w="2160"/>
          </w:tcPr>
          <w:p>
            <w:pPr>
              <w:spacing w:before="20" w:after="20"/>
              <w:jc w:val="left"/>
            </w:pPr>
            <w:r>
              <w:rPr>
                <w:b/>
                <w:sz w:val="17"/>
              </w:rPr>
              <w:t>An intrastate item needs no national step.</w:t>
            </w:r>
            <w:r>
              <w:rPr>
                <w:sz w:val="17"/>
              </w:rPr>
              <w:t xml:space="preserve"> Only resolutions "which affect matters outside state boundaries" go to the National Convention. § 51.1-142.2 is Virginia law only.</w:t>
            </w:r>
          </w:p>
        </w:tc>
        <w:tc>
          <w:tcPr>
            <w:tcW w:type="dxa" w:w="2160"/>
          </w:tcPr>
          <w:p>
            <w:pPr>
              <w:spacing w:before="20" w:after="20"/>
              <w:jc w:val="left"/>
            </w:pPr>
            <w:r>
              <w:rPr>
                <w:sz w:val="17"/>
              </w:rPr>
              <w:t>SOP § 3</w:t>
            </w:r>
          </w:p>
        </w:tc>
        <w:tc>
          <w:tcPr>
            <w:tcW w:type="dxa" w:w="2160"/>
          </w:tcPr>
          <w:p>
            <w:pPr>
              <w:spacing w:before="20" w:after="20"/>
              <w:jc w:val="left"/>
            </w:pPr>
            <w:r>
              <w:rPr>
                <w:b/>
                <w:sz w:val="17"/>
              </w:rPr>
              <w:t>High</w:t>
            </w:r>
          </w:p>
        </w:tc>
      </w:tr>
    </w:tbl>
    <w:p>
      <w:pPr>
        <w:spacing w:before="0" w:after="0" w:line="80" w:lineRule="exact"/>
      </w:pPr>
      <w:r>
        <w:rPr>
          <w:sz w:val="8"/>
        </w:rPr>
      </w:r>
    </w:p>
    <w:p>
      <w:pPr>
        <w:pStyle w:val="Heading3"/>
      </w:pPr>
      <w:r>
        <w:t>5.2 The two documented negatives</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w:t>
            </w:r>
          </w:p>
        </w:tc>
        <w:tc>
          <w:tcPr>
            <w:tcW w:type="dxa" w:w="1728"/>
          </w:tcPr>
          <w:p>
            <w:pPr>
              <w:spacing w:before="20" w:after="20"/>
              <w:jc w:val="left"/>
            </w:pPr>
            <w:r>
              <w:rPr>
                <w:b/>
                <w:sz w:val="17"/>
              </w:rPr>
              <w:t>Negative</w:t>
            </w:r>
          </w:p>
        </w:tc>
        <w:tc>
          <w:tcPr>
            <w:tcW w:type="dxa" w:w="1728"/>
          </w:tcPr>
          <w:p>
            <w:pPr>
              <w:spacing w:before="20" w:after="20"/>
              <w:jc w:val="left"/>
            </w:pPr>
            <w:r>
              <w:rPr>
                <w:b/>
                <w:sz w:val="17"/>
              </w:rPr>
              <w:t>Source</w:t>
            </w:r>
          </w:p>
        </w:tc>
        <w:tc>
          <w:tcPr>
            <w:tcW w:type="dxa" w:w="1728"/>
          </w:tcPr>
          <w:p>
            <w:pPr>
              <w:spacing w:before="20" w:after="20"/>
              <w:jc w:val="left"/>
            </w:pPr>
            <w:r>
              <w:rPr>
                <w:b/>
                <w:sz w:val="17"/>
              </w:rPr>
              <w:t>Why it matters</w:t>
            </w:r>
          </w:p>
        </w:tc>
        <w:tc>
          <w:tcPr>
            <w:tcW w:type="dxa" w:w="1728"/>
          </w:tcPr>
          <w:p>
            <w:pPr>
              <w:spacing w:before="20" w:after="20"/>
              <w:jc w:val="left"/>
            </w:pPr>
            <w:r>
              <w:rPr>
                <w:b/>
                <w:sz w:val="17"/>
              </w:rPr>
              <w:t>Confidence</w:t>
            </w:r>
          </w:p>
        </w:tc>
      </w:tr>
      <w:tr>
        <w:tc>
          <w:tcPr>
            <w:tcW w:type="dxa" w:w="1728"/>
          </w:tcPr>
          <w:p>
            <w:pPr>
              <w:spacing w:before="20" w:after="20"/>
              <w:jc w:val="left"/>
            </w:pPr>
            <w:r>
              <w:rPr>
                <w:b/>
                <w:sz w:val="17"/>
              </w:rPr>
              <w:t>N-1</w:t>
            </w:r>
          </w:p>
        </w:tc>
        <w:tc>
          <w:tcPr>
            <w:tcW w:type="dxa" w:w="1728"/>
          </w:tcPr>
          <w:p>
            <w:pPr>
              <w:spacing w:before="20" w:after="20"/>
              <w:jc w:val="left"/>
            </w:pPr>
            <w:r>
              <w:rPr>
                <w:b/>
                <w:sz w:val="17"/>
              </w:rPr>
              <w:t>No position on VRS, retirement, pensions, service credit or state employment — in either direction.</w:t>
            </w:r>
            <w:r>
              <w:rPr>
                <w:sz w:val="17"/>
              </w:rPr>
              <w:t xml:space="preserve"> The Department's stated 2026 session priorities are </w:t>
            </w:r>
            <w:r>
              <w:rPr>
                <w:b/>
                <w:sz w:val="17"/>
              </w:rPr>
              <w:t>Claim Sharks, Charitable Gaming, and VMSDEP</w:t>
            </w:r>
            <w:r>
              <w:rPr>
                <w:sz w:val="17"/>
              </w:rPr>
              <w:t>. Nothing adjacent to this bill.</w:t>
            </w:r>
          </w:p>
        </w:tc>
        <w:tc>
          <w:tcPr>
            <w:tcW w:type="dxa" w:w="1728"/>
          </w:tcPr>
          <w:p>
            <w:pPr>
              <w:spacing w:before="20" w:after="20"/>
              <w:jc w:val="left"/>
            </w:pPr>
            <w:r>
              <w:rPr>
                <w:i/>
                <w:sz w:val="17"/>
              </w:rPr>
              <w:t>General Orders</w:t>
            </w:r>
            <w:r>
              <w:rPr>
                <w:sz w:val="17"/>
              </w:rPr>
              <w:t xml:space="preserve"> No. 7, Commander's message and Item 20</w:t>
            </w:r>
          </w:p>
        </w:tc>
        <w:tc>
          <w:tcPr>
            <w:tcW w:type="dxa" w:w="1728"/>
          </w:tcPr>
          <w:p>
            <w:pPr>
              <w:spacing w:before="20" w:after="20"/>
              <w:jc w:val="left"/>
            </w:pPr>
            <w:r>
              <w:rPr>
                <w:sz w:val="17"/>
              </w:rPr>
              <w:t xml:space="preserve">This is a sponsor being asked to carry its </w:t>
            </w:r>
            <w:r>
              <w:rPr>
                <w:b/>
                <w:sz w:val="17"/>
              </w:rPr>
              <w:t>first</w:t>
            </w:r>
            <w:r>
              <w:rPr>
                <w:sz w:val="17"/>
              </w:rPr>
              <w:t xml:space="preserve"> item in this policy area. That is a real ask, and it is the honest frame for the approach. It is </w:t>
            </w:r>
            <w:r>
              <w:rPr>
                <w:b/>
                <w:sz w:val="17"/>
              </w:rPr>
              <w:t>not</w:t>
            </w:r>
            <w:r>
              <w:rPr>
                <w:sz w:val="17"/>
              </w:rPr>
              <w:t xml:space="preserve"> evidence of opposition.</w:t>
            </w:r>
          </w:p>
        </w:tc>
        <w:tc>
          <w:tcPr>
            <w:tcW w:type="dxa" w:w="1728"/>
          </w:tcPr>
          <w:p>
            <w:pPr>
              <w:spacing w:before="20" w:after="20"/>
              <w:jc w:val="left"/>
            </w:pPr>
            <w:r>
              <w:rPr>
                <w:b/>
                <w:sz w:val="17"/>
              </w:rPr>
              <w:t>High</w:t>
            </w:r>
            <w:r>
              <w:rPr>
                <w:sz w:val="17"/>
              </w:rPr>
              <w:t xml:space="preserve"> that the three priorities are as stated; </w:t>
            </w:r>
            <w:r>
              <w:rPr>
                <w:b/>
                <w:sz w:val="17"/>
              </w:rPr>
              <w:t>High</w:t>
            </w:r>
            <w:r>
              <w:rPr>
                <w:sz w:val="17"/>
              </w:rPr>
              <w:t xml:space="preserve"> that nothing on retirement was located; </w:t>
            </w:r>
            <w:r>
              <w:rPr>
                <w:b/>
                <w:sz w:val="17"/>
              </w:rPr>
              <w:t>Low</w:t>
            </w:r>
            <w:r>
              <w:rPr>
                <w:sz w:val="17"/>
              </w:rPr>
              <w:t xml:space="preserve"> on any inference about willingness</w:t>
            </w:r>
          </w:p>
        </w:tc>
      </w:tr>
      <w:tr>
        <w:tc>
          <w:tcPr>
            <w:tcW w:type="dxa" w:w="1728"/>
          </w:tcPr>
          <w:p>
            <w:pPr>
              <w:spacing w:before="20" w:after="20"/>
              <w:jc w:val="left"/>
            </w:pPr>
            <w:r>
              <w:rPr>
                <w:b/>
                <w:sz w:val="17"/>
              </w:rPr>
              <w:t>N-2</w:t>
            </w:r>
          </w:p>
        </w:tc>
        <w:tc>
          <w:tcPr>
            <w:tcW w:type="dxa" w:w="1728"/>
          </w:tcPr>
          <w:p>
            <w:pPr>
              <w:spacing w:before="20" w:after="20"/>
              <w:jc w:val="left"/>
            </w:pPr>
            <w:r>
              <w:rPr>
                <w:b/>
                <w:sz w:val="17"/>
              </w:rPr>
              <w:t>VFW is not one of the eight members of the JLC Legislative Committee.</w:t>
            </w:r>
            <w:r>
              <w:rPr>
                <w:sz w:val="17"/>
              </w:rPr>
              <w:t xml:space="preserve"> At the 2025-04-23 screen the roll recorded "8 of the 8 legislative committee members" present: AUSA, American Legion, Fleet Reserve Association, Student Veterans of America, MOAA, Virginia National Guard Association, Northern Virginia Veterans Association, HOPE for the Warriors. </w:t>
            </w:r>
            <w:r>
              <w:rPr>
                <w:b/>
                <w:sz w:val="17"/>
              </w:rPr>
              <w:t>VFW's alternate was present — listed under "JLC Alternates Present," not as a committee member.</w:t>
            </w:r>
          </w:p>
        </w:tc>
        <w:tc>
          <w:tcPr>
            <w:tcW w:type="dxa" w:w="1728"/>
          </w:tcPr>
          <w:p>
            <w:pPr>
              <w:spacing w:before="20" w:after="20"/>
              <w:jc w:val="left"/>
            </w:pPr>
            <w:r>
              <w:rPr>
                <w:sz w:val="17"/>
              </w:rPr>
              <w:t>JLC Legislative Committee minutes 2025-04-23</w:t>
            </w:r>
          </w:p>
        </w:tc>
        <w:tc>
          <w:tcPr>
            <w:tcW w:type="dxa" w:w="1728"/>
          </w:tcPr>
          <w:p>
            <w:pPr>
              <w:spacing w:before="20" w:after="20"/>
              <w:jc w:val="left"/>
            </w:pPr>
            <w:r>
              <w:rPr>
                <w:b/>
                <w:sz w:val="17"/>
              </w:rPr>
              <w:t>This is the structural cost of the choice.</w:t>
            </w:r>
            <w:r>
              <w:rPr>
                <w:sz w:val="17"/>
              </w:rPr>
              <w:t xml:space="preserve"> The committee that cut 17 proposals to 9 does not include the sponsor. The sponsor can be in the room and can speak; it does not hold a vote at the screen.</w:t>
            </w:r>
          </w:p>
        </w:tc>
        <w:tc>
          <w:tcPr>
            <w:tcW w:type="dxa" w:w="1728"/>
          </w:tcPr>
          <w:p>
            <w:pPr>
              <w:spacing w:before="20" w:after="20"/>
              <w:jc w:val="left"/>
            </w:pPr>
            <w:r>
              <w:rPr>
                <w:b/>
                <w:sz w:val="17"/>
              </w:rPr>
              <w:t>High</w:t>
            </w:r>
            <w:r>
              <w:rPr>
                <w:sz w:val="17"/>
              </w:rPr>
              <w:t xml:space="preserve"> on the roll call and the composition; </w:t>
            </w:r>
            <w:r>
              <w:rPr>
                <w:b/>
                <w:sz w:val="17"/>
              </w:rPr>
              <w:t>Medium</w:t>
            </w:r>
            <w:r>
              <w:rPr>
                <w:sz w:val="17"/>
              </w:rPr>
              <w:t xml:space="preserve"> that the composition is unchanged for 2027</w:t>
            </w:r>
          </w:p>
        </w:tc>
      </w:tr>
    </w:tbl>
    <w:p>
      <w:pPr>
        <w:spacing w:before="0" w:after="0" w:line="80" w:lineRule="exact"/>
      </w:pPr>
      <w:r>
        <w:rPr>
          <w:sz w:val="8"/>
        </w:rPr>
      </w:r>
    </w:p>
    <w:p>
      <w:pPr>
        <w:pStyle w:val="Heading3"/>
      </w:pPr>
      <w:r>
        <w:t>5.3 How VFW compares to the organisation v1.0 recommended</w:t>
      </w:r>
    </w:p>
    <w:p>
      <w:r>
        <w:t>Stated plainly, because the board chose differently and the difference is real.</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p>
        </w:tc>
        <w:tc>
          <w:tcPr>
            <w:tcW w:type="dxa" w:w="2880"/>
          </w:tcPr>
          <w:p>
            <w:pPr>
              <w:spacing w:before="20" w:after="20"/>
              <w:jc w:val="left"/>
            </w:pPr>
            <w:r>
              <w:rPr>
                <w:b/>
                <w:sz w:val="17"/>
              </w:rPr>
              <w:t>VFW, Dept. of Virginia</w:t>
            </w:r>
            <w:r>
              <w:rPr>
                <w:b/>
                <w:sz w:val="17"/>
              </w:rPr>
              <w:t xml:space="preserve"> (chosen)</w:t>
            </w:r>
          </w:p>
        </w:tc>
        <w:tc>
          <w:tcPr>
            <w:tcW w:type="dxa" w:w="2880"/>
          </w:tcPr>
          <w:p>
            <w:pPr>
              <w:spacing w:before="20" w:after="20"/>
              <w:jc w:val="left"/>
            </w:pPr>
            <w:r>
              <w:rPr>
                <w:b/>
                <w:sz w:val="17"/>
              </w:rPr>
              <w:t>VNGA</w:t>
            </w:r>
            <w:r>
              <w:rPr>
                <w:b/>
                <w:sz w:val="17"/>
              </w:rPr>
              <w:t xml:space="preserve"> (v1.0's recommendation)</w:t>
            </w:r>
          </w:p>
        </w:tc>
      </w:tr>
      <w:tr>
        <w:tc>
          <w:tcPr>
            <w:tcW w:type="dxa" w:w="2880"/>
          </w:tcPr>
          <w:p>
            <w:pPr>
              <w:spacing w:before="20" w:after="20"/>
              <w:jc w:val="left"/>
            </w:pPr>
            <w:r>
              <w:rPr>
                <w:sz w:val="17"/>
              </w:rPr>
              <w:t>JLC seat</w:t>
            </w:r>
          </w:p>
        </w:tc>
        <w:tc>
          <w:tcPr>
            <w:tcW w:type="dxa" w:w="2880"/>
          </w:tcPr>
          <w:p>
            <w:pPr>
              <w:spacing w:before="20" w:after="20"/>
              <w:jc w:val="left"/>
            </w:pPr>
            <w:r>
              <w:rPr>
                <w:sz w:val="17"/>
              </w:rPr>
              <w:t>Yes (documented)</w:t>
            </w:r>
          </w:p>
        </w:tc>
        <w:tc>
          <w:tcPr>
            <w:tcW w:type="dxa" w:w="2880"/>
          </w:tcPr>
          <w:p>
            <w:pPr>
              <w:spacing w:before="20" w:after="20"/>
              <w:jc w:val="left"/>
            </w:pPr>
            <w:r>
              <w:rPr>
                <w:sz w:val="17"/>
              </w:rPr>
              <w:t>Yes (documented)</w:t>
            </w:r>
          </w:p>
        </w:tc>
      </w:tr>
      <w:tr>
        <w:tc>
          <w:tcPr>
            <w:tcW w:type="dxa" w:w="2880"/>
          </w:tcPr>
          <w:p>
            <w:pPr>
              <w:spacing w:before="20" w:after="20"/>
              <w:jc w:val="left"/>
            </w:pPr>
            <w:r>
              <w:rPr>
                <w:b/>
                <w:sz w:val="17"/>
              </w:rPr>
              <w:t>Seat on the Legislative Committee — the screen</w:t>
            </w:r>
          </w:p>
        </w:tc>
        <w:tc>
          <w:tcPr>
            <w:tcW w:type="dxa" w:w="2880"/>
          </w:tcPr>
          <w:p>
            <w:pPr>
              <w:spacing w:before="20" w:after="20"/>
              <w:jc w:val="left"/>
            </w:pPr>
            <w:r>
              <w:rPr>
                <w:b/>
                <w:sz w:val="17"/>
              </w:rPr>
              <w:t>No</w:t>
            </w:r>
            <w:r>
              <w:rPr>
                <w:sz w:val="17"/>
              </w:rPr>
              <w:t xml:space="preserve"> (documented, 2025-04-23)</w:t>
            </w:r>
          </w:p>
        </w:tc>
        <w:tc>
          <w:tcPr>
            <w:tcW w:type="dxa" w:w="2880"/>
          </w:tcPr>
          <w:p>
            <w:pPr>
              <w:spacing w:before="20" w:after="20"/>
              <w:jc w:val="left"/>
            </w:pPr>
            <w:r>
              <w:rPr>
                <w:b/>
                <w:sz w:val="17"/>
              </w:rPr>
              <w:t>Yes</w:t>
            </w:r>
            <w:r>
              <w:rPr>
                <w:sz w:val="17"/>
              </w:rPr>
              <w:t xml:space="preserve"> (documented, 2025-04-23)</w:t>
            </w:r>
          </w:p>
        </w:tc>
      </w:tr>
      <w:tr>
        <w:tc>
          <w:tcPr>
            <w:tcW w:type="dxa" w:w="2880"/>
          </w:tcPr>
          <w:p>
            <w:pPr>
              <w:spacing w:before="20" w:after="20"/>
              <w:jc w:val="left"/>
            </w:pPr>
            <w:r>
              <w:rPr>
                <w:sz w:val="17"/>
              </w:rPr>
              <w:t>Initiative-conversion record</w:t>
            </w:r>
          </w:p>
        </w:tc>
        <w:tc>
          <w:tcPr>
            <w:tcW w:type="dxa" w:w="2880"/>
          </w:tcPr>
          <w:p>
            <w:pPr>
              <w:spacing w:before="20" w:after="20"/>
              <w:jc w:val="left"/>
            </w:pPr>
            <w:r>
              <w:rPr>
                <w:b/>
                <w:sz w:val="17"/>
              </w:rPr>
              <w:t>None located</w:t>
            </w:r>
            <w:r>
              <w:rPr>
                <w:sz w:val="17"/>
              </w:rPr>
              <w:t xml:space="preserve"> in the 2026 or 2027 cycle</w:t>
            </w:r>
          </w:p>
        </w:tc>
        <w:tc>
          <w:tcPr>
            <w:tcW w:type="dxa" w:w="2880"/>
          </w:tcPr>
          <w:p>
            <w:pPr>
              <w:spacing w:before="20" w:after="20"/>
              <w:jc w:val="left"/>
            </w:pPr>
            <w:r>
              <w:rPr>
                <w:b/>
                <w:sz w:val="17"/>
              </w:rPr>
              <w:t>Two of its four adopted 2026 priorities appear among the nine forwarded</w:t>
            </w:r>
            <w:r>
              <w:rPr>
                <w:sz w:val="17"/>
              </w:rPr>
              <w:t xml:space="preserve"> — Guard tuition grants $50,000→$250,000, and the Referral Enlistment Program appropriation $50,000→$250,000 (documented)</w:t>
            </w:r>
          </w:p>
        </w:tc>
      </w:tr>
      <w:tr>
        <w:tc>
          <w:tcPr>
            <w:tcW w:type="dxa" w:w="2880"/>
          </w:tcPr>
          <w:p>
            <w:pPr>
              <w:spacing w:before="20" w:after="20"/>
              <w:jc w:val="left"/>
            </w:pPr>
            <w:r>
              <w:rPr>
                <w:sz w:val="17"/>
              </w:rPr>
              <w:t>Cohort fit under § 51.1-142.2 B 3</w:t>
            </w:r>
          </w:p>
        </w:tc>
        <w:tc>
          <w:tcPr>
            <w:tcW w:type="dxa" w:w="2880"/>
          </w:tcPr>
          <w:p>
            <w:pPr>
              <w:spacing w:before="20" w:after="20"/>
              <w:jc w:val="left"/>
            </w:pPr>
            <w:r>
              <w:rPr>
                <w:b/>
                <w:sz w:val="17"/>
              </w:rPr>
              <w:t>Broad but filtered</w:t>
            </w:r>
            <w:r>
              <w:rPr>
                <w:sz w:val="17"/>
              </w:rPr>
              <w:t xml:space="preserve"> — spans all three cohorts, filtered by foreign/expeditionary service (§ 6)</w:t>
            </w:r>
          </w:p>
        </w:tc>
        <w:tc>
          <w:tcPr>
            <w:tcW w:type="dxa" w:w="2880"/>
          </w:tcPr>
          <w:p>
            <w:pPr>
              <w:spacing w:before="20" w:after="20"/>
              <w:jc w:val="left"/>
            </w:pPr>
            <w:r>
              <w:rPr>
                <w:b/>
                <w:sz w:val="17"/>
              </w:rPr>
              <w:t>Narrow and exact</w:t>
            </w:r>
            <w:r>
              <w:rPr>
                <w:sz w:val="17"/>
              </w:rPr>
              <w:t xml:space="preserve"> — the one cohort the Code affirmatively protects</w:t>
            </w:r>
          </w:p>
        </w:tc>
      </w:tr>
      <w:tr>
        <w:tc>
          <w:tcPr>
            <w:tcW w:type="dxa" w:w="2880"/>
          </w:tcPr>
          <w:p>
            <w:pPr>
              <w:spacing w:before="20" w:after="20"/>
              <w:jc w:val="left"/>
            </w:pPr>
            <w:r>
              <w:rPr>
                <w:sz w:val="17"/>
              </w:rPr>
              <w:t>Membership scale</w:t>
            </w:r>
          </w:p>
        </w:tc>
        <w:tc>
          <w:tcPr>
            <w:tcW w:type="dxa" w:w="2880"/>
          </w:tcPr>
          <w:p>
            <w:pPr>
              <w:spacing w:before="20" w:after="20"/>
              <w:jc w:val="left"/>
            </w:pPr>
            <w:r>
              <w:rPr>
                <w:b/>
                <w:sz w:val="17"/>
              </w:rPr>
              <w:t>33,645</w:t>
            </w:r>
            <w:r>
              <w:rPr>
                <w:sz w:val="17"/>
              </w:rPr>
              <w:t xml:space="preserve"> (documented)</w:t>
            </w:r>
          </w:p>
        </w:tc>
        <w:tc>
          <w:tcPr>
            <w:tcW w:type="dxa" w:w="2880"/>
          </w:tcPr>
          <w:p>
            <w:pPr>
              <w:spacing w:before="20" w:after="20"/>
              <w:jc w:val="left"/>
            </w:pPr>
            <w:r>
              <w:rPr>
                <w:sz w:val="17"/>
              </w:rPr>
              <w:t>Not located</w:t>
            </w:r>
          </w:p>
        </w:tc>
      </w:tr>
      <w:tr>
        <w:tc>
          <w:tcPr>
            <w:tcW w:type="dxa" w:w="2880"/>
          </w:tcPr>
          <w:p>
            <w:pPr>
              <w:spacing w:before="20" w:after="20"/>
              <w:jc w:val="left"/>
            </w:pPr>
            <w:r>
              <w:rPr>
                <w:sz w:val="17"/>
              </w:rPr>
              <w:t>Mobilisation</w:t>
            </w:r>
          </w:p>
        </w:tc>
        <w:tc>
          <w:tcPr>
            <w:tcW w:type="dxa" w:w="2880"/>
          </w:tcPr>
          <w:p>
            <w:pPr>
              <w:spacing w:before="20" w:after="20"/>
              <w:jc w:val="left"/>
            </w:pPr>
            <w:r>
              <w:rPr>
                <w:b/>
                <w:sz w:val="17"/>
              </w:rPr>
              <w:t>Documented</w:t>
            </w:r>
            <w:r>
              <w:rPr>
                <w:sz w:val="17"/>
              </w:rPr>
              <w:t xml:space="preserve"> — annual Day on the Hill with transport</w:t>
            </w:r>
          </w:p>
        </w:tc>
        <w:tc>
          <w:tcPr>
            <w:tcW w:type="dxa" w:w="2880"/>
          </w:tcPr>
          <w:p>
            <w:pPr>
              <w:spacing w:before="20" w:after="20"/>
              <w:jc w:val="left"/>
            </w:pPr>
            <w:r>
              <w:rPr>
                <w:sz w:val="17"/>
              </w:rPr>
              <w:t>Not located</w:t>
            </w:r>
          </w:p>
        </w:tc>
      </w:tr>
      <w:tr>
        <w:tc>
          <w:tcPr>
            <w:tcW w:type="dxa" w:w="2880"/>
          </w:tcPr>
          <w:p>
            <w:pPr>
              <w:spacing w:before="20" w:after="20"/>
              <w:jc w:val="left"/>
            </w:pPr>
            <w:r>
              <w:rPr>
                <w:sz w:val="17"/>
              </w:rPr>
              <w:t>Formal durability</w:t>
            </w:r>
          </w:p>
        </w:tc>
        <w:tc>
          <w:tcPr>
            <w:tcW w:type="dxa" w:w="2880"/>
          </w:tcPr>
          <w:p>
            <w:pPr>
              <w:spacing w:before="20" w:after="20"/>
              <w:jc w:val="left"/>
            </w:pPr>
            <w:r>
              <w:rPr>
                <w:b/>
                <w:sz w:val="17"/>
              </w:rPr>
              <w:t>Documented</w:t>
            </w:r>
            <w:r>
              <w:rPr>
                <w:sz w:val="17"/>
              </w:rPr>
              <w:t xml:space="preserve"> — convention resolution, SOP § 3</w:t>
            </w:r>
          </w:p>
        </w:tc>
        <w:tc>
          <w:tcPr>
            <w:tcW w:type="dxa" w:w="2880"/>
          </w:tcPr>
          <w:p>
            <w:pPr>
              <w:spacing w:before="20" w:after="20"/>
              <w:jc w:val="left"/>
            </w:pPr>
            <w:r>
              <w:rPr>
                <w:sz w:val="17"/>
              </w:rPr>
              <w:t>Resolutions process exists (documented page); no instrument text located</w:t>
            </w:r>
          </w:p>
        </w:tc>
      </w:tr>
      <w:tr>
        <w:tc>
          <w:tcPr>
            <w:tcW w:type="dxa" w:w="2880"/>
          </w:tcPr>
          <w:p>
            <w:pPr>
              <w:spacing w:before="20" w:after="20"/>
              <w:jc w:val="left"/>
            </w:pPr>
            <w:r>
              <w:rPr>
                <w:sz w:val="17"/>
              </w:rPr>
              <w:t>Existing position in this policy area</w:t>
            </w:r>
          </w:p>
        </w:tc>
        <w:tc>
          <w:tcPr>
            <w:tcW w:type="dxa" w:w="2880"/>
          </w:tcPr>
          <w:p>
            <w:pPr>
              <w:spacing w:before="20" w:after="20"/>
              <w:jc w:val="left"/>
            </w:pPr>
            <w:r>
              <w:rPr>
                <w:b/>
                <w:sz w:val="17"/>
              </w:rPr>
              <w:t>None, either way</w:t>
            </w:r>
            <w:r>
              <w:rPr>
                <w:sz w:val="17"/>
              </w:rPr>
              <w:t xml:space="preserve"> (documented negative)</w:t>
            </w:r>
          </w:p>
        </w:tc>
        <w:tc>
          <w:tcPr>
            <w:tcW w:type="dxa" w:w="2880"/>
          </w:tcPr>
          <w:p>
            <w:pPr>
              <w:spacing w:before="20" w:after="20"/>
              <w:jc w:val="left"/>
            </w:pPr>
            <w:r>
              <w:rPr>
                <w:b/>
                <w:sz w:val="17"/>
              </w:rPr>
              <w:t>None, either way</w:t>
            </w:r>
            <w:r>
              <w:rPr>
                <w:sz w:val="17"/>
              </w:rPr>
              <w:t xml:space="preserve"> (documented negative)</w:t>
            </w:r>
          </w:p>
        </w:tc>
      </w:tr>
    </w:tbl>
    <w:p>
      <w:pPr>
        <w:spacing w:before="0" w:after="0" w:line="80" w:lineRule="exact"/>
      </w:pPr>
      <w:r>
        <w:rPr>
          <w:sz w:val="8"/>
        </w:rPr>
      </w:r>
    </w:p>
    <w:p>
      <w:r>
        <w:rPr>
          <w:b/>
        </w:rPr>
        <w:t>The honest summary.</w:t>
      </w:r>
      <w:r>
        <w:t xml:space="preserve"> VFW is </w:t>
      </w:r>
      <w:r>
        <w:rPr>
          <w:b/>
        </w:rPr>
        <w:t>stronger on scale, mobilisation, formal durability and procedural experience inside the Council</w:t>
      </w:r>
      <w:r>
        <w:t xml:space="preserve">, and </w:t>
      </w:r>
      <w:r>
        <w:rPr>
          <w:b/>
        </w:rPr>
        <w:t>weaker on the two things that decide whether an initiative reaches the Council floor at all</w:t>
      </w:r>
      <w:r>
        <w:t xml:space="preserve">: a vote at the April screen, and a track record of converting its own asks into JLC initiatives. </w:t>
      </w:r>
      <w:r>
        <w:rPr>
          <w:b/>
        </w:rPr>
        <w:t>The mitigation is in § 4</w:t>
      </w:r>
      <w:r>
        <w:t xml:space="preserve"> — use the prioritized-listing route so the Department's position is adopted </w:t>
      </w:r>
      <w:r>
        <w:rPr>
          <w:i/>
        </w:rPr>
        <w:t>before</w:t>
      </w:r>
      <w:r>
        <w:t xml:space="preserve"> the screen, and accept that at the screen the sponsor is a voice rather than a vote. </w:t>
      </w:r>
      <w:r>
        <w:rPr>
          <w:b/>
        </w:rPr>
        <w:t>Neither organisation has a documented position on this subject, so the willingness question is open either way; the board's choice does not make it worse.</w:t>
      </w:r>
    </w:p>
    <w:p>
      <w:pPr>
        <w:jc w:val="center"/>
      </w:pPr>
      <w:r>
        <w:rPr>
          <w:color w:val="909090"/>
          <w:sz w:val="18"/>
        </w:rPr>
        <w:t>* * *</w:t>
      </w:r>
    </w:p>
    <w:p>
      <w:pPr>
        <w:pStyle w:val="Heading2"/>
      </w:pPr>
      <w:r>
        <w:t>6. The eligibility fact that drives the pitch — and VFW's own membership rule on top of it</w:t>
      </w:r>
    </w:p>
    <w:p>
      <w:r>
        <w:t>Retained from v1.0 § 4, which reversed Annex C v1.1 and still stands.</w:t>
      </w:r>
    </w:p>
    <w:p>
      <w:r>
        <w:rPr>
          <w:b/>
        </w:rPr>
        <w:t>§ 51.1-142.2 B 3 bars</w:t>
      </w:r>
      <w:r>
        <w:t xml:space="preserve"> purchase of service credit "included in the calculation of any retirement allowance received or to be received from this or another retirement system, </w:t>
      </w:r>
      <w:r>
        <w:rPr>
          <w:b/>
        </w:rPr>
        <w:t>except as otherwise required by Chapter 1223 of Title 10 of the United States Code</w:t>
      </w:r>
      <w:r>
        <w:t xml:space="preserve">." Chapter 1223 is </w:t>
      </w:r>
      <w:r>
        <w:rPr>
          <w:b/>
        </w:rPr>
        <w:t>Reserve Component</w:t>
      </w:r>
      <w:r>
        <w:t xml:space="preserve"> retirement. Counsel and the Red Team have both construed this and agree (Annex A § 4; Red Team </w:t>
      </w:r>
      <w:r>
        <w:rPr>
          <w:b/>
        </w:rPr>
        <w:t>S-4</w:t>
      </w:r>
      <w:r>
        <w:t>).</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Cohort</w:t>
            </w:r>
          </w:p>
        </w:tc>
        <w:tc>
          <w:tcPr>
            <w:tcW w:type="dxa" w:w="2880"/>
          </w:tcPr>
          <w:p>
            <w:pPr>
              <w:spacing w:before="20" w:after="20"/>
              <w:jc w:val="left"/>
            </w:pPr>
            <w:r>
              <w:rPr>
                <w:b/>
                <w:sz w:val="17"/>
              </w:rPr>
              <w:t>Eligibility under B 3</w:t>
            </w:r>
          </w:p>
        </w:tc>
        <w:tc>
          <w:tcPr>
            <w:tcW w:type="dxa" w:w="2880"/>
          </w:tcPr>
          <w:p>
            <w:pPr>
              <w:spacing w:before="20" w:after="20"/>
              <w:jc w:val="left"/>
            </w:pPr>
            <w:r>
              <w:rPr>
                <w:b/>
                <w:sz w:val="17"/>
              </w:rPr>
              <w:t>Confidence</w:t>
            </w:r>
          </w:p>
        </w:tc>
      </w:tr>
      <w:tr>
        <w:tc>
          <w:tcPr>
            <w:tcW w:type="dxa" w:w="2880"/>
          </w:tcPr>
          <w:p>
            <w:pPr>
              <w:spacing w:before="20" w:after="20"/>
              <w:jc w:val="left"/>
            </w:pPr>
            <w:r>
              <w:rPr>
                <w:b/>
                <w:sz w:val="17"/>
              </w:rPr>
              <w:t>Short-service active-duty veterans</w:t>
            </w:r>
            <w:r>
              <w:rPr>
                <w:sz w:val="17"/>
              </w:rPr>
              <w:t xml:space="preserve"> — 180+ consecutive days, no military retirement</w:t>
            </w:r>
          </w:p>
        </w:tc>
        <w:tc>
          <w:tcPr>
            <w:tcW w:type="dxa" w:w="2880"/>
          </w:tcPr>
          <w:p>
            <w:pPr>
              <w:spacing w:before="20" w:after="20"/>
              <w:jc w:val="left"/>
            </w:pPr>
            <w:r>
              <w:rPr>
                <w:b/>
                <w:sz w:val="17"/>
              </w:rPr>
              <w:t>Eligible</w:t>
            </w:r>
            <w:r>
              <w:rPr>
                <w:sz w:val="17"/>
              </w:rPr>
              <w:t>, subject to the unresolved second limb below</w:t>
            </w:r>
          </w:p>
        </w:tc>
        <w:tc>
          <w:tcPr>
            <w:tcW w:type="dxa" w:w="2880"/>
          </w:tcPr>
          <w:p>
            <w:pPr>
              <w:spacing w:before="20" w:after="20"/>
              <w:jc w:val="left"/>
            </w:pPr>
            <w:r>
              <w:rPr>
                <w:b/>
                <w:sz w:val="17"/>
              </w:rPr>
              <w:t>High</w:t>
            </w:r>
            <w:r>
              <w:rPr>
                <w:sz w:val="17"/>
              </w:rPr>
              <w:t xml:space="preserve"> (statute, verified verbatim by Red Team)</w:t>
            </w:r>
          </w:p>
        </w:tc>
      </w:tr>
      <w:tr>
        <w:tc>
          <w:tcPr>
            <w:tcW w:type="dxa" w:w="2880"/>
          </w:tcPr>
          <w:p>
            <w:pPr>
              <w:spacing w:before="20" w:after="20"/>
              <w:jc w:val="left"/>
            </w:pPr>
            <w:r>
              <w:rPr>
                <w:b/>
                <w:sz w:val="17"/>
              </w:rPr>
              <w:t>Guard and Reserve members and retirees</w:t>
            </w:r>
            <w:r>
              <w:rPr>
                <w:sz w:val="17"/>
              </w:rPr>
              <w:t xml:space="preserve"> with 180+ consecutive days of qualifying full-time service</w:t>
            </w:r>
          </w:p>
        </w:tc>
        <w:tc>
          <w:tcPr>
            <w:tcW w:type="dxa" w:w="2880"/>
          </w:tcPr>
          <w:p>
            <w:pPr>
              <w:spacing w:before="20" w:after="20"/>
              <w:jc w:val="left"/>
            </w:pPr>
            <w:r>
              <w:rPr>
                <w:b/>
                <w:sz w:val="17"/>
              </w:rPr>
              <w:t>Eligible, and affirmatively protected</w:t>
            </w:r>
            <w:r>
              <w:rPr>
                <w:sz w:val="17"/>
              </w:rPr>
              <w:t xml:space="preserve"> — the only cohort whose eligibility survives a military retirement allowance</w:t>
            </w:r>
          </w:p>
        </w:tc>
        <w:tc>
          <w:tcPr>
            <w:tcW w:type="dxa" w:w="2880"/>
          </w:tcPr>
          <w:p>
            <w:pPr>
              <w:spacing w:before="20" w:after="20"/>
              <w:jc w:val="left"/>
            </w:pPr>
            <w:r>
              <w:rPr>
                <w:b/>
                <w:sz w:val="17"/>
              </w:rPr>
              <w:t>High</w:t>
            </w:r>
          </w:p>
        </w:tc>
      </w:tr>
      <w:tr>
        <w:tc>
          <w:tcPr>
            <w:tcW w:type="dxa" w:w="2880"/>
          </w:tcPr>
          <w:p>
            <w:pPr>
              <w:spacing w:before="20" w:after="20"/>
              <w:jc w:val="left"/>
            </w:pPr>
            <w:r>
              <w:rPr>
                <w:b/>
                <w:sz w:val="17"/>
              </w:rPr>
              <w:t>Regular (20-year active-duty) retirees</w:t>
            </w:r>
          </w:p>
        </w:tc>
        <w:tc>
          <w:tcPr>
            <w:tcW w:type="dxa" w:w="2880"/>
          </w:tcPr>
          <w:p>
            <w:pPr>
              <w:spacing w:before="20" w:after="20"/>
              <w:jc w:val="left"/>
            </w:pPr>
            <w:r>
              <w:rPr>
                <w:b/>
                <w:sz w:val="17"/>
              </w:rPr>
              <w:t>Barred</w:t>
            </w:r>
            <w:r>
              <w:rPr>
                <w:sz w:val="17"/>
              </w:rPr>
              <w:t xml:space="preserve"> by the first limb</w:t>
            </w:r>
          </w:p>
        </w:tc>
        <w:tc>
          <w:tcPr>
            <w:tcW w:type="dxa" w:w="2880"/>
          </w:tcPr>
          <w:p>
            <w:pPr>
              <w:spacing w:before="20" w:after="20"/>
              <w:jc w:val="left"/>
            </w:pPr>
            <w:r>
              <w:rPr>
                <w:b/>
                <w:sz w:val="17"/>
              </w:rPr>
              <w:t>High</w:t>
            </w:r>
          </w:p>
        </w:tc>
      </w:tr>
    </w:tbl>
    <w:p>
      <w:pPr>
        <w:spacing w:before="0" w:after="0" w:line="80" w:lineRule="exact"/>
      </w:pPr>
      <w:r>
        <w:rPr>
          <w:sz w:val="8"/>
        </w:rPr>
      </w:r>
    </w:p>
    <w:p>
      <w:r>
        <w:rPr>
          <w:b/>
        </w:rPr>
        <w:t>The open limb, which cuts only against the first cohort.</w:t>
      </w:r>
      <w:r>
        <w:t xml:space="preserve"> B 3 also bars purchase "if there is a balance in a defined contribution account that serves as a primary retirement account related to such service." Red Team S-4 flags that </w:t>
      </w:r>
      <w:r>
        <w:rPr>
          <w:b/>
        </w:rPr>
        <w:t>Blended Retirement System</w:t>
      </w:r>
      <w:r>
        <w:t xml:space="preserve"> service — mandatory for entrants on or after 2018-01-01 — carries government TSP contributions attributable to that service. </w:t>
      </w:r>
      <w:r>
        <w:rPr>
          <w:b/>
        </w:rPr>
        <w:t>How VRS administers that limb is unknown</w:t>
      </w:r>
      <w:r>
        <w:t xml:space="preserve"> (items 9–10 of the VRS data request; U-11).</w:t>
      </w:r>
    </w:p>
    <w:p>
      <w:r>
        <w:rPr>
          <w:b/>
        </w:rPr>
        <w:t>Now lay VFW's own membership rule over it.</w:t>
      </w:r>
      <w:r>
        <w:t xml:space="preserve"> VFW eligibility has three conjunctive requirements — citizenship, honourable service, and </w:t>
      </w:r>
      <w:r>
        <w:rPr>
          <w:b/>
        </w:rPr>
        <w:t>service in a war, campaign or expedition on foreign soil or in hostile waters</w:t>
      </w:r>
      <w:r>
        <w:t>, proven by an authorised campaign medal, receipt of Hostile Fire or Imminent Danger Pay, or 30 consecutive / 60 non-consecutive days in Korea (VFW By-Laws and Manual of Procedure § 101).</w:t>
      </w:r>
    </w:p>
    <w:p>
      <w:r>
        <w:rPr>
          <w:b/>
        </w:rPr>
        <w:t>The consequence, and it is favourable.</w:t>
      </w:r>
      <w:r>
        <w:t xml:space="preserve"> VFW's filter is </w:t>
      </w:r>
      <w:r>
        <w:rPr>
          <w:b/>
        </w:rPr>
        <w:t>expeditionary service</w:t>
      </w:r>
      <w:r>
        <w:t xml:space="preserve">, which is </w:t>
      </w:r>
      <w:r>
        <w:rPr>
          <w:b/>
        </w:rPr>
        <w:t>orthogonal to retirement status.</w:t>
      </w:r>
      <w:r>
        <w:t xml:space="preserve"> So:</w:t>
      </w:r>
    </w:p>
    <w:p>
      <w:pPr>
        <w:pStyle w:val="ListBullet"/>
      </w:pPr>
      <w:r>
        <w:t xml:space="preserve">VFW membership </w:t>
      </w:r>
      <w:r>
        <w:rPr>
          <w:b/>
        </w:rPr>
        <w:t>spans all three B 3 cohorts</w:t>
      </w:r>
      <w:r>
        <w:t xml:space="preserve"> — the one-enlistment veteran, the deployed Guard or Reserve member, and the 20-year retiree. No other candidate organisation's membership does. Confidence </w:t>
      </w:r>
      <w:r>
        <w:rPr>
          <w:b/>
        </w:rPr>
        <w:t>High</w:t>
      </w:r>
      <w:r>
        <w:t xml:space="preserve"> (the rule is documented and retirement-blind).</w:t>
      </w:r>
    </w:p>
    <w:p>
      <w:pPr>
        <w:pStyle w:val="ListBullet"/>
      </w:pPr>
      <w:r>
        <w:t xml:space="preserve">Which means </w:t>
      </w:r>
      <w:r>
        <w:rPr>
          <w:b/>
        </w:rPr>
        <w:t>VFW is the only candidate that can make the whole argument</w:t>
      </w:r>
      <w:r>
        <w:t xml:space="preserve"> — "this reaches veterans across our membership" — rather than a cohort-specific one.</w:t>
      </w:r>
    </w:p>
    <w:p>
      <w:pPr>
        <w:pStyle w:val="ListBullet"/>
      </w:pPr>
      <w:r>
        <w:rPr>
          <w:b/>
        </w:rPr>
        <w:t>But</w:t>
      </w:r>
      <w:r>
        <w:t xml:space="preserve"> VFW's filter excludes the </w:t>
      </w:r>
      <w:r>
        <w:rPr>
          <w:b/>
        </w:rPr>
        <w:t>never-deployed</w:t>
      </w:r>
      <w:r>
        <w:t xml:space="preserve"> veteran, including the Guard member with 180+ days of qualifying full-time service who never served abroad. So VFW is a broad proxy for the beneficiary population, </w:t>
      </w:r>
      <w:r>
        <w:rPr>
          <w:b/>
        </w:rPr>
        <w:t>not a complete one</w:t>
      </w:r>
      <w:r>
        <w:t xml:space="preserve">. Confidence </w:t>
      </w:r>
      <w:r>
        <w:rPr>
          <w:b/>
        </w:rPr>
        <w:t>High</w:t>
      </w:r>
      <w:r>
        <w:t xml:space="preserve"> on the exclusion as a matter of the rule; </w:t>
      </w:r>
      <w:r>
        <w:rPr>
          <w:b/>
        </w:rPr>
        <w:t>Low</w:t>
      </w:r>
      <w:r>
        <w:t xml:space="preserve"> on its size, as </w:t>
      </w:r>
      <w:r>
        <w:rPr>
          <w:b/>
        </w:rPr>
        <w:t>no data on how many Virginia veteran public employees are non-deployed was located</w:t>
      </w:r>
      <w:r>
        <w:t xml:space="preserve"> (U-13).</w:t>
      </w:r>
    </w:p>
    <w:p>
      <w:r>
        <w:rPr>
          <w:b/>
        </w:rPr>
        <w:t>Flag to the Drafting Specialist and the Editor, carried forward from v1.0 and now more pointed.</w:t>
      </w:r>
      <w:r>
        <w:t xml:space="preserve"> The position paper's "how many people" paragraph still has to be rewritten — Red Team S-4 requires it for accuracy. With VFW as sponsor the rewrite is </w:t>
      </w:r>
      <w:r>
        <w:rPr>
          <w:i/>
        </w:rPr>
        <w:t>easier</w:t>
      </w:r>
      <w:r>
        <w:t xml:space="preserve"> than it would have been with a Guard-specific sponsor: the paper can state all three cohorts honestly, including the barred one, because the sponsor's membership includes all three.</w:t>
      </w:r>
    </w:p>
    <w:p>
      <w:pPr>
        <w:jc w:val="center"/>
      </w:pPr>
      <w:r>
        <w:rPr>
          <w:color w:val="909090"/>
          <w:sz w:val="18"/>
        </w:rPr>
        <w:t>* * *</w:t>
      </w:r>
    </w:p>
    <w:p>
      <w:pPr>
        <w:pStyle w:val="Heading2"/>
      </w:pPr>
      <w:r>
        <w:t>7. The position paper, re-pointed at the 2028 cycle</w:t>
      </w:r>
    </w:p>
    <w:p>
      <w:r>
        <w:rPr>
          <w:b/>
        </w:rPr>
        <w:t>What this is.</w:t>
      </w:r>
      <w:r>
        <w:t xml:space="preserve"> The JLC asks members for "draft papers preferably in JLC format," and the 2025-04-23 minutes add that those advancing </w:t>
      </w:r>
      <w:r>
        <w:rPr>
          <w:i/>
        </w:rPr>
        <w:t>"should be prepared to fill out a template and present their idea to the full group."</w:t>
      </w:r>
      <w:r>
        <w:t xml:space="preserve"> </w:t>
      </w:r>
      <w:r>
        <w:rPr>
          <w:b/>
        </w:rPr>
        <w:t>The template is the Council's, not ours, and it has not been retrieved</w:t>
      </w:r>
      <w:r>
        <w:t xml:space="preserve"> (U-14). </w:t>
      </w:r>
      <w:r>
        <w:rPr>
          <w:rFonts w:ascii="Consolas" w:hAnsi="Consolas"/>
          <w:color w:val="303030"/>
          <w:sz w:val="18"/>
        </w:rPr>
        <w:t>00-ONE-PAGE-BRIEF.md</w:t>
      </w:r>
      <w:r>
        <w:t xml:space="preserve"> v1.3 is already in the JLC Initiative format and is the </w:t>
      </w:r>
      <w:r>
        <w:rPr>
          <w:i/>
        </w:rPr>
        <w:t>legislator</w:t>
      </w:r>
      <w:r>
        <w:t xml:space="preserve"> leave-behind. The Council-submission version differs in four ways, and only those are drafted here.</w:t>
      </w:r>
    </w:p>
    <w:p>
      <w:r>
        <w:rPr>
          <w:b/>
        </w:rPr>
        <w:t xml:space="preserve">Everything else is </w:t>
      </w:r>
      <w:r>
        <w:rPr>
          <w:rFonts w:ascii="Consolas" w:hAnsi="Consolas"/>
          <w:b/>
          <w:color w:val="303030"/>
          <w:sz w:val="18"/>
        </w:rPr>
        <w:t>00</w:t>
      </w:r>
      <w:r>
        <w:rPr>
          <w:b/>
        </w:rPr>
        <w:t xml:space="preserve"> v1.3 unchanged.</w:t>
      </w:r>
      <w:r>
        <w:t xml:space="preserve"> Do not maintain two bodies of text.</w:t>
      </w:r>
    </w:p>
    <w:p>
      <w:pPr>
        <w:pStyle w:val="Heading3"/>
        <w:ind w:left="480"/>
      </w:pPr>
      <w:r>
        <w:t>INITIATIVE — [JLC 2028-__, number assigned by the Council]</w:t>
      </w:r>
    </w:p>
    <w:p>
      <w:pPr>
        <w:spacing w:before="120" w:after="120"/>
        <w:ind w:left="480"/>
      </w:pPr>
      <w:r>
        <w:rPr>
          <w:b/>
          <w:i/>
          <w:color w:val="444444"/>
          <w:sz w:val="20"/>
        </w:rPr>
        <w:t>Sponsoring member organisation:</w:t>
      </w:r>
      <w:r>
        <w:rPr>
          <w:i/>
          <w:color w:val="444444"/>
          <w:sz w:val="20"/>
        </w:rPr>
        <w:t xml:space="preserve"> Veterans of Foreign Wars, Department of Virginia. </w:t>
      </w:r>
      <w:r>
        <w:rPr>
          <w:i/>
          <w:color w:val="444444"/>
          <w:sz w:val="20"/>
        </w:rPr>
        <w:t xml:space="preserve">(Authorised for approach by the board on 2026-10-25. </w:t>
      </w:r>
      <w:r>
        <w:rPr>
          <w:i/>
          <w:color w:val="444444"/>
          <w:sz w:val="20"/>
        </w:rPr>
        <w:t>Not approached.</w:t>
      </w:r>
      <w:r>
        <w:rPr>
          <w:i/>
          <w:color w:val="444444"/>
          <w:sz w:val="20"/>
        </w:rPr>
        <w:t xml:space="preserve"> This line cannot be filled by the Virginia Policy Lab, and does not become true until the Department itself acts — § 4 names the two instruments.)</w:t>
      </w:r>
    </w:p>
    <w:p>
      <w:pPr>
        <w:spacing w:before="120" w:after="120"/>
        <w:ind w:left="480"/>
      </w:pPr>
      <w:r>
        <w:rPr>
          <w:b/>
          <w:i/>
          <w:color w:val="444444"/>
          <w:sz w:val="20"/>
        </w:rPr>
        <w:t>Military service credit for veteran public employees — state, school division and local.</w:t>
      </w:r>
      <w:r>
        <w:rPr>
          <w:i/>
          <w:color w:val="444444"/>
          <w:sz w:val="20"/>
        </w:rPr>
        <w:t xml:space="preserve"> One change, in one Code section: </w:t>
      </w:r>
      <w:r>
        <w:rPr>
          <w:b/>
          <w:i/>
          <w:color w:val="444444"/>
          <w:sz w:val="20"/>
        </w:rPr>
        <w:t>§ 51.1-142.2</w:t>
      </w:r>
      <w:r>
        <w:rPr>
          <w:i/>
          <w:color w:val="444444"/>
          <w:sz w:val="20"/>
        </w:rPr>
        <w:t xml:space="preserve">. </w:t>
      </w:r>
      <w:r>
        <w:rPr>
          <w:b/>
          <w:i/>
          <w:color w:val="444444"/>
          <w:sz w:val="20"/>
        </w:rPr>
        <w:t>Target: 2028 Regular Session.</w:t>
      </w:r>
    </w:p>
    <w:p>
      <w:pPr>
        <w:spacing w:before="120" w:after="120"/>
        <w:ind w:left="480"/>
      </w:pPr>
      <w:r>
        <w:rPr>
          <w:b/>
          <w:i/>
          <w:color w:val="444444"/>
          <w:sz w:val="20"/>
        </w:rPr>
        <w:t>OBJECTIVE</w:t>
      </w:r>
      <w:r>
        <w:rPr>
          <w:i/>
          <w:color w:val="444444"/>
          <w:sz w:val="20"/>
        </w:rPr>
        <w:t xml:space="preserve"> — </w:t>
      </w:r>
      <w:r>
        <w:rPr>
          <w:i/>
          <w:color w:val="444444"/>
          <w:sz w:val="20"/>
        </w:rPr>
        <w:t xml:space="preserve">carry </w:t>
      </w:r>
      <w:r>
        <w:rPr>
          <w:rFonts w:ascii="Consolas" w:hAnsi="Consolas"/>
          <w:i/>
          <w:color w:val="303030"/>
          <w:sz w:val="18"/>
        </w:rPr>
        <w:t>00</w:t>
      </w:r>
      <w:r>
        <w:rPr>
          <w:i/>
          <w:color w:val="444444"/>
          <w:sz w:val="20"/>
        </w:rPr>
        <w:t xml:space="preserve"> v1.3 verbatim.</w:t>
      </w:r>
    </w:p>
    <w:p>
      <w:pPr>
        <w:spacing w:before="120" w:after="120"/>
        <w:ind w:left="480"/>
      </w:pPr>
      <w:r>
        <w:rPr>
          <w:b/>
          <w:i/>
          <w:color w:val="444444"/>
          <w:sz w:val="20"/>
        </w:rPr>
        <w:t>DISCUSSION</w:t>
      </w:r>
      <w:r>
        <w:rPr>
          <w:i/>
          <w:color w:val="444444"/>
          <w:sz w:val="20"/>
        </w:rPr>
        <w:t xml:space="preserve"> — </w:t>
      </w:r>
      <w:r>
        <w:rPr>
          <w:i/>
          <w:color w:val="444444"/>
          <w:sz w:val="20"/>
        </w:rPr>
        <w:t xml:space="preserve">carry </w:t>
      </w:r>
      <w:r>
        <w:rPr>
          <w:rFonts w:ascii="Consolas" w:hAnsi="Consolas"/>
          <w:i/>
          <w:color w:val="303030"/>
          <w:sz w:val="18"/>
        </w:rPr>
        <w:t>00</w:t>
      </w:r>
      <w:r>
        <w:rPr>
          <w:i/>
          <w:color w:val="444444"/>
          <w:sz w:val="20"/>
        </w:rPr>
        <w:t xml:space="preserve"> v1.3 verbatim, and insert the following two paragraphs at its end.</w:t>
      </w:r>
    </w:p>
    <w:p>
      <w:pPr>
        <w:spacing w:before="120" w:after="120"/>
        <w:ind w:left="480"/>
      </w:pPr>
      <w:r>
        <w:rPr>
          <w:b/>
          <w:i/>
          <w:color w:val="444444"/>
          <w:sz w:val="20"/>
        </w:rPr>
        <w:t>Whose members this helps, stated plainly.</w:t>
      </w:r>
      <w:r>
        <w:rPr>
          <w:i/>
          <w:color w:val="444444"/>
          <w:sz w:val="20"/>
        </w:rPr>
        <w:t xml:space="preserve"> § 51.1-142.2 B 3 already bars a veteran from buying service that counts toward a military retirement they draw — </w:t>
      </w:r>
      <w:r>
        <w:rPr>
          <w:b/>
          <w:i/>
          <w:color w:val="444444"/>
          <w:sz w:val="20"/>
        </w:rPr>
        <w:t>except</w:t>
      </w:r>
      <w:r>
        <w:rPr>
          <w:i/>
          <w:color w:val="444444"/>
          <w:sz w:val="20"/>
        </w:rPr>
        <w:t xml:space="preserve">, by force of 10 U.S.C. ch. 1223, for </w:t>
      </w:r>
      <w:r>
        <w:rPr>
          <w:b/>
          <w:i/>
          <w:color w:val="444444"/>
          <w:sz w:val="20"/>
        </w:rPr>
        <w:t>Reserve and National Guard</w:t>
      </w:r>
      <w:r>
        <w:rPr>
          <w:i/>
          <w:color w:val="444444"/>
          <w:sz w:val="20"/>
        </w:rPr>
        <w:t xml:space="preserve"> service. So this initiative reaches, first, the veteran who served one or two enlistments and then went to work for Virginia; and second, </w:t>
      </w:r>
      <w:r>
        <w:rPr>
          <w:b/>
          <w:i/>
          <w:color w:val="444444"/>
          <w:sz w:val="20"/>
        </w:rPr>
        <w:t>the Guard or Reserve member or retiree, whose eligibility the Code protects expressly.</w:t>
      </w:r>
      <w:r>
        <w:rPr>
          <w:i/>
          <w:color w:val="444444"/>
          <w:sz w:val="20"/>
        </w:rPr>
        <w:t xml:space="preserve"> It does not reach the regular 20-year retiree, whose active duty already counts toward the pension they receive. </w:t>
      </w:r>
      <w:r>
        <w:rPr>
          <w:b/>
          <w:i/>
          <w:color w:val="444444"/>
          <w:sz w:val="20"/>
        </w:rPr>
        <w:t>The sponsoring Department's membership spans all three groups</w:t>
      </w:r>
      <w:r>
        <w:rPr>
          <w:i/>
          <w:color w:val="444444"/>
          <w:sz w:val="20"/>
        </w:rPr>
        <w:t>, which is why it can state the limit as plainly as the benefit.</w:t>
      </w:r>
    </w:p>
    <w:p>
      <w:pPr>
        <w:spacing w:before="120" w:after="120"/>
        <w:ind w:left="480"/>
      </w:pPr>
      <w:r>
        <w:rPr>
          <w:b/>
          <w:i/>
          <w:color w:val="444444"/>
          <w:sz w:val="20"/>
        </w:rPr>
        <w:t>Why this is a transition measure.</w:t>
      </w:r>
      <w:r>
        <w:rPr>
          <w:i/>
          <w:color w:val="444444"/>
          <w:sz w:val="20"/>
        </w:rPr>
        <w:t xml:space="preserve"> The window the initiative removes closes </w:t>
      </w:r>
      <w:r>
        <w:rPr>
          <w:b/>
          <w:i/>
          <w:color w:val="444444"/>
          <w:sz w:val="20"/>
        </w:rPr>
        <w:t>24 months after hire.</w:t>
      </w:r>
      <w:r>
        <w:rPr>
          <w:i/>
          <w:color w:val="444444"/>
          <w:sz w:val="20"/>
        </w:rPr>
        <w:t xml:space="preserve"> It therefore bites hardest on the veteran who takes a Virginia public job and only later learns the option existed — and the Commonwealth is hiring </w:t>
      </w:r>
      <w:r>
        <w:rPr>
          <w:b/>
          <w:i/>
          <w:color w:val="444444"/>
          <w:sz w:val="20"/>
        </w:rPr>
        <w:t>older</w:t>
      </w:r>
      <w:r>
        <w:rPr>
          <w:i/>
          <w:color w:val="444444"/>
          <w:sz w:val="20"/>
        </w:rPr>
        <w:t xml:space="preserve">: the average age of a new state hire is </w:t>
      </w:r>
      <w:r>
        <w:rPr>
          <w:b/>
          <w:i/>
          <w:color w:val="444444"/>
          <w:sz w:val="20"/>
        </w:rPr>
        <w:t>39.1</w:t>
      </w:r>
      <w:r>
        <w:rPr>
          <w:i/>
          <w:color w:val="444444"/>
          <w:sz w:val="20"/>
        </w:rPr>
        <w:t xml:space="preserve"> (DHRM, February 2026). A measure that reaches the transitioning service member at the moment of hire, and does not expire before they can use it, is a retention and recruitment tool for state, school division and local employers alike.</w:t>
      </w:r>
    </w:p>
    <w:p>
      <w:pPr>
        <w:spacing w:before="120" w:after="120"/>
        <w:ind w:left="480"/>
      </w:pPr>
      <w:r>
        <w:rPr>
          <w:b/>
          <w:i/>
          <w:color w:val="444444"/>
          <w:sz w:val="20"/>
        </w:rPr>
        <w:t>COST</w:t>
      </w:r>
      <w:r>
        <w:rPr>
          <w:i/>
          <w:color w:val="444444"/>
          <w:sz w:val="20"/>
        </w:rPr>
        <w:t xml:space="preserve"> — </w:t>
      </w:r>
      <w:r>
        <w:rPr>
          <w:i/>
          <w:color w:val="444444"/>
          <w:sz w:val="20"/>
        </w:rPr>
        <w:t xml:space="preserve">carry </w:t>
      </w:r>
      <w:r>
        <w:rPr>
          <w:rFonts w:ascii="Consolas" w:hAnsi="Consolas"/>
          <w:i/>
          <w:color w:val="303030"/>
          <w:sz w:val="18"/>
        </w:rPr>
        <w:t>00</w:t>
      </w:r>
      <w:r>
        <w:rPr>
          <w:i/>
          <w:color w:val="444444"/>
          <w:sz w:val="20"/>
        </w:rPr>
        <w:t xml:space="preserve"> v1.3 verbatim. The figures below are reproduced only so this annex can be read on its own; they are the </w:t>
      </w:r>
      <w:r>
        <w:rPr>
          <w:i/>
          <w:color w:val="444444"/>
          <w:sz w:val="20"/>
        </w:rPr>
        <w:t>Fiscal &amp; Impact Modeler's</w:t>
      </w:r>
      <w:r>
        <w:rPr>
          <w:i/>
          <w:color w:val="444444"/>
          <w:sz w:val="20"/>
        </w:rPr>
        <w:t>, not mine, and must not be re-derived from here.</w:t>
      </w:r>
    </w:p>
    <w:p>
      <w:pPr>
        <w:pStyle w:val="ListBullet"/>
        <w:ind w:left="840"/>
      </w:pPr>
      <w:r>
        <w:rPr>
          <w:b/>
        </w:rPr>
        <w:t>This initiative requests no appropriation.</w:t>
      </w:r>
      <w:r>
        <w:t xml:space="preserve"> — the narrow claim; "General fund</w:t>
      </w:r>
    </w:p>
    <w:p>
      <w:pPr>
        <w:spacing w:before="120" w:after="120"/>
        <w:ind w:left="480"/>
      </w:pPr>
      <w:r>
        <w:rPr>
          <w:i/>
          <w:color w:val="444444"/>
          <w:sz w:val="20"/>
        </w:rPr>
        <w:t>cost: $0" is retracted package-wide, Red Team F-2.</w:t>
      </w:r>
    </w:p>
    <w:p>
      <w:pPr>
        <w:pStyle w:val="ListBullet"/>
        <w:ind w:left="840"/>
      </w:pPr>
      <w:r>
        <w:t xml:space="preserve">Modelled one-time cost to the Fund: </w:t>
      </w:r>
      <w:r>
        <w:rPr>
          <w:b/>
        </w:rPr>
        <w:t>$28 million to $166 million</w:t>
      </w:r>
      <w:r>
        <w:t xml:space="preserve"> — inherited from</w:t>
      </w:r>
    </w:p>
    <w:p>
      <w:pPr>
        <w:spacing w:before="120" w:after="120"/>
        <w:ind w:left="480"/>
      </w:pPr>
      <w:r>
        <w:rPr>
          <w:rFonts w:ascii="Consolas" w:hAnsi="Consolas"/>
          <w:i/>
          <w:color w:val="303030"/>
          <w:sz w:val="18"/>
        </w:rPr>
        <w:t>00</w:t>
      </w:r>
      <w:r>
        <w:rPr>
          <w:i/>
          <w:color w:val="444444"/>
          <w:sz w:val="20"/>
        </w:rPr>
        <w:t xml:space="preserve"> v1.3, the current package authority; supersedes "$13M–$182M" and "$26M–$182M", both retracted.</w:t>
      </w:r>
    </w:p>
    <w:p>
      <w:pPr>
        <w:pStyle w:val="ListBullet"/>
        <w:ind w:left="840"/>
      </w:pPr>
      <w:r>
        <w:t xml:space="preserve">Amortised: </w:t>
      </w:r>
      <w:r>
        <w:rPr>
          <w:b/>
        </w:rPr>
        <w:t>about 1 to 4 basis points</w:t>
      </w:r>
      <w:r>
        <w:t xml:space="preserve"> on employer contribution rates over 20</w:t>
      </w:r>
    </w:p>
    <w:p>
      <w:pPr>
        <w:spacing w:before="120" w:after="120"/>
        <w:ind w:left="480"/>
      </w:pPr>
      <w:r>
        <w:rPr>
          <w:i/>
          <w:color w:val="444444"/>
          <w:sz w:val="20"/>
        </w:rPr>
        <w:t xml:space="preserve">years, against statewide employer rates of 14%–20% — inherited from </w:t>
      </w:r>
      <w:r>
        <w:rPr>
          <w:rFonts w:ascii="Consolas" w:hAnsi="Consolas"/>
          <w:i/>
          <w:color w:val="303030"/>
          <w:sz w:val="18"/>
        </w:rPr>
        <w:t>01</w:t>
      </w:r>
      <w:r>
        <w:rPr>
          <w:i/>
          <w:color w:val="444444"/>
          <w:sz w:val="20"/>
        </w:rPr>
        <w:t xml:space="preserve"> v1.2.</w:t>
      </w:r>
    </w:p>
    <w:p>
      <w:pPr>
        <w:pStyle w:val="ListBullet"/>
        <w:ind w:left="840"/>
      </w:pPr>
      <w:r>
        <w:rPr>
          <w:b/>
        </w:rPr>
        <w:t>For the 2028 cycle this section should no longer carry a range this wide.</w:t>
      </w:r>
      <w:r>
        <w:t xml:space="preserve"> The</w:t>
      </w:r>
    </w:p>
    <w:p>
      <w:pPr>
        <w:spacing w:before="120" w:after="120"/>
        <w:ind w:left="480"/>
      </w:pPr>
      <w:r>
        <w:rPr>
          <w:i/>
          <w:color w:val="444444"/>
          <w:sz w:val="20"/>
        </w:rPr>
        <w:t xml:space="preserve">slip exists to close it. VRS must file its own statement under § 30-19.1:7, and with a 2028 target that statement can be informed </w:t>
      </w:r>
      <w:r>
        <w:rPr>
          <w:b/>
          <w:i/>
          <w:color w:val="444444"/>
          <w:sz w:val="20"/>
        </w:rPr>
        <w:t>before</w:t>
      </w:r>
      <w:r>
        <w:rPr>
          <w:i/>
          <w:color w:val="444444"/>
          <w:sz w:val="20"/>
        </w:rPr>
        <w:t xml:space="preserve"> prefiling rather than days after. </w:t>
      </w:r>
      <w:r>
        <w:rPr>
          <w:b/>
          <w:i/>
          <w:color w:val="444444"/>
          <w:sz w:val="20"/>
        </w:rPr>
        <w:t>JLCVSO has asked VRS for the data.</w:t>
      </w:r>
    </w:p>
    <w:p>
      <w:pPr>
        <w:spacing w:before="120" w:after="120"/>
        <w:ind w:left="480"/>
      </w:pPr>
      <w:r>
        <w:rPr>
          <w:b/>
          <w:i/>
          <w:color w:val="444444"/>
          <w:sz w:val="20"/>
        </w:rPr>
        <w:t>RECOMMENDATION</w:t>
      </w:r>
      <w:r>
        <w:rPr>
          <w:i/>
          <w:color w:val="444444"/>
          <w:sz w:val="20"/>
        </w:rPr>
        <w:t xml:space="preserve"> — carry </w:t>
      </w:r>
      <w:r>
        <w:rPr>
          <w:rFonts w:ascii="Consolas" w:hAnsi="Consolas"/>
          <w:i/>
          <w:color w:val="303030"/>
          <w:sz w:val="18"/>
        </w:rPr>
        <w:t>00</w:t>
      </w:r>
      <w:r>
        <w:rPr>
          <w:i/>
          <w:color w:val="444444"/>
          <w:sz w:val="20"/>
        </w:rPr>
        <w:t xml:space="preserve"> v1.3 verbatim, subject to the open drafting choice that Red Team F-1 forces (Annex A Q3a/Q12): whether the cost control is a Board rate schedule or a </w:t>
      </w:r>
      <w:r>
        <w:rPr>
          <w:b/>
          <w:i/>
          <w:color w:val="444444"/>
          <w:sz w:val="20"/>
        </w:rPr>
        <w:t>statutory recovery floor on the Ohio ORC § 145.301 model</w:t>
      </w:r>
      <w:r>
        <w:rPr>
          <w:i/>
          <w:color w:val="444444"/>
          <w:sz w:val="20"/>
        </w:rPr>
        <w:t xml:space="preserve">. Annex C § 5 recommends the floor. </w:t>
      </w:r>
      <w:r>
        <w:rPr>
          <w:b/>
          <w:i/>
          <w:color w:val="444444"/>
          <w:sz w:val="20"/>
        </w:rPr>
        <w:t>This is not settled, and the paper cannot go to the Council until it is — but with a 2028 target there is now time to settle it properly.</w:t>
      </w:r>
    </w:p>
    <w:p>
      <w:pPr>
        <w:spacing w:before="120" w:after="120"/>
        <w:ind w:left="480"/>
      </w:pPr>
      <w:r>
        <w:rPr>
          <w:b/>
          <w:i/>
          <w:color w:val="444444"/>
          <w:sz w:val="20"/>
        </w:rPr>
        <w:t>ALIGNMENT WITH THE VIRGINIA VETERANS STRATEGIC PLAN</w:t>
      </w:r>
      <w:r>
        <w:rPr>
          <w:i/>
          <w:color w:val="444444"/>
          <w:sz w:val="20"/>
        </w:rPr>
        <w:t xml:space="preserve"> — </w:t>
      </w:r>
      <w:r>
        <w:rPr>
          <w:b/>
          <w:i/>
          <w:color w:val="444444"/>
          <w:sz w:val="20"/>
        </w:rPr>
        <w:t>not drafted.</w:t>
      </w:r>
      <w:r>
        <w:rPr>
          <w:i/>
          <w:color w:val="444444"/>
          <w:sz w:val="20"/>
        </w:rPr>
        <w:t xml:space="preserve"> Owner: Policy Director. </w:t>
      </w:r>
      <w:r>
        <w:rPr>
          <w:b/>
          <w:i/>
          <w:color w:val="444444"/>
          <w:sz w:val="20"/>
        </w:rPr>
        <w:t>The record now says exactly how much this matters and in which direction.</w:t>
      </w:r>
      <w:r>
        <w:rPr>
          <w:i/>
          <w:color w:val="444444"/>
          <w:sz w:val="20"/>
        </w:rPr>
        <w:t xml:space="preserve"> At the 2025-04-23 screen the Legislative Chair "reminded members to try to link their ideas back to the DVS strategic plan," and the Commissioner of Veterans Services, speaking twice in the same meeting, "remind[ed] committee members to tie initiatives back to the Virginia Veterans strategic plan" and </w:t>
      </w:r>
      <w:r>
        <w:rPr>
          <w:b/>
          <w:i/>
          <w:color w:val="444444"/>
          <w:sz w:val="20"/>
        </w:rPr>
        <w:t>"emphasized the importance of investing in transitioning service members whose needs are very different than older retirees."</w:t>
      </w:r>
      <w:r>
        <w:rPr>
          <w:i/>
          <w:color w:val="444444"/>
          <w:sz w:val="20"/>
        </w:rPr>
        <w:t xml:space="preserve"> </w:t>
      </w:r>
      <w:r>
        <w:rPr>
          <w:b/>
          <w:i/>
          <w:color w:val="444444"/>
          <w:sz w:val="20"/>
        </w:rPr>
        <w:t>Write the alignment section around the transitioning service member.</w:t>
      </w:r>
      <w:r>
        <w:rPr>
          <w:i/>
          <w:color w:val="444444"/>
          <w:sz w:val="20"/>
        </w:rPr>
        <w:t xml:space="preserve"> One asset exists already: on 2019-12-18 the JLC received </w:t>
      </w:r>
      <w:r>
        <w:rPr>
          <w:i/>
          <w:color w:val="444444"/>
          <w:sz w:val="20"/>
        </w:rPr>
        <w:t>Report on Military Service as Credit for Teachers</w:t>
      </w:r>
      <w:r>
        <w:rPr>
          <w:i/>
          <w:color w:val="444444"/>
          <w:sz w:val="20"/>
        </w:rPr>
        <w:t xml:space="preserve"> and recommended "collection of veteran data by the Virginia Department of Education" — </w:t>
      </w:r>
      <w:r>
        <w:rPr>
          <w:b/>
          <w:i/>
          <w:color w:val="444444"/>
          <w:sz w:val="20"/>
        </w:rPr>
        <w:t>the same Council returning to the same subject</w:t>
      </w:r>
      <w:r>
        <w:rPr>
          <w:i/>
          <w:color w:val="444444"/>
          <w:sz w:val="20"/>
        </w:rPr>
        <w:t xml:space="preserve">, with the veteran-data gap still open (DHRM: 69% unknown veteran status). </w:t>
      </w:r>
      <w:r>
        <w:rPr>
          <w:b/>
          <w:i/>
          <w:color w:val="444444"/>
          <w:sz w:val="20"/>
        </w:rPr>
        <w:t>Label it carefully: that proceeding concerned credit on the teacher salary scale, not creditable service under § 51.1-142.2.</w:t>
      </w:r>
    </w:p>
    <w:p>
      <w:r>
        <w:rPr>
          <w:b/>
        </w:rPr>
        <w:t>Two blockers on this document. Both still real, both now closeable in the time available.</w:t>
      </w:r>
    </w:p>
    <w:p>
      <w:pPr>
        <w:spacing w:after="60"/>
        <w:ind w:left="432" w:hanging="432"/>
      </w:pPr>
      <w:r>
        <w:rPr>
          <w:b/>
        </w:rPr>
        <w:t>1.</w:t>
        <w:tab/>
      </w:r>
      <w:r>
        <w:rPr>
          <w:b/>
        </w:rPr>
        <w:t xml:space="preserve">Print clearance for </w:t>
      </w:r>
      <w:r>
        <w:rPr>
          <w:rFonts w:ascii="Consolas" w:hAnsi="Consolas"/>
          <w:b/>
          <w:color w:val="303030"/>
          <w:sz w:val="18"/>
        </w:rPr>
        <w:t>00</w:t>
      </w:r>
      <w:r>
        <w:rPr>
          <w:b/>
        </w:rPr>
        <w:t xml:space="preserve"> v1.3 has not been given</w:t>
      </w:r>
      <w:r>
        <w:t xml:space="preserve"> — the Policy Director's call.</w:t>
      </w:r>
    </w:p>
    <w:p>
      <w:pPr>
        <w:spacing w:after="60"/>
        <w:ind w:left="432" w:hanging="432"/>
      </w:pPr>
      <w:r>
        <w:rPr>
          <w:b/>
        </w:rPr>
        <w:t>2.</w:t>
        <w:tab/>
      </w:r>
      <w:r>
        <w:rPr>
          <w:b/>
        </w:rPr>
        <w:t>Red Team F-1's drafting choice is open</w:t>
      </w:r>
      <w:r>
        <w:t xml:space="preserve"> (Annex A Q3a, Q12).</w:t>
      </w:r>
    </w:p>
    <w:p>
      <w:pPr>
        <w:jc w:val="center"/>
      </w:pPr>
      <w:r>
        <w:rPr>
          <w:color w:val="909090"/>
          <w:sz w:val="18"/>
        </w:rPr>
        <w:t>* * *</w:t>
      </w:r>
    </w:p>
    <w:p>
      <w:pPr>
        <w:pStyle w:val="Heading2"/>
      </w:pPr>
      <w:r>
        <w:t>8. Corrections — to my own v1.0, and to Annex C</w:t>
      </w:r>
    </w:p>
    <w:p>
      <w:r>
        <w:rPr>
          <w:b/>
        </w:rPr>
        <w:t>Honest accounting: three of v1.0's four statements about VFW were wrong or overstated</w:t>
      </w:r>
      <w:r>
        <w:t xml:space="preserve">, because v1.0 searched for a </w:t>
      </w:r>
      <w:r>
        <w:rPr>
          <w:i/>
        </w:rPr>
        <w:t>position</w:t>
      </w:r>
      <w:r>
        <w:t xml:space="preserve"> and found nothing, and did not go to the Department's own governing documents.</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v1.0 said</w:t>
            </w:r>
          </w:p>
        </w:tc>
        <w:tc>
          <w:tcPr>
            <w:tcW w:type="dxa" w:w="2880"/>
          </w:tcPr>
          <w:p>
            <w:pPr>
              <w:spacing w:before="20" w:after="20"/>
              <w:jc w:val="left"/>
            </w:pPr>
            <w:r>
              <w:rPr>
                <w:b/>
                <w:sz w:val="17"/>
              </w:rPr>
              <w:t>Correct position</w:t>
            </w:r>
          </w:p>
        </w:tc>
        <w:tc>
          <w:tcPr>
            <w:tcW w:type="dxa" w:w="2880"/>
          </w:tcPr>
          <w:p>
            <w:pPr>
              <w:spacing w:before="20" w:after="20"/>
              <w:jc w:val="left"/>
            </w:pPr>
            <w:r>
              <w:rPr>
                <w:b/>
                <w:sz w:val="17"/>
              </w:rPr>
              <w:t>Source</w:t>
            </w:r>
          </w:p>
        </w:tc>
      </w:tr>
      <w:tr>
        <w:tc>
          <w:tcPr>
            <w:tcW w:type="dxa" w:w="2880"/>
          </w:tcPr>
          <w:p>
            <w:pPr>
              <w:spacing w:before="20" w:after="20"/>
              <w:jc w:val="left"/>
            </w:pPr>
            <w:r>
              <w:rPr>
                <w:sz w:val="17"/>
              </w:rPr>
              <w:t>Legion/VFW work "by resolution through a legislative commission"</w:t>
            </w:r>
          </w:p>
        </w:tc>
        <w:tc>
          <w:tcPr>
            <w:tcW w:type="dxa" w:w="2880"/>
          </w:tcPr>
          <w:p>
            <w:pPr>
              <w:spacing w:before="20" w:after="20"/>
              <w:jc w:val="left"/>
            </w:pPr>
            <w:r>
              <w:rPr>
                <w:b/>
                <w:sz w:val="17"/>
              </w:rPr>
              <w:t>Wrong body.</w:t>
            </w:r>
            <w:r>
              <w:rPr>
                <w:sz w:val="17"/>
              </w:rPr>
              <w:t xml:space="preserve"> VFW Department of Virginia has a </w:t>
            </w:r>
            <w:r>
              <w:rPr>
                <w:b/>
                <w:sz w:val="17"/>
              </w:rPr>
              <w:t>Legislative Committee</w:t>
            </w:r>
            <w:r>
              <w:rPr>
                <w:sz w:val="17"/>
              </w:rPr>
              <w:t xml:space="preserve"> (min. 7 members) and a separate </w:t>
            </w:r>
            <w:r>
              <w:rPr>
                <w:b/>
                <w:sz w:val="17"/>
              </w:rPr>
              <w:t>Resolutions Committee</w:t>
            </w:r>
            <w:r>
              <w:rPr>
                <w:sz w:val="17"/>
              </w:rPr>
              <w:t xml:space="preserve"> (min. 3). There is no "legislative commission."</w:t>
            </w:r>
          </w:p>
        </w:tc>
        <w:tc>
          <w:tcPr>
            <w:tcW w:type="dxa" w:w="2880"/>
          </w:tcPr>
          <w:p>
            <w:pPr>
              <w:spacing w:before="20" w:after="20"/>
              <w:jc w:val="left"/>
            </w:pPr>
            <w:r>
              <w:rPr>
                <w:sz w:val="17"/>
              </w:rPr>
              <w:t>SOP, committee descriptions; vfwva.org committees page</w:t>
            </w:r>
          </w:p>
        </w:tc>
      </w:tr>
      <w:tr>
        <w:tc>
          <w:tcPr>
            <w:tcW w:type="dxa" w:w="2880"/>
          </w:tcPr>
          <w:p>
            <w:pPr>
              <w:spacing w:before="20" w:after="20"/>
              <w:jc w:val="left"/>
            </w:pPr>
            <w:r>
              <w:rPr>
                <w:sz w:val="17"/>
              </w:rPr>
              <w:t xml:space="preserve">"a resolution process tied to department convention </w:t>
            </w:r>
            <w:r>
              <w:rPr>
                <w:b/>
                <w:sz w:val="17"/>
              </w:rPr>
              <w:t>and national-organisation concurrence</w:t>
            </w:r>
            <w:r>
              <w:rPr>
                <w:sz w:val="17"/>
              </w:rPr>
              <w:t xml:space="preserve"> is slower than 53 days"</w:t>
            </w:r>
          </w:p>
        </w:tc>
        <w:tc>
          <w:tcPr>
            <w:tcW w:type="dxa" w:w="2880"/>
          </w:tcPr>
          <w:p>
            <w:pPr>
              <w:spacing w:before="20" w:after="20"/>
              <w:jc w:val="left"/>
            </w:pPr>
            <w:r>
              <w:rPr>
                <w:b/>
                <w:sz w:val="17"/>
              </w:rPr>
              <w:t>The national step does not apply.</w:t>
            </w:r>
            <w:r>
              <w:rPr>
                <w:sz w:val="17"/>
              </w:rPr>
              <w:t xml:space="preserve"> Only resolutions affecting "matters outside state boundaries" go to the National Convention. A § 51.1-142.2 item is intrastate.</w:t>
            </w:r>
          </w:p>
        </w:tc>
        <w:tc>
          <w:tcPr>
            <w:tcW w:type="dxa" w:w="2880"/>
          </w:tcPr>
          <w:p>
            <w:pPr>
              <w:spacing w:before="20" w:after="20"/>
              <w:jc w:val="left"/>
            </w:pPr>
            <w:r>
              <w:rPr>
                <w:sz w:val="17"/>
              </w:rPr>
              <w:t>SOP § 3</w:t>
            </w:r>
          </w:p>
        </w:tc>
      </w:tr>
      <w:tr>
        <w:tc>
          <w:tcPr>
            <w:tcW w:type="dxa" w:w="2880"/>
          </w:tcPr>
          <w:p>
            <w:pPr>
              <w:spacing w:before="20" w:after="20"/>
              <w:jc w:val="left"/>
            </w:pPr>
            <w:r>
              <w:rPr>
                <w:sz w:val="17"/>
              </w:rPr>
              <w:t>Tier 3/4 framing: no Virginia legislative capability located for the large Departments</w:t>
            </w:r>
          </w:p>
        </w:tc>
        <w:tc>
          <w:tcPr>
            <w:tcW w:type="dxa" w:w="2880"/>
          </w:tcPr>
          <w:p>
            <w:pPr>
              <w:spacing w:before="20" w:after="20"/>
              <w:jc w:val="left"/>
            </w:pPr>
            <w:r>
              <w:rPr>
                <w:b/>
                <w:sz w:val="17"/>
              </w:rPr>
              <w:t>Understated.</w:t>
            </w:r>
            <w:r>
              <w:rPr>
                <w:sz w:val="17"/>
              </w:rPr>
              <w:t xml:space="preserve"> VFW has a named standing Commonwealth Legislative Team including its JLC Representative and Alternate, a documented annual Day on the Hill with transport, a monthly publication reaching 33,645 members, and a documented instance of its representative moving a by-laws amendment on the Council floor.</w:t>
            </w:r>
          </w:p>
        </w:tc>
        <w:tc>
          <w:tcPr>
            <w:tcW w:type="dxa" w:w="2880"/>
          </w:tcPr>
          <w:p>
            <w:pPr>
              <w:spacing w:before="20" w:after="20"/>
              <w:jc w:val="left"/>
            </w:pPr>
            <w:r>
              <w:rPr>
                <w:i/>
                <w:sz w:val="17"/>
              </w:rPr>
              <w:t>General Orders</w:t>
            </w:r>
            <w:r>
              <w:rPr>
                <w:sz w:val="17"/>
              </w:rPr>
              <w:t xml:space="preserve"> No. 7; JLC minutes 2022-07-14</w:t>
            </w:r>
          </w:p>
        </w:tc>
      </w:tr>
      <w:tr>
        <w:tc>
          <w:tcPr>
            <w:tcW w:type="dxa" w:w="2880"/>
          </w:tcPr>
          <w:p>
            <w:pPr>
              <w:spacing w:before="20" w:after="20"/>
              <w:jc w:val="left"/>
            </w:pPr>
            <w:r>
              <w:rPr>
                <w:sz w:val="17"/>
              </w:rPr>
              <w:t>"the right sponsors for the 2028 cycle, probably not for December"</w:t>
            </w:r>
          </w:p>
        </w:tc>
        <w:tc>
          <w:tcPr>
            <w:tcW w:type="dxa" w:w="2880"/>
          </w:tcPr>
          <w:p>
            <w:pPr>
              <w:spacing w:before="20" w:after="20"/>
              <w:jc w:val="left"/>
            </w:pPr>
            <w:r>
              <w:rPr>
                <w:b/>
                <w:sz w:val="17"/>
              </w:rPr>
              <w:t>Stands.</w:t>
            </w:r>
            <w:r>
              <w:rPr>
                <w:sz w:val="17"/>
              </w:rPr>
              <w:t xml:space="preserve"> This one was right, and it is the reading that makes the board's two answers coherent.</w:t>
            </w:r>
          </w:p>
        </w:tc>
        <w:tc>
          <w:tcPr>
            <w:tcW w:type="dxa" w:w="2880"/>
          </w:tcPr>
          <w:p>
            <w:pPr>
              <w:spacing w:before="20" w:after="20"/>
              <w:jc w:val="left"/>
            </w:pPr>
            <w:r>
              <w:rPr>
                <w:sz w:val="17"/>
              </w:rPr>
              <w:t>—</w:t>
            </w:r>
          </w:p>
        </w:tc>
      </w:tr>
    </w:tbl>
    <w:p>
      <w:pPr>
        <w:spacing w:before="0" w:after="0" w:line="80" w:lineRule="exact"/>
      </w:pPr>
      <w:r>
        <w:rPr>
          <w:sz w:val="8"/>
        </w:rPr>
      </w:r>
    </w:p>
    <w:p>
      <w:r>
        <w:rPr>
          <w:b/>
        </w:rPr>
        <w:t>Also corrected in v1.0:</w:t>
      </w:r>
    </w:p>
    <w:p>
      <w:pPr>
        <w:pStyle w:val="ListBullet"/>
      </w:pPr>
      <w:r>
        <w:t xml:space="preserve">v1.0 attributed the "nine initiatives forwarded" to the 2026-cycle meetings of </w:t>
      </w:r>
      <w:r>
        <w:rPr>
          <w:b/>
        </w:rPr>
        <w:t>2026-03-17 / 2026-04-14</w:t>
      </w:r>
      <w:r>
        <w:t xml:space="preserve">. The primary document for the nine-initiative screen is the Legislative Committee meeting of </w:t>
      </w:r>
      <w:r>
        <w:rPr>
          <w:b/>
        </w:rPr>
        <w:t>2025-04-23</w:t>
      </w:r>
      <w:r>
        <w:t xml:space="preserve">, forwarding to the full JLC on </w:t>
      </w:r>
      <w:r>
        <w:rPr>
          <w:b/>
        </w:rPr>
        <w:t>2025-06-18</w:t>
      </w:r>
      <w:r>
        <w:t>. The VNGA conversion finding is unaffected and is in fact now exact: the two matching initiatives are the Guard tuition-grant increase ($50,000→$250,000) and the Referral Enlistment Program appropriation increase ($50,000→$250,000).</w:t>
      </w:r>
    </w:p>
    <w:p>
      <w:pPr>
        <w:pStyle w:val="ListBullet"/>
      </w:pPr>
      <w:r>
        <w:t xml:space="preserve">v1.0 said the sponsor-must-speak requirement came from the Legislative Chair "on 2025-04-23." </w:t>
      </w:r>
      <w:r>
        <w:rPr>
          <w:b/>
        </w:rPr>
        <w:t>Confirmed verbatim</w:t>
      </w:r>
      <w:r>
        <w:t xml:space="preserve"> and now quotable: </w:t>
      </w:r>
      <w:r>
        <w:rPr>
          <w:i/>
        </w:rPr>
        <w:t>"Chairman Yarborough told members that if their initiative moves forward to the full JLC, that they must be prepared to speak to it in front of the whole group."</w:t>
      </w:r>
    </w:p>
    <w:p>
      <w:r>
        <w:rPr>
          <w:b/>
        </w:rPr>
        <w:t>To Annex C:</w:t>
      </w:r>
      <w:r>
        <w:t xml:space="preserve"> § 3.4's member-organisation row and § 8's patron recommendation are unaffected by this version. Annex C's December-gate references are superseded by § 3 here. </w:t>
      </w:r>
      <w:r>
        <w:rPr>
          <w:b/>
        </w:rPr>
        <w:t>Annex C v1.1's MOAA/AUSA witness read remains retracted</w:t>
      </w:r>
      <w:r>
        <w:t xml:space="preserve"> — v1.0 § 4 reversed it and § 6 above carries the reversal.</w:t>
      </w:r>
    </w:p>
    <w:p>
      <w:r>
        <w:rPr>
          <w:b/>
        </w:rPr>
        <w:t>To the package README:</w:t>
      </w:r>
      <w:r>
        <w:t xml:space="preserve"> the brief's front matter still says </w:t>
      </w:r>
      <w:r>
        <w:rPr>
          <w:b/>
        </w:rPr>
        <w:t>"Target session: 2027 Regular Session."</w:t>
      </w:r>
      <w:r>
        <w:t xml:space="preserve"> That is now contrary to a board decision and should read 2028. The directory name </w:t>
      </w:r>
      <w:r>
        <w:rPr>
          <w:rFonts w:ascii="Consolas" w:hAnsi="Consolas"/>
          <w:color w:val="303030"/>
          <w:sz w:val="18"/>
        </w:rPr>
        <w:t>2027-military-service-credit-cost-window</w:t>
      </w:r>
      <w:r>
        <w:t xml:space="preserve"> is now a legacy label; renaming it would break cross-references in six documents, so I am flagging it rather than doing it. Owner: Editor.</w:t>
      </w:r>
    </w:p>
    <w:p>
      <w:pPr>
        <w:jc w:val="center"/>
      </w:pPr>
      <w:r>
        <w:rPr>
          <w:color w:val="909090"/>
          <w:sz w:val="18"/>
        </w:rPr>
        <w:t>* * *</w:t>
      </w:r>
    </w:p>
    <w:p>
      <w:pPr>
        <w:pStyle w:val="Heading2"/>
      </w:pPr>
      <w:r>
        <w:t>9. What the 14 months are for</w:t>
      </w:r>
    </w:p>
    <w:p>
      <w:r>
        <w:t xml:space="preserve">The slip was chosen for a reason: </w:t>
      </w:r>
      <w:r>
        <w:rPr>
          <w:b/>
        </w:rPr>
        <w:t>"what kills this bill is an unbounded fiscal note in a short session, and every item that would bound it is open."</w:t>
      </w:r>
      <w:r>
        <w:t xml:space="preserve"> The reason only pays off if those items actually close. Reverse-planned against § 3:</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By</w:t>
            </w:r>
          </w:p>
        </w:tc>
        <w:tc>
          <w:tcPr>
            <w:tcW w:type="dxa" w:w="2880"/>
          </w:tcPr>
          <w:p>
            <w:pPr>
              <w:spacing w:before="20" w:after="20"/>
              <w:jc w:val="left"/>
            </w:pPr>
            <w:r>
              <w:rPr>
                <w:b/>
                <w:sz w:val="17"/>
              </w:rPr>
              <w:t>What must be true</w:t>
            </w:r>
          </w:p>
        </w:tc>
        <w:tc>
          <w:tcPr>
            <w:tcW w:type="dxa" w:w="2880"/>
          </w:tcPr>
          <w:p>
            <w:pPr>
              <w:spacing w:before="20" w:after="20"/>
              <w:jc w:val="left"/>
            </w:pPr>
            <w:r>
              <w:rPr>
                <w:b/>
                <w:sz w:val="17"/>
              </w:rPr>
              <w:t>Owner</w:t>
            </w:r>
          </w:p>
        </w:tc>
      </w:tr>
      <w:tr>
        <w:tc>
          <w:tcPr>
            <w:tcW w:type="dxa" w:w="2880"/>
          </w:tcPr>
          <w:p>
            <w:pPr>
              <w:spacing w:before="20" w:after="20"/>
              <w:jc w:val="left"/>
            </w:pPr>
            <w:r>
              <w:rPr>
                <w:b/>
                <w:sz w:val="17"/>
              </w:rPr>
              <w:t>2026-12-17</w:t>
            </w:r>
          </w:p>
        </w:tc>
        <w:tc>
          <w:tcPr>
            <w:tcW w:type="dxa" w:w="2880"/>
          </w:tcPr>
          <w:p>
            <w:pPr>
              <w:spacing w:before="20" w:after="20"/>
              <w:jc w:val="left"/>
            </w:pPr>
            <w:r>
              <w:rPr>
                <w:sz w:val="17"/>
              </w:rPr>
              <w:t>Nothing required of us. Watch the JLC meeting for the re-adopted Work Plan — it is what converts the 2028-cycle dates from Medium to High confidence (U-8).</w:t>
            </w:r>
          </w:p>
        </w:tc>
        <w:tc>
          <w:tcPr>
            <w:tcW w:type="dxa" w:w="2880"/>
          </w:tcPr>
          <w:p>
            <w:pPr>
              <w:spacing w:before="20" w:after="20"/>
              <w:jc w:val="left"/>
            </w:pPr>
            <w:r>
              <w:rPr>
                <w:sz w:val="17"/>
              </w:rPr>
              <w:t>Stakeholder Analyst (desk watch)</w:t>
            </w:r>
          </w:p>
        </w:tc>
      </w:tr>
      <w:tr>
        <w:tc>
          <w:tcPr>
            <w:tcW w:type="dxa" w:w="2880"/>
          </w:tcPr>
          <w:p>
            <w:pPr>
              <w:spacing w:before="20" w:after="20"/>
              <w:jc w:val="left"/>
            </w:pPr>
            <w:r>
              <w:rPr>
                <w:b/>
                <w:sz w:val="17"/>
              </w:rPr>
              <w:t>2027-01-13</w:t>
            </w:r>
            <w:r>
              <w:rPr>
                <w:sz w:val="17"/>
              </w:rPr>
              <w:t xml:space="preserve"> (</w:t>
            </w:r>
            <w:r>
              <w:rPr>
                <w:b/>
                <w:sz w:val="17"/>
              </w:rPr>
              <w:t>80 days</w:t>
            </w:r>
            <w:r>
              <w:rPr>
                <w:sz w:val="17"/>
              </w:rPr>
              <w:t>)</w:t>
            </w:r>
          </w:p>
        </w:tc>
        <w:tc>
          <w:tcPr>
            <w:tcW w:type="dxa" w:w="2880"/>
          </w:tcPr>
          <w:p>
            <w:pPr>
              <w:spacing w:before="20" w:after="20"/>
              <w:jc w:val="left"/>
            </w:pPr>
            <w:r>
              <w:rPr>
                <w:b/>
                <w:sz w:val="17"/>
              </w:rPr>
              <w:t>The package has to be presentable to a sponsoring organisation.</w:t>
            </w:r>
            <w:r>
              <w:rPr>
                <w:sz w:val="17"/>
              </w:rPr>
              <w:t xml:space="preserve"> That means F-1's drafting choice settled, the cohort rewrite done, and a cost statement that does not open with a 6× range. It does </w:t>
            </w:r>
            <w:r>
              <w:rPr>
                <w:b/>
                <w:sz w:val="17"/>
              </w:rPr>
              <w:t>not</w:t>
            </w:r>
            <w:r>
              <w:rPr>
                <w:sz w:val="17"/>
              </w:rPr>
              <w:t xml:space="preserve"> require VRS's own numbers.</w:t>
            </w:r>
          </w:p>
        </w:tc>
        <w:tc>
          <w:tcPr>
            <w:tcW w:type="dxa" w:w="2880"/>
          </w:tcPr>
          <w:p>
            <w:pPr>
              <w:spacing w:before="20" w:after="20"/>
              <w:jc w:val="left"/>
            </w:pPr>
            <w:r>
              <w:rPr>
                <w:sz w:val="17"/>
              </w:rPr>
              <w:t>Policy Director; Drafting Specialist; Fiscal &amp; Impact Modeler</w:t>
            </w:r>
          </w:p>
        </w:tc>
      </w:tr>
      <w:tr>
        <w:tc>
          <w:tcPr>
            <w:tcW w:type="dxa" w:w="2880"/>
          </w:tcPr>
          <w:p>
            <w:pPr>
              <w:spacing w:before="20" w:after="20"/>
              <w:jc w:val="left"/>
            </w:pPr>
            <w:r>
              <w:rPr>
                <w:b/>
                <w:sz w:val="17"/>
              </w:rPr>
              <w:t>Late April 2027</w:t>
            </w:r>
            <w:r>
              <w:rPr>
                <w:sz w:val="17"/>
              </w:rPr>
              <w:t xml:space="preserve"> (</w:t>
            </w:r>
            <w:r>
              <w:rPr>
                <w:b/>
                <w:sz w:val="17"/>
              </w:rPr>
              <w:t>~175 days</w:t>
            </w:r>
            <w:r>
              <w:rPr>
                <w:sz w:val="17"/>
              </w:rPr>
              <w:t>)</w:t>
            </w:r>
          </w:p>
        </w:tc>
        <w:tc>
          <w:tcPr>
            <w:tcW w:type="dxa" w:w="2880"/>
          </w:tcPr>
          <w:p>
            <w:pPr>
              <w:spacing w:before="20" w:after="20"/>
              <w:jc w:val="left"/>
            </w:pPr>
            <w:r>
              <w:rPr>
                <w:b/>
                <w:sz w:val="17"/>
              </w:rPr>
              <w:t>The screen.</w:t>
            </w:r>
            <w:r>
              <w:rPr>
                <w:sz w:val="17"/>
              </w:rPr>
              <w:t xml:space="preserve"> 17→9 in the last full cycle. The paper must answer "whose members does this help" and "what does it cost" without a follow-up question, and must be tied to the strategic plan around the </w:t>
            </w:r>
            <w:r>
              <w:rPr>
                <w:b/>
                <w:sz w:val="17"/>
              </w:rPr>
              <w:t>transitioning service member</w:t>
            </w:r>
            <w:r>
              <w:rPr>
                <w:sz w:val="17"/>
              </w:rPr>
              <w:t xml:space="preserve"> (§ 7).</w:t>
            </w:r>
          </w:p>
        </w:tc>
        <w:tc>
          <w:tcPr>
            <w:tcW w:type="dxa" w:w="2880"/>
          </w:tcPr>
          <w:p>
            <w:pPr>
              <w:spacing w:before="20" w:after="20"/>
              <w:jc w:val="left"/>
            </w:pPr>
            <w:r>
              <w:rPr>
                <w:sz w:val="17"/>
              </w:rPr>
              <w:t>Editor; Policy Director</w:t>
            </w:r>
          </w:p>
        </w:tc>
      </w:tr>
      <w:tr>
        <w:tc>
          <w:tcPr>
            <w:tcW w:type="dxa" w:w="2880"/>
          </w:tcPr>
          <w:p>
            <w:pPr>
              <w:spacing w:before="20" w:after="20"/>
              <w:jc w:val="left"/>
            </w:pPr>
            <w:r>
              <w:rPr>
                <w:b/>
                <w:sz w:val="17"/>
              </w:rPr>
              <w:t>June 2027</w:t>
            </w:r>
          </w:p>
        </w:tc>
        <w:tc>
          <w:tcPr>
            <w:tcW w:type="dxa" w:w="2880"/>
          </w:tcPr>
          <w:p>
            <w:pPr>
              <w:spacing w:before="20" w:after="20"/>
              <w:jc w:val="left"/>
            </w:pPr>
            <w:r>
              <w:rPr>
                <w:sz w:val="17"/>
              </w:rPr>
              <w:t xml:space="preserve">Full Council presentation, and the convention resolution that makes the position durable. </w:t>
            </w:r>
            <w:r>
              <w:rPr>
                <w:b/>
                <w:sz w:val="17"/>
              </w:rPr>
              <w:t>The sponsor must be prepared to speak to it</w:t>
            </w:r>
            <w:r>
              <w:rPr>
                <w:sz w:val="17"/>
              </w:rPr>
              <w:t xml:space="preserve"> (documented requirement).</w:t>
            </w:r>
          </w:p>
        </w:tc>
        <w:tc>
          <w:tcPr>
            <w:tcW w:type="dxa" w:w="2880"/>
          </w:tcPr>
          <w:p>
            <w:pPr>
              <w:spacing w:before="20" w:after="20"/>
              <w:jc w:val="left"/>
            </w:pPr>
            <w:r>
              <w:rPr>
                <w:sz w:val="17"/>
              </w:rPr>
              <w:t>JLCVSO</w:t>
            </w:r>
          </w:p>
        </w:tc>
      </w:tr>
      <w:tr>
        <w:tc>
          <w:tcPr>
            <w:tcW w:type="dxa" w:w="2880"/>
          </w:tcPr>
          <w:p>
            <w:pPr>
              <w:spacing w:before="20" w:after="20"/>
              <w:jc w:val="left"/>
            </w:pPr>
            <w:r>
              <w:rPr>
                <w:b/>
                <w:sz w:val="17"/>
              </w:rPr>
              <w:t>~Sept 2027</w:t>
            </w:r>
          </w:p>
        </w:tc>
        <w:tc>
          <w:tcPr>
            <w:tcW w:type="dxa" w:w="2880"/>
          </w:tcPr>
          <w:p>
            <w:pPr>
              <w:spacing w:before="20" w:after="20"/>
              <w:jc w:val="left"/>
            </w:pPr>
            <w:r>
              <w:rPr>
                <w:sz w:val="17"/>
              </w:rPr>
              <w:t xml:space="preserve">Position paper / white paper, and DVS technical review. </w:t>
            </w:r>
            <w:r>
              <w:rPr>
                <w:b/>
                <w:sz w:val="17"/>
              </w:rPr>
              <w:t>By here the VRS data request should be answered</w:t>
            </w:r>
            <w:r>
              <w:rPr>
                <w:sz w:val="17"/>
              </w:rPr>
              <w:t xml:space="preserve"> — this is the whole value of the slip.</w:t>
            </w:r>
          </w:p>
        </w:tc>
        <w:tc>
          <w:tcPr>
            <w:tcW w:type="dxa" w:w="2880"/>
          </w:tcPr>
          <w:p>
            <w:pPr>
              <w:spacing w:before="20" w:after="20"/>
              <w:jc w:val="left"/>
            </w:pPr>
            <w:r>
              <w:rPr>
                <w:sz w:val="17"/>
              </w:rPr>
              <w:t>Fiscal &amp; Impact Modeler; Counsel</w:t>
            </w:r>
          </w:p>
        </w:tc>
      </w:tr>
      <w:tr>
        <w:tc>
          <w:tcPr>
            <w:tcW w:type="dxa" w:w="2880"/>
          </w:tcPr>
          <w:p>
            <w:pPr>
              <w:spacing w:before="20" w:after="20"/>
              <w:jc w:val="left"/>
            </w:pPr>
            <w:r>
              <w:rPr>
                <w:b/>
                <w:sz w:val="17"/>
              </w:rPr>
              <w:t>Dec 2027</w:t>
            </w:r>
          </w:p>
        </w:tc>
        <w:tc>
          <w:tcPr>
            <w:tcW w:type="dxa" w:w="2880"/>
          </w:tcPr>
          <w:p>
            <w:pPr>
              <w:spacing w:before="20" w:after="20"/>
              <w:jc w:val="left"/>
            </w:pPr>
            <w:r>
              <w:rPr>
                <w:sz w:val="17"/>
              </w:rPr>
              <w:t xml:space="preserve">Patron list. Annex C U-2 — the GAMVC roster and the Reeves co-chair claim — </w:t>
            </w:r>
            <w:r>
              <w:rPr>
                <w:b/>
                <w:sz w:val="17"/>
              </w:rPr>
              <w:t>must be resolved before then</w:t>
            </w:r>
            <w:r>
              <w:rPr>
                <w:sz w:val="17"/>
              </w:rPr>
              <w:t>, and now can be.</w:t>
            </w:r>
          </w:p>
        </w:tc>
        <w:tc>
          <w:tcPr>
            <w:tcW w:type="dxa" w:w="2880"/>
          </w:tcPr>
          <w:p>
            <w:pPr>
              <w:spacing w:before="20" w:after="20"/>
              <w:jc w:val="left"/>
            </w:pPr>
            <w:r>
              <w:rPr>
                <w:sz w:val="17"/>
              </w:rPr>
              <w:t>Policy Director</w:t>
            </w:r>
          </w:p>
        </w:tc>
      </w:tr>
    </w:tbl>
    <w:p>
      <w:pPr>
        <w:spacing w:before="0" w:after="0" w:line="80" w:lineRule="exact"/>
      </w:pPr>
      <w:r>
        <w:rPr>
          <w:sz w:val="8"/>
        </w:rPr>
      </w:r>
    </w:p>
    <w:p>
      <w:r>
        <w:rPr>
          <w:b/>
        </w:rPr>
        <w:t>Two things the slip does not fix, and one it makes worse.</w:t>
      </w:r>
    </w:p>
    <w:p>
      <w:pPr>
        <w:spacing w:after="60"/>
        <w:ind w:left="432" w:hanging="432"/>
      </w:pPr>
      <w:r>
        <w:rPr>
          <w:b/>
        </w:rPr>
        <w:t>1.</w:t>
        <w:tab/>
      </w:r>
      <w:r>
        <w:rPr>
          <w:b/>
        </w:rPr>
        <w:t>It does not fix N-2.</w:t>
      </w:r>
      <w:r>
        <w:t xml:space="preserve"> VFW still will not hold a vote at the April screen in 2027 unless the Legislative Committee's composition changes. Not ours to change, and not ours to ask about.</w:t>
      </w:r>
    </w:p>
    <w:p>
      <w:pPr>
        <w:spacing w:after="60"/>
        <w:ind w:left="432" w:hanging="432"/>
      </w:pPr>
      <w:r>
        <w:rPr>
          <w:b/>
        </w:rPr>
        <w:t>2.</w:t>
        <w:tab/>
      </w:r>
      <w:r>
        <w:rPr>
          <w:b/>
        </w:rPr>
        <w:t>It does not fix the fiscal range by itself.</w:t>
      </w:r>
      <w:r>
        <w:t xml:space="preserve"> Time is necessary, not sufficient. The basis-points split by plan and employer group is still owed (§ 12).</w:t>
      </w:r>
    </w:p>
    <w:p>
      <w:pPr>
        <w:spacing w:after="60"/>
        <w:ind w:left="432" w:hanging="432"/>
      </w:pPr>
      <w:r>
        <w:rPr>
          <w:b/>
        </w:rPr>
        <w:t>3.</w:t>
        <w:tab/>
      </w:r>
      <w:r>
        <w:rPr>
          <w:b/>
        </w:rPr>
        <w:t>It makes the VACo question live for longer.</w:t>
      </w:r>
      <w:r>
        <w:t xml:space="preserve"> A retirement or unfunded-mandate plank adopted in VACo's 2027 program on 2026-11-10 would be in place through the entire 2028 run-up, and VACo adopts a program every year. </w:t>
      </w:r>
      <w:r>
        <w:rPr>
          <w:b/>
        </w:rPr>
        <w:t>Annex C's VACo row should be re-read after 2026-11-10 and again after VACo's 2028 program.</w:t>
      </w:r>
      <w:r>
        <w:t xml:space="preserve"> Confidence </w:t>
      </w:r>
      <w:r>
        <w:rPr>
          <w:b/>
        </w:rPr>
        <w:t>High</w:t>
      </w:r>
      <w:r>
        <w:t xml:space="preserve"> that the program is annual; </w:t>
      </w:r>
      <w:r>
        <w:rPr>
          <w:b/>
        </w:rPr>
        <w:t>Low</w:t>
      </w:r>
      <w:r>
        <w:t xml:space="preserve"> on its contents.</w:t>
      </w:r>
    </w:p>
    <w:p>
      <w:pPr>
        <w:jc w:val="center"/>
      </w:pPr>
      <w:r>
        <w:rPr>
          <w:color w:val="909090"/>
          <w:sz w:val="18"/>
        </w:rPr>
        <w:t>* * *</w:t>
      </w:r>
    </w:p>
    <w:p>
      <w:pPr>
        <w:pStyle w:val="Heading2"/>
      </w:pPr>
      <w:r>
        <w:t>10. Unknowns</w:t>
      </w:r>
    </w:p>
    <w:p>
      <w:pPr>
        <w:spacing w:before="120" w:after="120"/>
        <w:ind w:left="480"/>
      </w:pPr>
      <w:r>
        <w:rPr>
          <w:b/>
          <w:i/>
          <w:color w:val="444444"/>
          <w:sz w:val="20"/>
        </w:rPr>
        <w:t>Numbering warning, and it is a live package defect.</w:t>
      </w:r>
      <w:r>
        <w:rPr>
          <w:i/>
          <w:color w:val="444444"/>
          <w:sz w:val="20"/>
        </w:rPr>
        <w:t xml:space="preserve"> There are </w:t>
      </w:r>
      <w:r>
        <w:rPr>
          <w:b/>
          <w:i/>
          <w:color w:val="444444"/>
          <w:sz w:val="20"/>
        </w:rPr>
        <w:t>two unrelated U-series</w:t>
      </w:r>
      <w:r>
        <w:rPr>
          <w:i/>
          <w:color w:val="444444"/>
          <w:sz w:val="20"/>
        </w:rPr>
        <w:t xml:space="preserve"> in this package. </w:t>
      </w:r>
      <w:r>
        <w:rPr>
          <w:b/>
          <w:i/>
          <w:color w:val="444444"/>
          <w:sz w:val="20"/>
        </w:rPr>
        <w:t>Annex B</w:t>
      </w:r>
      <w:r>
        <w:rPr>
          <w:i/>
          <w:color w:val="444444"/>
          <w:sz w:val="20"/>
        </w:rPr>
        <w:t xml:space="preserve"> carries the </w:t>
      </w:r>
      <w:r>
        <w:rPr>
          <w:i/>
          <w:color w:val="444444"/>
          <w:sz w:val="20"/>
        </w:rPr>
        <w:t>fiscal</w:t>
      </w:r>
      <w:r>
        <w:rPr>
          <w:i/>
          <w:color w:val="444444"/>
          <w:sz w:val="20"/>
        </w:rPr>
        <w:t xml:space="preserve"> register, zero-padded, currently running </w:t>
      </w:r>
      <w:r>
        <w:rPr>
          <w:b/>
          <w:i/>
          <w:color w:val="444444"/>
          <w:sz w:val="20"/>
        </w:rPr>
        <w:t>U-01 to U-16</w:t>
      </w:r>
      <w:r>
        <w:rPr>
          <w:i/>
          <w:color w:val="444444"/>
          <w:sz w:val="20"/>
        </w:rPr>
        <w:t xml:space="preserve"> — U-16 there is the retirement-age basis of VRS's AEC factors. </w:t>
      </w:r>
      <w:r>
        <w:rPr>
          <w:b/>
          <w:i/>
          <w:color w:val="444444"/>
          <w:sz w:val="20"/>
        </w:rPr>
        <w:t>Annex C and this annex</w:t>
      </w:r>
      <w:r>
        <w:rPr>
          <w:i/>
          <w:color w:val="444444"/>
          <w:sz w:val="20"/>
        </w:rPr>
        <w:t xml:space="preserve"> carry the </w:t>
      </w:r>
      <w:r>
        <w:rPr>
          <w:i/>
          <w:color w:val="444444"/>
          <w:sz w:val="20"/>
        </w:rPr>
        <w:t>stakeholder</w:t>
      </w:r>
      <w:r>
        <w:rPr>
          <w:i/>
          <w:color w:val="444444"/>
          <w:sz w:val="20"/>
        </w:rPr>
        <w:t xml:space="preserve"> register, unpadded, </w:t>
      </w:r>
      <w:r>
        <w:rPr>
          <w:b/>
          <w:i/>
          <w:color w:val="444444"/>
          <w:sz w:val="20"/>
        </w:rPr>
        <w:t>U-1 to U-15</w:t>
      </w:r>
      <w:r>
        <w:rPr>
          <w:i/>
          <w:color w:val="444444"/>
          <w:sz w:val="20"/>
        </w:rPr>
        <w:t xml:space="preserve"> as of this version. They already collide at U-8 and from U-10 onward, and the collision is accidental, not a cross-reference. </w:t>
      </w:r>
      <w:r>
        <w:rPr>
          <w:b/>
          <w:i/>
          <w:color w:val="444444"/>
          <w:sz w:val="20"/>
        </w:rPr>
        <w:t>Every citation must name the annex: "Annex B U-16" and "Annex D U-15" are different objects.</w:t>
      </w:r>
      <w:r>
        <w:rPr>
          <w:i/>
          <w:color w:val="444444"/>
          <w:sz w:val="20"/>
        </w:rPr>
        <w:t xml:space="preserve"> My new items below continue the stakeholder series rather than renaming it, because U-1, U-2, U-5 and U-8 are cited in the MOO-302 description, in Annex B and in the Red Team review, and renaming would break all of them. </w:t>
      </w:r>
      <w:r>
        <w:rPr>
          <w:b/>
          <w:i/>
          <w:color w:val="444444"/>
          <w:sz w:val="20"/>
        </w:rPr>
        <w:t xml:space="preserve">Recommendation to the Editor: prefix the stakeholder series </w:t>
      </w:r>
      <w:r>
        <w:rPr>
          <w:rFonts w:ascii="Consolas" w:hAnsi="Consolas"/>
          <w:b/>
          <w:i/>
          <w:color w:val="303030"/>
          <w:sz w:val="18"/>
        </w:rPr>
        <w:t>SU-</w:t>
      </w:r>
      <w:r>
        <w:rPr>
          <w:b/>
          <w:i/>
          <w:color w:val="444444"/>
          <w:sz w:val="20"/>
        </w:rPr>
        <w:t xml:space="preserve"> at the next Annex C revision, in one pass, with a mapping table.</w:t>
      </w:r>
    </w:p>
    <w:tbl>
      <w:tblPr>
        <w:tblStyle w:val="TableGrid"/>
        <w:tblW w:type="auto" w:w="0"/>
        <w:jc w:val="left"/>
        <w:tblLook w:firstColumn="1" w:firstRow="1" w:lastColumn="0" w:lastRow="0" w:noHBand="0" w:noVBand="1" w:val="04A0"/>
      </w:tblPr>
      <w:tblGrid>
        <w:gridCol w:w="1728"/>
        <w:gridCol w:w="1728"/>
        <w:gridCol w:w="1728"/>
        <w:gridCol w:w="1728"/>
        <w:gridCol w:w="1728"/>
      </w:tblGrid>
      <w:tr>
        <w:trPr>
          <w:tblHeader w:val="true"/>
        </w:trPr>
        <w:tc>
          <w:tcPr>
            <w:tcW w:type="dxa" w:w="1728"/>
          </w:tcPr>
          <w:p>
            <w:pPr>
              <w:spacing w:before="20" w:after="20"/>
              <w:jc w:val="left"/>
            </w:pPr>
            <w:r>
              <w:rPr>
                <w:b/>
                <w:sz w:val="17"/>
              </w:rPr>
              <w:t>#</w:t>
            </w:r>
          </w:p>
        </w:tc>
        <w:tc>
          <w:tcPr>
            <w:tcW w:type="dxa" w:w="1728"/>
          </w:tcPr>
          <w:p>
            <w:pPr>
              <w:spacing w:before="20" w:after="20"/>
              <w:jc w:val="left"/>
            </w:pPr>
            <w:r>
              <w:rPr>
                <w:b/>
                <w:sz w:val="17"/>
              </w:rPr>
              <w:t>Unknown</w:t>
            </w:r>
          </w:p>
        </w:tc>
        <w:tc>
          <w:tcPr>
            <w:tcW w:type="dxa" w:w="1728"/>
          </w:tcPr>
          <w:p>
            <w:pPr>
              <w:spacing w:before="20" w:after="20"/>
              <w:jc w:val="left"/>
            </w:pPr>
            <w:r>
              <w:rPr>
                <w:b/>
                <w:sz w:val="17"/>
              </w:rPr>
              <w:t>Status</w:t>
            </w:r>
          </w:p>
        </w:tc>
        <w:tc>
          <w:tcPr>
            <w:tcW w:type="dxa" w:w="1728"/>
          </w:tcPr>
          <w:p>
            <w:pPr>
              <w:spacing w:before="20" w:after="20"/>
              <w:jc w:val="left"/>
            </w:pPr>
            <w:r>
              <w:rPr>
                <w:b/>
                <w:sz w:val="17"/>
              </w:rPr>
              <w:t>Why it matters</w:t>
            </w:r>
          </w:p>
        </w:tc>
        <w:tc>
          <w:tcPr>
            <w:tcW w:type="dxa" w:w="1728"/>
          </w:tcPr>
          <w:p>
            <w:pPr>
              <w:spacing w:before="20" w:after="20"/>
              <w:jc w:val="left"/>
            </w:pPr>
            <w:r>
              <w:rPr>
                <w:b/>
                <w:sz w:val="17"/>
              </w:rPr>
              <w:t>What resolves it</w:t>
            </w:r>
          </w:p>
        </w:tc>
      </w:tr>
      <w:tr>
        <w:tc>
          <w:tcPr>
            <w:tcW w:type="dxa" w:w="1728"/>
          </w:tcPr>
          <w:p>
            <w:pPr>
              <w:spacing w:before="20" w:after="20"/>
              <w:jc w:val="left"/>
            </w:pPr>
            <w:r>
              <w:rPr>
                <w:b/>
                <w:sz w:val="17"/>
              </w:rPr>
              <w:t>U-12</w:t>
            </w:r>
            <w:r>
              <w:rPr>
                <w:sz w:val="17"/>
              </w:rPr>
              <w:t xml:space="preserve"> </w:t>
            </w:r>
            <w:r>
              <w:rPr>
                <w:i/>
                <w:sz w:val="17"/>
              </w:rPr>
              <w:t>(new)</w:t>
            </w:r>
          </w:p>
        </w:tc>
        <w:tc>
          <w:tcPr>
            <w:tcW w:type="dxa" w:w="1728"/>
          </w:tcPr>
          <w:p>
            <w:pPr>
              <w:spacing w:before="20" w:after="20"/>
              <w:jc w:val="left"/>
            </w:pPr>
            <w:r>
              <w:rPr>
                <w:b/>
                <w:sz w:val="17"/>
              </w:rPr>
              <w:t>Whether VFW will use the prioritized-listing route for an item outside its stated priorities.</w:t>
            </w:r>
          </w:p>
        </w:tc>
        <w:tc>
          <w:tcPr>
            <w:tcW w:type="dxa" w:w="1728"/>
          </w:tcPr>
          <w:p>
            <w:pPr>
              <w:spacing w:before="20" w:after="20"/>
              <w:jc w:val="left"/>
            </w:pPr>
            <w:r>
              <w:rPr>
                <w:sz w:val="17"/>
              </w:rPr>
              <w:t>Open</w:t>
            </w:r>
          </w:p>
        </w:tc>
        <w:tc>
          <w:tcPr>
            <w:tcW w:type="dxa" w:w="1728"/>
          </w:tcPr>
          <w:p>
            <w:pPr>
              <w:spacing w:before="20" w:after="20"/>
              <w:jc w:val="left"/>
            </w:pPr>
            <w:r>
              <w:rPr>
                <w:sz w:val="17"/>
              </w:rPr>
              <w:t>§ 4's whole sequence depends on it. The instrument is documented; its use for a novel subject is not.</w:t>
            </w:r>
          </w:p>
        </w:tc>
        <w:tc>
          <w:tcPr>
            <w:tcW w:type="dxa" w:w="1728"/>
          </w:tcPr>
          <w:p>
            <w:pPr>
              <w:spacing w:before="20" w:after="20"/>
              <w:jc w:val="left"/>
            </w:pPr>
            <w:r>
              <w:rPr>
                <w:b/>
                <w:sz w:val="17"/>
              </w:rPr>
              <w:t>Not resolvable from the public record, and not ours to ask.</w:t>
            </w:r>
            <w:r>
              <w:rPr>
                <w:sz w:val="17"/>
              </w:rPr>
              <w:t xml:space="preserve"> JLCVSO's approach.</w:t>
            </w:r>
          </w:p>
        </w:tc>
      </w:tr>
      <w:tr>
        <w:tc>
          <w:tcPr>
            <w:tcW w:type="dxa" w:w="1728"/>
          </w:tcPr>
          <w:p>
            <w:pPr>
              <w:spacing w:before="20" w:after="20"/>
              <w:jc w:val="left"/>
            </w:pPr>
            <w:r>
              <w:rPr>
                <w:b/>
                <w:sz w:val="17"/>
              </w:rPr>
              <w:t>U-9</w:t>
            </w:r>
            <w:r>
              <w:rPr>
                <w:sz w:val="17"/>
              </w:rPr>
              <w:t xml:space="preserve"> </w:t>
            </w:r>
            <w:r>
              <w:rPr>
                <w:i/>
                <w:sz w:val="17"/>
              </w:rPr>
              <w:t>(repointed)</w:t>
            </w:r>
          </w:p>
        </w:tc>
        <w:tc>
          <w:tcPr>
            <w:tcW w:type="dxa" w:w="1728"/>
          </w:tcPr>
          <w:p>
            <w:pPr>
              <w:spacing w:before="20" w:after="20"/>
              <w:jc w:val="left"/>
            </w:pPr>
            <w:r>
              <w:rPr>
                <w:b/>
                <w:sz w:val="17"/>
              </w:rPr>
              <w:t>Whether VFW — or any member organisation — will sponsor.</w:t>
            </w:r>
          </w:p>
        </w:tc>
        <w:tc>
          <w:tcPr>
            <w:tcW w:type="dxa" w:w="1728"/>
          </w:tcPr>
          <w:p>
            <w:pPr>
              <w:spacing w:before="20" w:after="20"/>
              <w:jc w:val="left"/>
            </w:pPr>
            <w:r>
              <w:rPr>
                <w:sz w:val="17"/>
              </w:rPr>
              <w:t>Open</w:t>
            </w:r>
          </w:p>
        </w:tc>
        <w:tc>
          <w:tcPr>
            <w:tcW w:type="dxa" w:w="1728"/>
          </w:tcPr>
          <w:p>
            <w:pPr>
              <w:spacing w:before="20" w:after="20"/>
              <w:jc w:val="left"/>
            </w:pPr>
            <w:r>
              <w:rPr>
                <w:sz w:val="17"/>
              </w:rPr>
              <w:t>Requirement 2 of four, and the only one no one in this package can supply.</w:t>
            </w:r>
          </w:p>
        </w:tc>
        <w:tc>
          <w:tcPr>
            <w:tcW w:type="dxa" w:w="1728"/>
          </w:tcPr>
          <w:p>
            <w:pPr>
              <w:spacing w:before="20" w:after="20"/>
              <w:jc w:val="left"/>
            </w:pPr>
            <w:r>
              <w:rPr>
                <w:sz w:val="17"/>
              </w:rPr>
              <w:t>Same as above.</w:t>
            </w:r>
          </w:p>
        </w:tc>
      </w:tr>
      <w:tr>
        <w:tc>
          <w:tcPr>
            <w:tcW w:type="dxa" w:w="1728"/>
          </w:tcPr>
          <w:p>
            <w:pPr>
              <w:spacing w:before="20" w:after="20"/>
              <w:jc w:val="left"/>
            </w:pPr>
            <w:r>
              <w:rPr>
                <w:b/>
                <w:sz w:val="17"/>
              </w:rPr>
              <w:t>U-8</w:t>
            </w:r>
            <w:r>
              <w:rPr>
                <w:sz w:val="17"/>
              </w:rPr>
              <w:t xml:space="preserve"> </w:t>
            </w:r>
            <w:r>
              <w:rPr>
                <w:i/>
                <w:sz w:val="17"/>
              </w:rPr>
              <w:t>(de-escalated, repointed)</w:t>
            </w:r>
          </w:p>
        </w:tc>
        <w:tc>
          <w:tcPr>
            <w:tcW w:type="dxa" w:w="1728"/>
          </w:tcPr>
          <w:p>
            <w:pPr>
              <w:spacing w:before="20" w:after="20"/>
              <w:jc w:val="left"/>
            </w:pPr>
            <w:r>
              <w:rPr>
                <w:sz w:val="17"/>
              </w:rPr>
              <w:t xml:space="preserve">The 2020 Work Plan is the only retrievable one, and the </w:t>
            </w:r>
            <w:r>
              <w:rPr>
                <w:b/>
                <w:sz w:val="17"/>
              </w:rPr>
              <w:t>2028-cycle dates</w:t>
            </w:r>
            <w:r>
              <w:rPr>
                <w:sz w:val="17"/>
              </w:rPr>
              <w:t xml:space="preserve"> now rest on it. The 2022 minutes show the paper deadline being set in open meeting (1 Sep) rather than by the Plan (NLT 15 Sep).</w:t>
            </w:r>
          </w:p>
        </w:tc>
        <w:tc>
          <w:tcPr>
            <w:tcW w:type="dxa" w:w="1728"/>
          </w:tcPr>
          <w:p>
            <w:pPr>
              <w:spacing w:before="20" w:after="20"/>
              <w:jc w:val="left"/>
            </w:pPr>
            <w:r>
              <w:rPr>
                <w:b/>
                <w:sz w:val="17"/>
              </w:rPr>
              <w:t>No longer decision-gating</w:t>
            </w:r>
            <w:r>
              <w:rPr>
                <w:sz w:val="17"/>
              </w:rPr>
              <w:t xml:space="preserve"> — it governs calendar precision, not the go/no-go.</w:t>
            </w:r>
          </w:p>
        </w:tc>
        <w:tc>
          <w:tcPr>
            <w:tcW w:type="dxa" w:w="1728"/>
          </w:tcPr>
          <w:p>
            <w:pPr>
              <w:spacing w:before="20" w:after="20"/>
              <w:jc w:val="left"/>
            </w:pPr>
            <w:r>
              <w:rPr>
                <w:sz w:val="17"/>
              </w:rPr>
              <w:t>Whether the package is early or late to the 2027 spring call.</w:t>
            </w:r>
          </w:p>
        </w:tc>
        <w:tc>
          <w:tcPr>
            <w:tcW w:type="dxa" w:w="1728"/>
          </w:tcPr>
          <w:p>
            <w:pPr>
              <w:spacing w:before="20" w:after="20"/>
              <w:jc w:val="left"/>
            </w:pPr>
            <w:r>
              <w:rPr>
                <w:sz w:val="17"/>
              </w:rPr>
              <w:t>The 2026-12-17 agenda or minutes; the current Work Plan from behind the 403.</w:t>
            </w:r>
          </w:p>
        </w:tc>
      </w:tr>
      <w:tr>
        <w:tc>
          <w:tcPr>
            <w:tcW w:type="dxa" w:w="1728"/>
          </w:tcPr>
          <w:p>
            <w:pPr>
              <w:spacing w:before="20" w:after="20"/>
              <w:jc w:val="left"/>
            </w:pPr>
            <w:r>
              <w:rPr>
                <w:b/>
                <w:sz w:val="17"/>
              </w:rPr>
              <w:t>U-1</w:t>
            </w:r>
            <w:r>
              <w:rPr>
                <w:sz w:val="17"/>
              </w:rPr>
              <w:t xml:space="preserve"> </w:t>
            </w:r>
            <w:r>
              <w:rPr>
                <w:i/>
                <w:sz w:val="17"/>
              </w:rPr>
              <w:t>(de-escalated)</w:t>
            </w:r>
          </w:p>
        </w:tc>
        <w:tc>
          <w:tcPr>
            <w:tcW w:type="dxa" w:w="1728"/>
          </w:tcPr>
          <w:p>
            <w:pPr>
              <w:spacing w:before="20" w:after="20"/>
              <w:jc w:val="left"/>
            </w:pPr>
            <w:r>
              <w:rPr>
                <w:b/>
                <w:sz w:val="17"/>
              </w:rPr>
              <w:t>Contents of the adopted 2027 slate.</w:t>
            </w:r>
            <w:r>
              <w:rPr>
                <w:sz w:val="17"/>
              </w:rPr>
              <w:t xml:space="preserve"> DVS JLC page HTTP 403, re-attempted 2026-10-25.</w:t>
            </w:r>
          </w:p>
        </w:tc>
        <w:tc>
          <w:tcPr>
            <w:tcW w:type="dxa" w:w="1728"/>
          </w:tcPr>
          <w:p>
            <w:pPr>
              <w:spacing w:before="20" w:after="20"/>
              <w:jc w:val="left"/>
            </w:pPr>
            <w:r>
              <w:rPr>
                <w:b/>
                <w:sz w:val="17"/>
              </w:rPr>
              <w:t>Now informational only</w:t>
            </w:r>
            <w:r>
              <w:rPr>
                <w:sz w:val="17"/>
              </w:rPr>
              <w:t xml:space="preserve"> — we are not contesting the 2027 slate.</w:t>
            </w:r>
          </w:p>
        </w:tc>
        <w:tc>
          <w:tcPr>
            <w:tcW w:type="dxa" w:w="1728"/>
          </w:tcPr>
          <w:p>
            <w:pPr>
              <w:spacing w:before="20" w:after="20"/>
              <w:jc w:val="left"/>
            </w:pPr>
            <w:r>
              <w:rPr>
                <w:sz w:val="17"/>
              </w:rPr>
              <w:t>Still worth one look: if a VRS item is already on the 2027 slate, the whole premise changes.</w:t>
            </w:r>
          </w:p>
        </w:tc>
        <w:tc>
          <w:tcPr>
            <w:tcW w:type="dxa" w:w="1728"/>
          </w:tcPr>
          <w:p>
            <w:pPr>
              <w:spacing w:before="20" w:after="20"/>
              <w:jc w:val="left"/>
            </w:pPr>
            <w:r>
              <w:rPr>
                <w:b/>
                <w:sz w:val="17"/>
              </w:rPr>
              <w:t>A person opening the page in a browser resolves it in a minute.</w:t>
            </w:r>
          </w:p>
        </w:tc>
      </w:tr>
      <w:tr>
        <w:tc>
          <w:tcPr>
            <w:tcW w:type="dxa" w:w="1728"/>
          </w:tcPr>
          <w:p>
            <w:pPr>
              <w:spacing w:before="20" w:after="20"/>
              <w:jc w:val="left"/>
            </w:pPr>
            <w:r>
              <w:rPr>
                <w:b/>
                <w:sz w:val="17"/>
              </w:rPr>
              <w:t>U-13</w:t>
            </w:r>
            <w:r>
              <w:rPr>
                <w:sz w:val="17"/>
              </w:rPr>
              <w:t xml:space="preserve"> </w:t>
            </w:r>
            <w:r>
              <w:rPr>
                <w:i/>
                <w:sz w:val="17"/>
              </w:rPr>
              <w:t>(new)</w:t>
            </w:r>
          </w:p>
        </w:tc>
        <w:tc>
          <w:tcPr>
            <w:tcW w:type="dxa" w:w="1728"/>
          </w:tcPr>
          <w:p>
            <w:pPr>
              <w:spacing w:before="20" w:after="20"/>
              <w:jc w:val="left"/>
            </w:pPr>
            <w:r>
              <w:rPr>
                <w:b/>
                <w:sz w:val="17"/>
              </w:rPr>
              <w:t>How many Virginia veteran public employees are non-deployed</w:t>
            </w:r>
            <w:r>
              <w:rPr>
                <w:sz w:val="17"/>
              </w:rPr>
              <w:t xml:space="preserve"> and therefore outside VFW's membership rule while inside the bill's benefit.</w:t>
            </w:r>
          </w:p>
        </w:tc>
        <w:tc>
          <w:tcPr>
            <w:tcW w:type="dxa" w:w="1728"/>
          </w:tcPr>
          <w:p>
            <w:pPr>
              <w:spacing w:before="20" w:after="20"/>
              <w:jc w:val="left"/>
            </w:pPr>
            <w:r>
              <w:rPr>
                <w:sz w:val="17"/>
              </w:rPr>
              <w:t>Open</w:t>
            </w:r>
          </w:p>
        </w:tc>
        <w:tc>
          <w:tcPr>
            <w:tcW w:type="dxa" w:w="1728"/>
          </w:tcPr>
          <w:p>
            <w:pPr>
              <w:spacing w:before="20" w:after="20"/>
              <w:jc w:val="left"/>
            </w:pPr>
            <w:r>
              <w:rPr>
                <w:sz w:val="17"/>
              </w:rPr>
              <w:t>It is the gap between the sponsor's membership and the beneficiary population — the first question a sceptical Council member can ask.</w:t>
            </w:r>
          </w:p>
        </w:tc>
        <w:tc>
          <w:tcPr>
            <w:tcW w:type="dxa" w:w="1728"/>
          </w:tcPr>
          <w:p>
            <w:pPr>
              <w:spacing w:before="20" w:after="20"/>
              <w:jc w:val="left"/>
            </w:pPr>
            <w:r>
              <w:rPr>
                <w:sz w:val="17"/>
              </w:rPr>
              <w:t xml:space="preserve">DHRM or VRS veteran-status data. DHRM reports </w:t>
            </w:r>
            <w:r>
              <w:rPr>
                <w:b/>
                <w:sz w:val="17"/>
              </w:rPr>
              <w:t>69% unknown veteran status</w:t>
            </w:r>
            <w:r>
              <w:rPr>
                <w:sz w:val="17"/>
              </w:rPr>
              <w:t>, so this may not be answerable at all.</w:t>
            </w:r>
          </w:p>
        </w:tc>
      </w:tr>
      <w:tr>
        <w:tc>
          <w:tcPr>
            <w:tcW w:type="dxa" w:w="1728"/>
          </w:tcPr>
          <w:p>
            <w:pPr>
              <w:spacing w:before="20" w:after="20"/>
              <w:jc w:val="left"/>
            </w:pPr>
            <w:r>
              <w:rPr>
                <w:b/>
                <w:sz w:val="17"/>
              </w:rPr>
              <w:t>U-14</w:t>
            </w:r>
            <w:r>
              <w:rPr>
                <w:sz w:val="17"/>
              </w:rPr>
              <w:t xml:space="preserve"> </w:t>
            </w:r>
            <w:r>
              <w:rPr>
                <w:i/>
                <w:sz w:val="17"/>
              </w:rPr>
              <w:t>(new)</w:t>
            </w:r>
          </w:p>
        </w:tc>
        <w:tc>
          <w:tcPr>
            <w:tcW w:type="dxa" w:w="1728"/>
          </w:tcPr>
          <w:p>
            <w:pPr>
              <w:spacing w:before="20" w:after="20"/>
              <w:jc w:val="left"/>
            </w:pPr>
            <w:r>
              <w:rPr>
                <w:b/>
                <w:sz w:val="17"/>
              </w:rPr>
              <w:t>The JLC initiative template</w:t>
            </w:r>
            <w:r>
              <w:rPr>
                <w:sz w:val="17"/>
              </w:rPr>
              <w:t xml:space="preserve"> members fill out when an initiative advances.</w:t>
            </w:r>
          </w:p>
        </w:tc>
        <w:tc>
          <w:tcPr>
            <w:tcW w:type="dxa" w:w="1728"/>
          </w:tcPr>
          <w:p>
            <w:pPr>
              <w:spacing w:before="20" w:after="20"/>
              <w:jc w:val="left"/>
            </w:pPr>
            <w:r>
              <w:rPr>
                <w:sz w:val="17"/>
              </w:rPr>
              <w:t>Open</w:t>
            </w:r>
          </w:p>
        </w:tc>
        <w:tc>
          <w:tcPr>
            <w:tcW w:type="dxa" w:w="1728"/>
          </w:tcPr>
          <w:p>
            <w:pPr>
              <w:spacing w:before="20" w:after="20"/>
              <w:jc w:val="left"/>
            </w:pPr>
            <w:r>
              <w:rPr>
                <w:sz w:val="17"/>
              </w:rPr>
              <w:t xml:space="preserve">§ 7 drafts to the JLC </w:t>
            </w:r>
            <w:r>
              <w:rPr>
                <w:i/>
                <w:sz w:val="17"/>
              </w:rPr>
              <w:t>format</w:t>
            </w:r>
            <w:r>
              <w:rPr>
                <w:sz w:val="17"/>
              </w:rPr>
              <w:t>; the template is a different artefact and may ask for things the package does not have.</w:t>
            </w:r>
          </w:p>
        </w:tc>
        <w:tc>
          <w:tcPr>
            <w:tcW w:type="dxa" w:w="1728"/>
          </w:tcPr>
          <w:p>
            <w:pPr>
              <w:spacing w:before="20" w:after="20"/>
              <w:jc w:val="left"/>
            </w:pPr>
            <w:r>
              <w:rPr>
                <w:sz w:val="17"/>
              </w:rPr>
              <w:t>The template itself, from behind the 403, or from the agenda packet of a Legislative Committee meeting.</w:t>
            </w:r>
          </w:p>
        </w:tc>
      </w:tr>
      <w:tr>
        <w:tc>
          <w:tcPr>
            <w:tcW w:type="dxa" w:w="1728"/>
          </w:tcPr>
          <w:p>
            <w:pPr>
              <w:spacing w:before="20" w:after="20"/>
              <w:jc w:val="left"/>
            </w:pPr>
            <w:r>
              <w:rPr>
                <w:b/>
                <w:sz w:val="17"/>
              </w:rPr>
              <w:t>U-11</w:t>
            </w:r>
            <w:r>
              <w:rPr>
                <w:sz w:val="17"/>
              </w:rPr>
              <w:t xml:space="preserve"> </w:t>
            </w:r>
            <w:r>
              <w:rPr>
                <w:i/>
                <w:sz w:val="17"/>
              </w:rPr>
              <w:t>(unchanged)</w:t>
            </w:r>
          </w:p>
        </w:tc>
        <w:tc>
          <w:tcPr>
            <w:tcW w:type="dxa" w:w="1728"/>
          </w:tcPr>
          <w:p>
            <w:pPr>
              <w:spacing w:before="20" w:after="20"/>
              <w:jc w:val="left"/>
            </w:pPr>
            <w:r>
              <w:rPr>
                <w:b/>
                <w:sz w:val="17"/>
              </w:rPr>
              <w:t>How VRS administers B 3's second limb</w:t>
            </w:r>
            <w:r>
              <w:rPr>
                <w:sz w:val="17"/>
              </w:rPr>
              <w:t xml:space="preserve"> (defined-contribution balance / BRS–TSP).</w:t>
            </w:r>
          </w:p>
        </w:tc>
        <w:tc>
          <w:tcPr>
            <w:tcW w:type="dxa" w:w="1728"/>
          </w:tcPr>
          <w:p>
            <w:pPr>
              <w:spacing w:before="20" w:after="20"/>
              <w:jc w:val="left"/>
            </w:pPr>
            <w:r>
              <w:rPr>
                <w:sz w:val="17"/>
              </w:rPr>
              <w:t>Open</w:t>
            </w:r>
          </w:p>
        </w:tc>
        <w:tc>
          <w:tcPr>
            <w:tcW w:type="dxa" w:w="1728"/>
          </w:tcPr>
          <w:p>
            <w:pPr>
              <w:spacing w:before="20" w:after="20"/>
              <w:jc w:val="left"/>
            </w:pPr>
            <w:r>
              <w:rPr>
                <w:sz w:val="17"/>
              </w:rPr>
              <w:t>Red Team S-4. Determines whether the youngest veterans are eligible at all — and therefore whether § 7's transitioning-service-member framing, which the record says this agency wants, survives.</w:t>
            </w:r>
          </w:p>
        </w:tc>
        <w:tc>
          <w:tcPr>
            <w:tcW w:type="dxa" w:w="1728"/>
          </w:tcPr>
          <w:p>
            <w:pPr>
              <w:spacing w:before="20" w:after="20"/>
              <w:jc w:val="left"/>
            </w:pPr>
            <w:r>
              <w:rPr>
                <w:sz w:val="17"/>
              </w:rPr>
              <w:t xml:space="preserve">Items 9–10 of the VRS data request. </w:t>
            </w:r>
            <w:r>
              <w:rPr>
                <w:b/>
                <w:sz w:val="17"/>
              </w:rPr>
              <w:t>The highest-value open item on the stakeholder side</w:t>
            </w:r>
            <w:r>
              <w:rPr>
                <w:sz w:val="17"/>
              </w:rPr>
              <w:t>, because the framing the Commissioner prefers depends on it. (It is not a claim about the fiscal register's ranking, where Annex B U-01 and U-16 lead.)</w:t>
            </w:r>
          </w:p>
        </w:tc>
      </w:tr>
      <w:tr>
        <w:tc>
          <w:tcPr>
            <w:tcW w:type="dxa" w:w="1728"/>
          </w:tcPr>
          <w:p>
            <w:pPr>
              <w:spacing w:before="20" w:after="20"/>
              <w:jc w:val="left"/>
            </w:pPr>
            <w:r>
              <w:rPr>
                <w:b/>
                <w:sz w:val="17"/>
              </w:rPr>
              <w:t>U-10</w:t>
            </w:r>
            <w:r>
              <w:rPr>
                <w:sz w:val="17"/>
              </w:rPr>
              <w:t xml:space="preserve"> </w:t>
            </w:r>
            <w:r>
              <w:rPr>
                <w:i/>
                <w:sz w:val="17"/>
              </w:rPr>
              <w:t>(retained, now moot for sponsor selection)</w:t>
            </w:r>
          </w:p>
        </w:tc>
        <w:tc>
          <w:tcPr>
            <w:tcW w:type="dxa" w:w="1728"/>
          </w:tcPr>
          <w:p>
            <w:pPr>
              <w:spacing w:before="20" w:after="20"/>
              <w:jc w:val="left"/>
            </w:pPr>
            <w:r>
              <w:rPr>
                <w:sz w:val="17"/>
              </w:rPr>
              <w:t>MOAA VCOC's membership composition by military-retirement status.</w:t>
            </w:r>
          </w:p>
        </w:tc>
        <w:tc>
          <w:tcPr>
            <w:tcW w:type="dxa" w:w="1728"/>
          </w:tcPr>
          <w:p>
            <w:pPr>
              <w:spacing w:before="20" w:after="20"/>
              <w:jc w:val="left"/>
            </w:pPr>
            <w:r>
              <w:rPr>
                <w:sz w:val="17"/>
              </w:rPr>
              <w:t>Open, low priority</w:t>
            </w:r>
          </w:p>
        </w:tc>
        <w:tc>
          <w:tcPr>
            <w:tcW w:type="dxa" w:w="1728"/>
          </w:tcPr>
          <w:p>
            <w:pPr>
              <w:spacing w:before="20" w:after="20"/>
              <w:jc w:val="left"/>
            </w:pPr>
            <w:r>
              <w:rPr>
                <w:sz w:val="17"/>
              </w:rPr>
              <w:t>Only matters if the sponsor question reopens.</w:t>
            </w:r>
          </w:p>
        </w:tc>
        <w:tc>
          <w:tcPr>
            <w:tcW w:type="dxa" w:w="1728"/>
          </w:tcPr>
          <w:p>
            <w:pPr>
              <w:spacing w:before="20" w:after="20"/>
              <w:jc w:val="left"/>
            </w:pPr>
            <w:r>
              <w:rPr>
                <w:sz w:val="17"/>
              </w:rPr>
              <w:t>A VCOC membership profile. None located.</w:t>
            </w:r>
          </w:p>
        </w:tc>
      </w:tr>
      <w:tr>
        <w:tc>
          <w:tcPr>
            <w:tcW w:type="dxa" w:w="1728"/>
          </w:tcPr>
          <w:p>
            <w:pPr>
              <w:spacing w:before="20" w:after="20"/>
              <w:jc w:val="left"/>
            </w:pPr>
            <w:r>
              <w:rPr>
                <w:b/>
                <w:sz w:val="17"/>
              </w:rPr>
              <w:t>U-2</w:t>
            </w:r>
            <w:r>
              <w:rPr>
                <w:sz w:val="17"/>
              </w:rPr>
              <w:t xml:space="preserve"> </w:t>
            </w:r>
            <w:r>
              <w:rPr>
                <w:i/>
                <w:sz w:val="17"/>
              </w:rPr>
              <w:t>(unchanged)</w:t>
            </w:r>
          </w:p>
        </w:tc>
        <w:tc>
          <w:tcPr>
            <w:tcW w:type="dxa" w:w="1728"/>
          </w:tcPr>
          <w:p>
            <w:pPr>
              <w:spacing w:before="20" w:after="20"/>
              <w:jc w:val="left"/>
            </w:pPr>
            <w:r>
              <w:rPr>
                <w:b/>
                <w:sz w:val="17"/>
              </w:rPr>
              <w:t>GAMVC roster and co-chairs.</w:t>
            </w:r>
            <w:r>
              <w:rPr>
                <w:sz w:val="17"/>
              </w:rPr>
              <w:t xml:space="preserve"> The Reeves claim is Low–Medium on a 2018-era source.</w:t>
            </w:r>
          </w:p>
        </w:tc>
        <w:tc>
          <w:tcPr>
            <w:tcW w:type="dxa" w:w="1728"/>
          </w:tcPr>
          <w:p>
            <w:pPr>
              <w:spacing w:before="20" w:after="20"/>
              <w:jc w:val="left"/>
            </w:pPr>
            <w:r>
              <w:rPr>
                <w:sz w:val="17"/>
              </w:rPr>
              <w:t xml:space="preserve">Open — </w:t>
            </w:r>
            <w:r>
              <w:rPr>
                <w:b/>
                <w:sz w:val="17"/>
              </w:rPr>
              <w:t>now has a deadline of December 2027</w:t>
            </w:r>
            <w:r>
              <w:rPr>
                <w:sz w:val="17"/>
              </w:rPr>
              <w:t>, not December 2026</w:t>
            </w:r>
          </w:p>
        </w:tc>
        <w:tc>
          <w:tcPr>
            <w:tcW w:type="dxa" w:w="1728"/>
          </w:tcPr>
          <w:p>
            <w:pPr>
              <w:spacing w:before="20" w:after="20"/>
              <w:jc w:val="left"/>
            </w:pPr>
            <w:r>
              <w:rPr>
                <w:sz w:val="17"/>
              </w:rPr>
              <w:t>Gates the Annex C § 8 patron recommendation.</w:t>
            </w:r>
          </w:p>
        </w:tc>
        <w:tc>
          <w:tcPr>
            <w:tcW w:type="dxa" w:w="1728"/>
          </w:tcPr>
          <w:p>
            <w:pPr>
              <w:spacing w:before="20" w:after="20"/>
              <w:jc w:val="left"/>
            </w:pPr>
            <w:r>
              <w:rPr>
                <w:sz w:val="17"/>
              </w:rPr>
              <w:t>Statutory Researcher / Policy Director.</w:t>
            </w:r>
          </w:p>
        </w:tc>
      </w:tr>
      <w:tr>
        <w:tc>
          <w:tcPr>
            <w:tcW w:type="dxa" w:w="1728"/>
          </w:tcPr>
          <w:p>
            <w:pPr>
              <w:spacing w:before="20" w:after="20"/>
              <w:jc w:val="left"/>
            </w:pPr>
            <w:r>
              <w:rPr>
                <w:b/>
                <w:sz w:val="17"/>
              </w:rPr>
              <w:t>U-15</w:t>
            </w:r>
            <w:r>
              <w:rPr>
                <w:sz w:val="17"/>
              </w:rPr>
              <w:t xml:space="preserve"> </w:t>
            </w:r>
            <w:r>
              <w:rPr>
                <w:i/>
                <w:sz w:val="17"/>
              </w:rPr>
              <w:t>(new)</w:t>
            </w:r>
          </w:p>
        </w:tc>
        <w:tc>
          <w:tcPr>
            <w:tcW w:type="dxa" w:w="1728"/>
          </w:tcPr>
          <w:p>
            <w:pPr>
              <w:spacing w:before="20" w:after="20"/>
              <w:jc w:val="left"/>
            </w:pPr>
            <w:r>
              <w:rPr>
                <w:b/>
                <w:sz w:val="17"/>
              </w:rPr>
              <w:t>JLC Legislative Committee composition in 2027</w:t>
            </w:r>
            <w:r>
              <w:rPr>
                <w:sz w:val="17"/>
              </w:rPr>
              <w:t xml:space="preserve"> (N-2).</w:t>
            </w:r>
          </w:p>
        </w:tc>
        <w:tc>
          <w:tcPr>
            <w:tcW w:type="dxa" w:w="1728"/>
          </w:tcPr>
          <w:p>
            <w:pPr>
              <w:spacing w:before="20" w:after="20"/>
              <w:jc w:val="left"/>
            </w:pPr>
            <w:r>
              <w:rPr>
                <w:sz w:val="17"/>
              </w:rPr>
              <w:t>Open</w:t>
            </w:r>
          </w:p>
        </w:tc>
        <w:tc>
          <w:tcPr>
            <w:tcW w:type="dxa" w:w="1728"/>
          </w:tcPr>
          <w:p>
            <w:pPr>
              <w:spacing w:before="20" w:after="20"/>
              <w:jc w:val="left"/>
            </w:pPr>
            <w:r>
              <w:rPr>
                <w:sz w:val="17"/>
              </w:rPr>
              <w:t xml:space="preserve">If VFW holds or gains one of the eight seats, N-2 disappears. Eight seats, held by member organisations; </w:t>
            </w:r>
            <w:r>
              <w:rPr>
                <w:b/>
                <w:sz w:val="17"/>
              </w:rPr>
              <w:t>the mechanism for filling them was not located.</w:t>
            </w:r>
          </w:p>
        </w:tc>
        <w:tc>
          <w:tcPr>
            <w:tcW w:type="dxa" w:w="1728"/>
          </w:tcPr>
          <w:p>
            <w:pPr>
              <w:spacing w:before="20" w:after="20"/>
              <w:jc w:val="left"/>
            </w:pPr>
            <w:r>
              <w:rPr>
                <w:sz w:val="17"/>
              </w:rPr>
              <w:t>A 2027 Legislative Committee agenda or minutes.</w:t>
            </w:r>
          </w:p>
        </w:tc>
      </w:tr>
    </w:tbl>
    <w:p>
      <w:pPr>
        <w:spacing w:before="0" w:after="0" w:line="80" w:lineRule="exact"/>
      </w:pPr>
      <w:r>
        <w:rPr>
          <w:sz w:val="8"/>
        </w:rPr>
      </w:r>
    </w:p>
    <w:p>
      <w:pPr>
        <w:jc w:val="center"/>
      </w:pPr>
      <w:r>
        <w:rPr>
          <w:color w:val="909090"/>
          <w:sz w:val="18"/>
        </w:rPr>
        <w:t>* * *</w:t>
      </w:r>
    </w:p>
    <w:p>
      <w:pPr>
        <w:pStyle w:val="Heading2"/>
      </w:pPr>
      <w:r>
        <w:t>11. Sources, with retrieval dates</w:t>
      </w:r>
    </w:p>
    <w:p>
      <w:r>
        <w:t xml:space="preserve">All retrieved </w:t>
      </w:r>
      <w:r>
        <w:rPr>
          <w:b/>
        </w:rPr>
        <w:t>2026-10-25</w:t>
      </w:r>
      <w:r>
        <w:t xml:space="preserve"> unless noted. All public records. Sources 1–49 are in Annex C § 10; sources 50–60 are in v1.0 of this annex and are retained. New in v2.0:</w:t>
      </w:r>
    </w:p>
    <w:p>
      <w:pPr>
        <w:spacing w:after="60"/>
        <w:ind w:left="432" w:hanging="432"/>
      </w:pPr>
      <w:r>
        <w:rPr>
          <w:b/>
        </w:rPr>
        <w:t>61.</w:t>
        <w:tab/>
      </w:r>
      <w:r>
        <w:rPr>
          <w:b/>
        </w:rPr>
        <w:t xml:space="preserve">VFW, Department of Virginia, </w:t>
      </w:r>
      <w:r>
        <w:rPr>
          <w:b/>
          <w:i/>
        </w:rPr>
        <w:t>Standard Operating Procedures</w:t>
      </w:r>
      <w:r>
        <w:rPr>
          <w:b/>
        </w:rPr>
        <w:t xml:space="preserve"> (approved 6/24)</w:t>
      </w:r>
      <w:r>
        <w:t xml:space="preserve"> — 62 pp. Primary authority for: § 2 ("The annual Department Convention shall be held in the month of June. The place, date and time shall be designated by the preceding convention"); </w:t>
      </w:r>
      <w:r>
        <w:rPr>
          <w:b/>
        </w:rPr>
        <w:t>§ 3 Resolutions</w:t>
      </w:r>
      <w:r>
        <w:t xml:space="preserve"> (the Post→Post Adjutant→Department Adjutant→Resolutions Committee→Convention chain; "All resolutions of statewide, regional, or national concern must be acted upon by the Department Convention"; the National Convention step for matters "outside state boundaries"); </w:t>
      </w:r>
      <w:r>
        <w:rPr>
          <w:b/>
        </w:rPr>
        <w:t>§ 5 Council of Administration</w:t>
      </w:r>
      <w:r>
        <w:t xml:space="preserve"> ("shall govern the affairs of this Department between annual Department Conventions"; "shall meet in regular sessions not less than twice each year"; special meetings at the Commander's call); </w:t>
      </w:r>
      <w:r>
        <w:rPr>
          <w:b/>
        </w:rPr>
        <w:t>LEGISLATIVE committee</w:t>
      </w:r>
      <w:r>
        <w:t xml:space="preserve"> ("minimum of seven (7) members"; "shall recommend in writing to the Department Commander and Council of Administration a prioritized listing of state and local legislative measures it feels worthy of support by the membership"); </w:t>
      </w:r>
      <w:r>
        <w:rPr>
          <w:b/>
        </w:rPr>
        <w:t>RESOLUTIONS committee</w:t>
      </w:r>
      <w:r>
        <w:t xml:space="preserve"> ("receive, consolidate, review, present and make recommendations on all resolutions"). — </w:t>
      </w:r>
      <w:r>
        <w:rPr>
          <w:rFonts w:ascii="Consolas" w:hAnsi="Consolas"/>
          <w:color w:val="303030"/>
          <w:sz w:val="18"/>
        </w:rPr>
        <w:t>vfwva.org/uploads/Documents/OfficialDocs/Sop6-24approved.pdf</w:t>
      </w:r>
    </w:p>
    <w:p>
      <w:pPr>
        <w:spacing w:after="60"/>
        <w:ind w:left="432" w:hanging="432"/>
      </w:pPr>
      <w:r>
        <w:rPr>
          <w:b/>
        </w:rPr>
        <w:t>62.</w:t>
        <w:tab/>
      </w:r>
      <w:r>
        <w:rPr>
          <w:b/>
        </w:rPr>
        <w:t xml:space="preserve">VFW, Department of Virginia, </w:t>
      </w:r>
      <w:r>
        <w:rPr>
          <w:b/>
          <w:i/>
        </w:rPr>
        <w:t>General Orders</w:t>
      </w:r>
      <w:r>
        <w:rPr>
          <w:b/>
        </w:rPr>
        <w:t xml:space="preserve"> No. 7, 2026-01-01</w:t>
      </w:r>
      <w:r>
        <w:t xml:space="preserve"> — Commander's message (the three 2026 session priorities: Anti-Claim Sharks, VMSDEP changes, Charitable Gaming); Item 9 (General Orders cutoff the 20th of the month); </w:t>
      </w:r>
      <w:r>
        <w:rPr>
          <w:b/>
        </w:rPr>
        <w:t>Item 10 Important Dates</w:t>
      </w:r>
      <w:r>
        <w:t xml:space="preserve"> (Winter Council </w:t>
      </w:r>
      <w:r>
        <w:rPr>
          <w:b/>
        </w:rPr>
        <w:t>2027-01-13 – 15</w:t>
      </w:r>
      <w:r>
        <w:t xml:space="preserve">, cutoff 2026-12-12; State Convention </w:t>
      </w:r>
      <w:r>
        <w:rPr>
          <w:b/>
        </w:rPr>
        <w:t>2027-06-06 – 12</w:t>
      </w:r>
      <w:r>
        <w:t xml:space="preserve">, cutoff 2027-05-05; National Convention 2027-07-31 – 08-04 Milwaukee; Winter Council </w:t>
      </w:r>
      <w:r>
        <w:rPr>
          <w:b/>
        </w:rPr>
        <w:t>2028-01-12 – 14</w:t>
      </w:r>
      <w:r>
        <w:t xml:space="preserve">; State Convention </w:t>
      </w:r>
      <w:r>
        <w:rPr>
          <w:b/>
        </w:rPr>
        <w:t>2028-06-21 – 24</w:t>
      </w:r>
      <w:r>
        <w:t xml:space="preserve">); </w:t>
      </w:r>
      <w:r>
        <w:rPr>
          <w:b/>
        </w:rPr>
        <w:t>Item 20 VFW/JLC Day on the Hill in Richmond</w:t>
      </w:r>
      <w:r>
        <w:t xml:space="preserve"> (2026-01-15; muster 07:00; 36 bus seats; membership </w:t>
      </w:r>
      <w:r>
        <w:rPr>
          <w:b/>
        </w:rPr>
        <w:t>33,645</w:t>
      </w:r>
      <w:r>
        <w:t xml:space="preserve"> for 2024–2025; the </w:t>
      </w:r>
      <w:r>
        <w:rPr>
          <w:b/>
        </w:rPr>
        <w:t>Commonwealth Legislative Team</w:t>
      </w:r>
      <w:r>
        <w:t xml:space="preserve"> roster including the JLC Representative and JLC Alternate; members directed to the DVS JLC page for session initiatives). — </w:t>
      </w:r>
      <w:r>
        <w:rPr>
          <w:rFonts w:ascii="Consolas" w:hAnsi="Consolas"/>
          <w:color w:val="303030"/>
          <w:sz w:val="18"/>
        </w:rPr>
        <w:t>vfwva.org/uploads/Documents/GeneralOrders/January2026.pdf</w:t>
      </w:r>
    </w:p>
    <w:p>
      <w:pPr>
        <w:spacing w:after="60"/>
        <w:ind w:left="432" w:hanging="432"/>
      </w:pPr>
      <w:r>
        <w:rPr>
          <w:b/>
        </w:rPr>
        <w:t>63.</w:t>
        <w:tab/>
      </w:r>
      <w:r>
        <w:rPr>
          <w:b/>
        </w:rPr>
        <w:t xml:space="preserve">VFW, Department of Virginia, </w:t>
      </w:r>
      <w:r>
        <w:rPr>
          <w:b/>
          <w:i/>
        </w:rPr>
        <w:t>Committees</w:t>
      </w:r>
      <w:r>
        <w:rPr>
          <w:b/>
        </w:rPr>
        <w:t xml:space="preserve"> (2026–2027)</w:t>
      </w:r>
      <w:r>
        <w:t xml:space="preserve"> — Legislative Committee – National; </w:t>
      </w:r>
      <w:r>
        <w:rPr>
          <w:b/>
        </w:rPr>
        <w:t>Legislative Committee – State</w:t>
      </w:r>
      <w:r>
        <w:t xml:space="preserve"> (chairman plus four members); </w:t>
      </w:r>
      <w:r>
        <w:rPr>
          <w:b/>
        </w:rPr>
        <w:t>Resolutions Committee</w:t>
      </w:r>
      <w:r>
        <w:t xml:space="preserve"> (chairman plus three members). Two names appear on both the state legislative and resolutions committees, one of them the published JLC Representative. No stated duties on the page; duties are in source 61. — </w:t>
      </w:r>
      <w:r>
        <w:rPr>
          <w:rFonts w:ascii="Consolas" w:hAnsi="Consolas"/>
          <w:color w:val="303030"/>
          <w:sz w:val="18"/>
        </w:rPr>
        <w:t>vfwva.org/di/vfw/v2/default.asp?pid=122127</w:t>
      </w:r>
    </w:p>
    <w:p>
      <w:pPr>
        <w:spacing w:after="60"/>
        <w:ind w:left="432" w:hanging="432"/>
      </w:pPr>
      <w:r>
        <w:rPr>
          <w:b/>
        </w:rPr>
        <w:t>64.</w:t>
        <w:tab/>
      </w:r>
      <w:r>
        <w:rPr>
          <w:b/>
        </w:rPr>
        <w:t>JLC Legislative Committee, DRAFT Meeting Minutes, 2025-04-23</w:t>
      </w:r>
      <w:r>
        <w:t xml:space="preserve"> — the 2026-cycle </w:t>
      </w:r>
      <w:r>
        <w:rPr>
          <w:b/>
        </w:rPr>
        <w:t>screen</w:t>
      </w:r>
      <w:r>
        <w:t xml:space="preserve">. Roll: "8 of the 8 legislative committee members" — AUSA, American Legion, Fleet Reserve Association, Student Veterans of America, MOAA, Virginia National Guard Association, Northern Virginia Veterans Association, HOPE for the Warriors. </w:t>
      </w:r>
      <w:r>
        <w:rPr>
          <w:b/>
        </w:rPr>
        <w:t>VFW appears under "JLC Alternates Present," not as a committee member.</w:t>
      </w:r>
      <w:r>
        <w:t xml:space="preserve"> Item VI: </w:t>
      </w:r>
      <w:r>
        <w:rPr>
          <w:i/>
        </w:rPr>
        <w:t>"He reminded members to try to link their ideas back to the DVS strategic plan"</w:t>
      </w:r>
      <w:r>
        <w:t xml:space="preserve">; </w:t>
      </w:r>
      <w:r>
        <w:rPr>
          <w:i/>
        </w:rPr>
        <w:t>"Chairman Yarborough told members that if their initiative moves forward to the full JLC, that they must be prepared to speak to it in front of the whole group."</w:t>
      </w:r>
      <w:r>
        <w:t xml:space="preserve"> Item VII: </w:t>
      </w:r>
      <w:r>
        <w:rPr>
          <w:b/>
        </w:rPr>
        <w:t>"discussed seventeen potential legislative initiatives and decided on nine legislative initiatives to move forward to the full JLC on June 18th,"</w:t>
      </w:r>
      <w:r>
        <w:t xml:space="preserve"> with the nine listed — including the Guard tuition-grant increase ($50,000→$250,000) and the Referral Enlistment Program increase ($50,000→$250,000). Commissioner Zingler </w:t>
      </w:r>
      <w:r>
        <w:rPr>
          <w:i/>
        </w:rPr>
        <w:t>"remind[ed] committee members to tie initiatives back to the Virginia Veterans strategic plan"</w:t>
      </w:r>
      <w:r>
        <w:t xml:space="preserve"> and </w:t>
      </w:r>
      <w:r>
        <w:rPr>
          <w:b/>
        </w:rPr>
        <w:t>"emphasized the importance of investing in transitioning service members whose needs are very different than older retirees."</w:t>
      </w:r>
      <w:r>
        <w:t xml:space="preserve"> Item IX: those advancing </w:t>
      </w:r>
      <w:r>
        <w:rPr>
          <w:i/>
        </w:rPr>
        <w:t>"should be prepared to fill out a template and present their idea to the full group."</w:t>
      </w:r>
      <w:r>
        <w:t xml:space="preserve"> — </w:t>
      </w:r>
      <w:r>
        <w:rPr>
          <w:rFonts w:ascii="Consolas" w:hAnsi="Consolas"/>
          <w:color w:val="303030"/>
          <w:sz w:val="18"/>
        </w:rPr>
        <w:t>commonwealthcalendar.virginia.gov/File/Index/76109</w:t>
      </w:r>
    </w:p>
    <w:p>
      <w:pPr>
        <w:spacing w:after="60"/>
        <w:ind w:left="432" w:hanging="432"/>
      </w:pPr>
      <w:r>
        <w:rPr>
          <w:b/>
        </w:rPr>
        <w:t>65.</w:t>
        <w:tab/>
      </w:r>
      <w:r>
        <w:rPr>
          <w:b/>
        </w:rPr>
        <w:t>JLC, Meeting Minutes, 2022-07-14</w:t>
      </w:r>
      <w:r>
        <w:t xml:space="preserve"> — full-Council initiative presentation for the 2023 cycle, </w:t>
      </w:r>
      <w:r>
        <w:rPr>
          <w:b/>
        </w:rPr>
        <w:t>by sponsoring organisation</w:t>
      </w:r>
      <w:r>
        <w:t xml:space="preserve">: American Legion (veteran retirement income-tax subtraction age limit), Fleet Reserve (cemetery spousal burial fee), </w:t>
      </w:r>
      <w:r>
        <w:rPr>
          <w:b/>
        </w:rPr>
        <w:t>National Guard Association (two initiatives)</w:t>
      </w:r>
      <w:r>
        <w:t xml:space="preserve">, MOAA (back-dating of real property taxes). </w:t>
      </w:r>
      <w:r>
        <w:rPr>
          <w:b/>
        </w:rPr>
        <w:t>"Mr. Clickener asked members to provide a one page white paper on all legislative proposals by 1 September."</w:t>
      </w:r>
      <w:r>
        <w:t xml:space="preserve"> "Chair Williams opened the floor for additional initiatives." Members Present includes </w:t>
      </w:r>
      <w:r>
        <w:rPr>
          <w:b/>
        </w:rPr>
        <w:t>"Rick Raskin, Veterans of Foreign Wars"</w:t>
      </w:r>
      <w:r>
        <w:t xml:space="preserve">; Alternates Present includes </w:t>
      </w:r>
      <w:r>
        <w:rPr>
          <w:b/>
        </w:rPr>
        <w:t>"Joanne Smith, Veterans of Foreign Wars."</w:t>
      </w:r>
      <w:r>
        <w:t xml:space="preserve"> VFW's representative moved a friendly amendment to the JLC by-laws, which carried. — </w:t>
      </w:r>
      <w:r>
        <w:rPr>
          <w:rFonts w:ascii="Consolas" w:hAnsi="Consolas"/>
          <w:color w:val="303030"/>
          <w:sz w:val="18"/>
        </w:rPr>
        <w:t>commonwealthcalendar.virginia.gov/File/Index/60746</w:t>
      </w:r>
    </w:p>
    <w:p>
      <w:pPr>
        <w:spacing w:after="60"/>
        <w:ind w:left="432" w:hanging="432"/>
      </w:pPr>
      <w:r>
        <w:rPr>
          <w:b/>
        </w:rPr>
        <w:t>66.</w:t>
        <w:tab/>
      </w:r>
      <w:r>
        <w:rPr>
          <w:b/>
        </w:rPr>
        <w:t xml:space="preserve">VFW, </w:t>
      </w:r>
      <w:r>
        <w:rPr>
          <w:b/>
          <w:i/>
        </w:rPr>
        <w:t>Eligibility</w:t>
      </w:r>
      <w:r>
        <w:rPr>
          <w:b/>
        </w:rPr>
        <w:t xml:space="preserve"> / By-Laws and Manual of Procedure § 101</w:t>
      </w:r>
      <w:r>
        <w:t xml:space="preserve"> — three conjunctive requirements: U.S. citizenship or national; honourable (or general under honourable conditions) discharge or current service; and </w:t>
      </w:r>
      <w:r>
        <w:rPr>
          <w:b/>
        </w:rPr>
        <w:t>service in a war, campaign or expedition on foreign soil or in hostile waters</w:t>
      </w:r>
      <w:r>
        <w:t xml:space="preserve">, proven by an authorised campaign medal, Hostile Fire or Imminent Danger Pay, or service in Korea for 30 consecutive / 60 non-consecutive days. — </w:t>
      </w:r>
      <w:r>
        <w:rPr>
          <w:rFonts w:ascii="Consolas" w:hAnsi="Consolas"/>
          <w:color w:val="303030"/>
          <w:sz w:val="18"/>
        </w:rPr>
        <w:t>vfw.org/join/eligibility</w:t>
      </w:r>
    </w:p>
    <w:p>
      <w:pPr>
        <w:spacing w:after="60"/>
        <w:ind w:left="432" w:hanging="432"/>
      </w:pPr>
      <w:r>
        <w:rPr>
          <w:b/>
        </w:rPr>
        <w:t>67.</w:t>
        <w:tab/>
      </w:r>
      <w:r>
        <w:rPr>
          <w:b/>
        </w:rPr>
        <w:t>2028 Regular Session convening date — 2028-01-12</w:t>
      </w:r>
      <w:r>
        <w:t xml:space="preserve"> (second Wednesday in January), </w:t>
      </w:r>
      <w:r>
        <w:rPr>
          <w:b/>
        </w:rPr>
        <w:t>60 days</w:t>
      </w:r>
      <w:r>
        <w:t xml:space="preserve"> in an even year under Const. Va. Art. IV, § 6. </w:t>
      </w:r>
      <w:r>
        <w:rPr>
          <w:b/>
        </w:rPr>
        <w:t>The 2028 prefiling and introduction deadlines were not verified and are not relied on.</w:t>
      </w:r>
    </w:p>
    <w:p>
      <w:pPr>
        <w:spacing w:after="60"/>
        <w:ind w:left="432" w:hanging="432"/>
      </w:pPr>
      <w:r>
        <w:rPr>
          <w:b/>
        </w:rPr>
        <w:t>68.</w:t>
        <w:tab/>
      </w:r>
      <w:r>
        <w:rPr>
          <w:b/>
        </w:rPr>
        <w:t>DHRM, February 2026 workforce presentation — average age of a new state hire 39.1.</w:t>
      </w:r>
      <w:r>
        <w:t xml:space="preserve"> Used in § 7. Supersedes the </w:t>
      </w:r>
      <w:r>
        <w:rPr>
          <w:b/>
        </w:rPr>
        <w:t>37.7</w:t>
      </w:r>
      <w:r>
        <w:t xml:space="preserve"> figure from the January 2025 presentation that </w:t>
      </w:r>
      <w:r>
        <w:rPr>
          <w:rFonts w:ascii="Consolas" w:hAnsi="Consolas"/>
          <w:color w:val="303030"/>
          <w:sz w:val="18"/>
        </w:rPr>
        <w:t>00</w:t>
      </w:r>
      <w:r>
        <w:t xml:space="preserve"> v1.3 and </w:t>
      </w:r>
      <w:r>
        <w:rPr>
          <w:rFonts w:ascii="Consolas" w:hAnsi="Consolas"/>
          <w:color w:val="303030"/>
          <w:sz w:val="18"/>
        </w:rPr>
        <w:t>01</w:t>
      </w:r>
      <w:r>
        <w:t xml:space="preserve"> still carry. Both are real figures from different vintages; see the Editor handoff. (Annex C source 34.)</w:t>
      </w:r>
    </w:p>
    <w:p>
      <w:r>
        <w:rPr>
          <w:b/>
        </w:rPr>
        <w:t>Retrieval note.</w:t>
      </w:r>
      <w:r>
        <w:t xml:space="preserve"> Sources 61, 62, 64 and 65 are PDFs that do not yield text to a plain fetch; they were retrieved and extracted locally. Quotations above are from the extracted text of the documents themselves, not from search summaries. </w:t>
      </w:r>
      <w:r>
        <w:rPr>
          <w:b/>
        </w:rPr>
        <w:t>Source 50 (the DVS JLC page) remains HTTP 403 and remains the one primary source in this analysis retrieved only through a search index.</w:t>
      </w:r>
    </w:p>
    <w:p>
      <w:pPr>
        <w:jc w:val="center"/>
      </w:pPr>
      <w:r>
        <w:rPr>
          <w:color w:val="909090"/>
          <w:sz w:val="18"/>
        </w:rPr>
        <w:t>* * *</w:t>
      </w:r>
    </w:p>
    <w:p>
      <w:pPr>
        <w:pStyle w:val="Heading2"/>
      </w:pPr>
      <w:r>
        <w:t>12. Handoffs</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To</w:t>
            </w:r>
          </w:p>
        </w:tc>
        <w:tc>
          <w:tcPr>
            <w:tcW w:type="dxa" w:w="4320"/>
          </w:tcPr>
          <w:p>
            <w:pPr>
              <w:spacing w:before="20" w:after="20"/>
              <w:jc w:val="left"/>
            </w:pPr>
            <w:r>
              <w:rPr>
                <w:b/>
                <w:sz w:val="17"/>
              </w:rPr>
              <w:t>What is owed</w:t>
            </w:r>
          </w:p>
        </w:tc>
      </w:tr>
      <w:tr>
        <w:tc>
          <w:tcPr>
            <w:tcW w:type="dxa" w:w="4320"/>
          </w:tcPr>
          <w:p>
            <w:pPr>
              <w:spacing w:before="20" w:after="20"/>
              <w:jc w:val="left"/>
            </w:pPr>
            <w:r>
              <w:rPr>
                <w:b/>
                <w:sz w:val="17"/>
              </w:rPr>
              <w:t>Policy Director</w:t>
            </w:r>
          </w:p>
        </w:tc>
        <w:tc>
          <w:tcPr>
            <w:tcW w:type="dxa" w:w="4320"/>
          </w:tcPr>
          <w:p>
            <w:pPr>
              <w:spacing w:before="20" w:after="20"/>
              <w:jc w:val="left"/>
            </w:pPr>
            <w:r>
              <w:rPr>
                <w:b/>
                <w:sz w:val="17"/>
              </w:rPr>
              <w:t>The decision is recorded and the gate has moved.</w:t>
            </w:r>
            <w:r>
              <w:rPr>
                <w:sz w:val="17"/>
              </w:rPr>
              <w:t xml:space="preserve"> The operative date is </w:t>
            </w:r>
            <w:r>
              <w:rPr>
                <w:b/>
                <w:sz w:val="17"/>
              </w:rPr>
              <w:t>2027-01-13</w:t>
            </w:r>
            <w:r>
              <w:rPr>
                <w:sz w:val="17"/>
              </w:rPr>
              <w:t xml:space="preserve">, the VFW Winter Council — </w:t>
            </w:r>
            <w:r>
              <w:rPr>
                <w:b/>
                <w:sz w:val="17"/>
              </w:rPr>
              <w:t>80 days</w:t>
            </w:r>
            <w:r>
              <w:rPr>
                <w:sz w:val="17"/>
              </w:rPr>
              <w:t xml:space="preserve"> — not 2027-06-15. § 9 reverse-plans what has to be true by then. Also yours: the </w:t>
            </w:r>
            <w:r>
              <w:rPr>
                <w:b/>
                <w:sz w:val="17"/>
              </w:rPr>
              <w:t>strategic-plan alignment section</w:t>
            </w:r>
            <w:r>
              <w:rPr>
                <w:sz w:val="17"/>
              </w:rPr>
              <w:t xml:space="preserve">, which the record says should be written around the </w:t>
            </w:r>
            <w:r>
              <w:rPr>
                <w:b/>
                <w:sz w:val="17"/>
              </w:rPr>
              <w:t>transitioning service member</w:t>
            </w:r>
            <w:r>
              <w:rPr>
                <w:sz w:val="17"/>
              </w:rPr>
              <w:t xml:space="preserve"> (§ 7, Commissioner Zingler, 2025-04-23); </w:t>
            </w:r>
            <w:r>
              <w:rPr>
                <w:b/>
                <w:sz w:val="17"/>
              </w:rPr>
              <w:t xml:space="preserve">print clearance for </w:t>
            </w:r>
            <w:r>
              <w:rPr>
                <w:rFonts w:ascii="Consolas" w:hAnsi="Consolas"/>
                <w:b/>
                <w:color w:val="303030"/>
                <w:sz w:val="18"/>
              </w:rPr>
              <w:t>00</w:t>
            </w:r>
            <w:r>
              <w:rPr>
                <w:b/>
                <w:sz w:val="17"/>
              </w:rPr>
              <w:t xml:space="preserve"> v1.3</w:t>
            </w:r>
            <w:r>
              <w:rPr>
                <w:sz w:val="17"/>
              </w:rPr>
              <w:t xml:space="preserve">; and </w:t>
            </w:r>
            <w:r>
              <w:rPr>
                <w:b/>
                <w:sz w:val="17"/>
              </w:rPr>
              <w:t>U-2</w:t>
            </w:r>
            <w:r>
              <w:rPr>
                <w:sz w:val="17"/>
              </w:rPr>
              <w:t xml:space="preserve">, which now has a December </w:t>
            </w:r>
            <w:r>
              <w:rPr>
                <w:i/>
                <w:sz w:val="17"/>
              </w:rPr>
              <w:t>2027</w:t>
            </w:r>
            <w:r>
              <w:rPr>
                <w:sz w:val="17"/>
              </w:rPr>
              <w:t xml:space="preserve"> deadline and can be resolved properly. </w:t>
            </w:r>
            <w:r>
              <w:rPr>
                <w:b/>
                <w:sz w:val="17"/>
              </w:rPr>
              <w:t>One question back to you:</w:t>
            </w:r>
            <w:r>
              <w:rPr>
                <w:sz w:val="17"/>
              </w:rPr>
              <w:t xml:space="preserve"> the board's answer was "1. VFW" and numeral 1 was VNGA — § 1 resolves it to VFW. Confirm if that is wrong.</w:t>
            </w:r>
          </w:p>
        </w:tc>
      </w:tr>
      <w:tr>
        <w:tc>
          <w:tcPr>
            <w:tcW w:type="dxa" w:w="4320"/>
          </w:tcPr>
          <w:p>
            <w:pPr>
              <w:spacing w:before="20" w:after="20"/>
              <w:jc w:val="left"/>
            </w:pPr>
            <w:r>
              <w:rPr>
                <w:b/>
                <w:sz w:val="17"/>
              </w:rPr>
              <w:t>JLCVSO</w:t>
            </w:r>
          </w:p>
        </w:tc>
        <w:tc>
          <w:tcPr>
            <w:tcW w:type="dxa" w:w="4320"/>
          </w:tcPr>
          <w:p>
            <w:pPr>
              <w:spacing w:before="20" w:after="20"/>
              <w:jc w:val="left"/>
            </w:pPr>
            <w:r>
              <w:rPr>
                <w:b/>
                <w:sz w:val="17"/>
              </w:rPr>
              <w:t>The sponsor authorised for approach is the VFW, Department of Virginia.</w:t>
            </w:r>
            <w:r>
              <w:rPr>
                <w:sz w:val="17"/>
              </w:rPr>
              <w:t xml:space="preserve"> § 4 names the two instruments — the </w:t>
            </w:r>
            <w:r>
              <w:rPr>
                <w:b/>
                <w:sz w:val="17"/>
              </w:rPr>
              <w:t>Legislative Committee's written prioritized listing to the Commander and Council of Administration</w:t>
            </w:r>
            <w:r>
              <w:rPr>
                <w:sz w:val="17"/>
              </w:rPr>
              <w:t xml:space="preserve"> (fits the April screen; Winter Council 2027-01-13 is the venue) and the </w:t>
            </w:r>
            <w:r>
              <w:rPr>
                <w:b/>
                <w:sz w:val="17"/>
              </w:rPr>
              <w:t>Department Convention resolution</w:t>
            </w:r>
            <w:r>
              <w:rPr>
                <w:sz w:val="17"/>
              </w:rPr>
              <w:t xml:space="preserve"> (June 2027; the durable instrument; originating Post action needs to start in winter/early spring). § 5.2 is the honest brief: the Department has </w:t>
            </w:r>
            <w:r>
              <w:rPr>
                <w:b/>
                <w:sz w:val="17"/>
              </w:rPr>
              <w:t>no position on this subject in either direction</w:t>
            </w:r>
            <w:r>
              <w:rPr>
                <w:sz w:val="17"/>
              </w:rPr>
              <w:t xml:space="preserve">, and </w:t>
            </w:r>
            <w:r>
              <w:rPr>
                <w:b/>
                <w:sz w:val="17"/>
              </w:rPr>
              <w:t>does not hold one of the eight Legislative Committee seats</w:t>
            </w:r>
            <w:r>
              <w:rPr>
                <w:sz w:val="17"/>
              </w:rPr>
              <w:t xml:space="preserve">. </w:t>
            </w:r>
            <w:r>
              <w:rPr>
                <w:b/>
                <w:sz w:val="17"/>
              </w:rPr>
              <w:t>No organisation has been contacted and none will be by us.</w:t>
            </w:r>
          </w:p>
        </w:tc>
      </w:tr>
      <w:tr>
        <w:tc>
          <w:tcPr>
            <w:tcW w:type="dxa" w:w="4320"/>
          </w:tcPr>
          <w:p>
            <w:pPr>
              <w:spacing w:before="20" w:after="20"/>
              <w:jc w:val="left"/>
            </w:pPr>
            <w:r>
              <w:rPr>
                <w:b/>
                <w:sz w:val="17"/>
              </w:rPr>
              <w:t>Editor</w:t>
            </w:r>
          </w:p>
        </w:tc>
        <w:tc>
          <w:tcPr>
            <w:tcW w:type="dxa" w:w="4320"/>
          </w:tcPr>
          <w:p>
            <w:pPr>
              <w:spacing w:before="20" w:after="20"/>
              <w:jc w:val="left"/>
            </w:pPr>
            <w:r>
              <w:rPr>
                <w:b/>
                <w:sz w:val="17"/>
              </w:rPr>
              <w:t>(i)</w:t>
            </w:r>
            <w:r>
              <w:rPr>
                <w:sz w:val="17"/>
              </w:rPr>
              <w:t xml:space="preserve"> </w:t>
            </w:r>
            <w:r>
              <w:rPr>
                <w:rFonts w:ascii="Consolas" w:hAnsi="Consolas"/>
                <w:color w:val="303030"/>
                <w:sz w:val="18"/>
              </w:rPr>
              <w:t>00</w:t>
            </w:r>
            <w:r>
              <w:rPr>
                <w:sz w:val="17"/>
              </w:rPr>
              <w:t xml:space="preserve"> v1.3 and </w:t>
            </w:r>
            <w:r>
              <w:rPr>
                <w:rFonts w:ascii="Consolas" w:hAnsi="Consolas"/>
                <w:color w:val="303030"/>
                <w:sz w:val="18"/>
              </w:rPr>
              <w:t>01</w:t>
            </w:r>
            <w:r>
              <w:rPr>
                <w:sz w:val="17"/>
              </w:rPr>
              <w:t xml:space="preserve"> still carry </w:t>
            </w:r>
            <w:r>
              <w:rPr>
                <w:b/>
                <w:sz w:val="17"/>
              </w:rPr>
              <w:t>37.7</w:t>
            </w:r>
            <w:r>
              <w:rPr>
                <w:sz w:val="17"/>
              </w:rPr>
              <w:t xml:space="preserve"> for the average age of a new state hire (DHRM January 2025); the February 2026 figure is </w:t>
            </w:r>
            <w:r>
              <w:rPr>
                <w:b/>
                <w:sz w:val="17"/>
              </w:rPr>
              <w:t>39.1</w:t>
            </w:r>
            <w:r>
              <w:rPr>
                <w:sz w:val="17"/>
              </w:rPr>
              <w:t xml:space="preserve"> and is better for us. Fix the vintage mix. </w:t>
            </w:r>
            <w:r>
              <w:rPr>
                <w:b/>
                <w:sz w:val="17"/>
              </w:rPr>
              <w:t>(ii)</w:t>
            </w:r>
            <w:r>
              <w:rPr>
                <w:sz w:val="17"/>
              </w:rPr>
              <w:t xml:space="preserve"> The README says "Target session: </w:t>
            </w:r>
            <w:r>
              <w:rPr>
                <w:b/>
                <w:sz w:val="17"/>
              </w:rPr>
              <w:t>2027</w:t>
            </w:r>
            <w:r>
              <w:rPr>
                <w:sz w:val="17"/>
              </w:rPr>
              <w:t xml:space="preserve"> Regular Session" — now contrary to a board decision; should read 2028. The directory name is a legacy label and renaming it would break cross-references in six documents; flagged, not done. </w:t>
            </w:r>
            <w:r>
              <w:rPr>
                <w:b/>
                <w:sz w:val="17"/>
              </w:rPr>
              <w:t>(iii)</w:t>
            </w:r>
            <w:r>
              <w:rPr>
                <w:sz w:val="17"/>
              </w:rPr>
              <w:t xml:space="preserve"> The one-line political read is § 1. </w:t>
            </w:r>
            <w:r>
              <w:rPr>
                <w:b/>
                <w:sz w:val="17"/>
              </w:rPr>
              <w:t>(iv)</w:t>
            </w:r>
            <w:r>
              <w:rPr>
                <w:sz w:val="17"/>
              </w:rPr>
              <w:t xml:space="preserve"> § 7's DISCUSSION insert is written to be dropped in whole.</w:t>
            </w:r>
          </w:p>
        </w:tc>
      </w:tr>
      <w:tr>
        <w:tc>
          <w:tcPr>
            <w:tcW w:type="dxa" w:w="4320"/>
          </w:tcPr>
          <w:p>
            <w:pPr>
              <w:spacing w:before="20" w:after="20"/>
              <w:jc w:val="left"/>
            </w:pPr>
            <w:r>
              <w:rPr>
                <w:b/>
                <w:sz w:val="17"/>
              </w:rPr>
              <w:t>Fiscal &amp; Impact Modeler</w:t>
            </w:r>
          </w:p>
        </w:tc>
        <w:tc>
          <w:tcPr>
            <w:tcW w:type="dxa" w:w="4320"/>
          </w:tcPr>
          <w:p>
            <w:pPr>
              <w:spacing w:before="20" w:after="20"/>
              <w:jc w:val="left"/>
            </w:pPr>
            <w:r>
              <w:rPr>
                <w:b/>
                <w:sz w:val="17"/>
              </w:rPr>
              <w:t>Still owed, and the slip does not retire it: the basis-points split per plan and per employer group</w:t>
            </w:r>
            <w:r>
              <w:rPr>
                <w:sz w:val="17"/>
              </w:rPr>
              <w:t xml:space="preserve"> (Teacher, state, political subdivision), at low and high take-up. The blended statewide figure is in (</w:t>
            </w:r>
            <w:r>
              <w:rPr>
                <w:rFonts w:ascii="Consolas" w:hAnsi="Consolas"/>
                <w:color w:val="303030"/>
                <w:sz w:val="18"/>
              </w:rPr>
              <w:t>01</w:t>
            </w:r>
            <w:r>
              <w:rPr>
                <w:sz w:val="17"/>
              </w:rPr>
              <w:t xml:space="preserve"> v1.2; Red Team M-5's 0.4–4.4 bp grid). A blended statewide number does not answer a county administrator, and VACo adopts a program every year between now and the 2028 session (§ 9). </w:t>
            </w:r>
            <w:r>
              <w:rPr>
                <w:b/>
                <w:sz w:val="17"/>
              </w:rPr>
              <w:t>And Annex D U-11 is now the highest-value item on the stakeholder side</w:t>
            </w:r>
            <w:r>
              <w:rPr>
                <w:sz w:val="17"/>
              </w:rPr>
              <w:t xml:space="preserve"> — items 9–10 of the VRS data request; not a re-ranking of your own register, where U-01 and U-16 lead — because the framing this Council's agency head asked for (transitioning service members) depends on whether BRS-era veterans are eligible at all.</w:t>
            </w:r>
          </w:p>
        </w:tc>
      </w:tr>
      <w:tr>
        <w:tc>
          <w:tcPr>
            <w:tcW w:type="dxa" w:w="4320"/>
          </w:tcPr>
          <w:p>
            <w:pPr>
              <w:spacing w:before="20" w:after="20"/>
              <w:jc w:val="left"/>
            </w:pPr>
            <w:r>
              <w:rPr>
                <w:b/>
                <w:sz w:val="17"/>
              </w:rPr>
              <w:t>Drafting Specialist</w:t>
            </w:r>
          </w:p>
        </w:tc>
        <w:tc>
          <w:tcPr>
            <w:tcW w:type="dxa" w:w="4320"/>
          </w:tcPr>
          <w:p>
            <w:pPr>
              <w:spacing w:before="20" w:after="20"/>
              <w:jc w:val="left"/>
            </w:pPr>
            <w:r>
              <w:rPr>
                <w:sz w:val="17"/>
              </w:rPr>
              <w:t xml:space="preserve">§ 6 stands: the affirmatively protected cohort is </w:t>
            </w:r>
            <w:r>
              <w:rPr>
                <w:b/>
                <w:sz w:val="17"/>
              </w:rPr>
              <w:t>Guard and Reserve</w:t>
            </w:r>
            <w:r>
              <w:rPr>
                <w:sz w:val="17"/>
              </w:rPr>
              <w:t xml:space="preserve">, by force of the ch. 1223 exception, and the regular 20-year retiree is barred. </w:t>
            </w:r>
            <w:r>
              <w:rPr>
                <w:b/>
                <w:sz w:val="17"/>
              </w:rPr>
              <w:t>What changes with VFW as sponsor:</w:t>
            </w:r>
            <w:r>
              <w:rPr>
                <w:sz w:val="17"/>
              </w:rPr>
              <w:t xml:space="preserve"> the sponsor's own membership rule is </w:t>
            </w:r>
            <w:r>
              <w:rPr>
                <w:b/>
                <w:sz w:val="17"/>
              </w:rPr>
              <w:t>retirement-blind</w:t>
            </w:r>
            <w:r>
              <w:rPr>
                <w:sz w:val="17"/>
              </w:rPr>
              <w:t xml:space="preserve"> (expeditionary service, § 101), so it spans all three cohorts — the paper can state the statutory limit plainly instead of working around it. F-1's drafting choice (Annex A Q3a/Q12) is now on a </w:t>
            </w:r>
            <w:r>
              <w:rPr>
                <w:b/>
                <w:sz w:val="17"/>
              </w:rPr>
              <w:t>2027-01-13</w:t>
            </w:r>
            <w:r>
              <w:rPr>
                <w:sz w:val="17"/>
              </w:rPr>
              <w:t xml:space="preserve"> clock, not a 2026-12-17 one.</w:t>
            </w:r>
          </w:p>
        </w:tc>
      </w:tr>
      <w:tr>
        <w:tc>
          <w:tcPr>
            <w:tcW w:type="dxa" w:w="4320"/>
          </w:tcPr>
          <w:p>
            <w:pPr>
              <w:spacing w:before="20" w:after="20"/>
              <w:jc w:val="left"/>
            </w:pPr>
            <w:r>
              <w:rPr>
                <w:b/>
                <w:sz w:val="17"/>
              </w:rPr>
              <w:t>Red Team / Counsel Reviewer</w:t>
            </w:r>
          </w:p>
        </w:tc>
        <w:tc>
          <w:tcPr>
            <w:tcW w:type="dxa" w:w="4320"/>
          </w:tcPr>
          <w:p>
            <w:pPr>
              <w:spacing w:before="20" w:after="20"/>
              <w:jc w:val="left"/>
            </w:pPr>
            <w:r>
              <w:rPr>
                <w:sz w:val="17"/>
              </w:rPr>
              <w:t xml:space="preserve">Test three things. </w:t>
            </w:r>
            <w:r>
              <w:rPr>
                <w:b/>
                <w:sz w:val="17"/>
              </w:rPr>
              <w:t>(i)</w:t>
            </w:r>
            <w:r>
              <w:rPr>
                <w:sz w:val="17"/>
              </w:rPr>
              <w:t xml:space="preserve"> § 6's cohort reading — unchanged from v1.0, relies on your S-4 and Annex A § 4, and the whole sponsor rationale rests on it. </w:t>
            </w:r>
            <w:r>
              <w:rPr>
                <w:b/>
                <w:sz w:val="17"/>
              </w:rPr>
              <w:t>(ii)</w:t>
            </w:r>
            <w:r>
              <w:rPr>
                <w:sz w:val="17"/>
              </w:rPr>
              <w:t xml:space="preserve"> § 4's </w:t>
            </w:r>
            <w:r>
              <w:rPr>
                <w:b/>
                <w:sz w:val="17"/>
              </w:rPr>
              <w:t>sequencing inference</w:t>
            </w:r>
            <w:r>
              <w:rPr>
                <w:sz w:val="17"/>
              </w:rPr>
              <w:t xml:space="preserve"> — that the prioritized-listing route can carry a Department position before the April screen. The two instruments are documented verbatim; </w:t>
            </w:r>
            <w:r>
              <w:rPr>
                <w:b/>
                <w:sz w:val="17"/>
              </w:rPr>
              <w:t>the sequence is my inference and is labelled Medium.</w:t>
            </w:r>
            <w:r>
              <w:rPr>
                <w:sz w:val="17"/>
              </w:rPr>
              <w:t xml:space="preserve"> </w:t>
            </w:r>
            <w:r>
              <w:rPr>
                <w:b/>
                <w:sz w:val="17"/>
              </w:rPr>
              <w:t>(iii)</w:t>
            </w:r>
            <w:r>
              <w:rPr>
                <w:sz w:val="17"/>
              </w:rPr>
              <w:t xml:space="preserve"> § 8, where I corrected three of v1.0's four statements about VFW. I would rather you check whether v2.0 has overcorrected into treating documented </w:t>
            </w:r>
            <w:r>
              <w:rPr>
                <w:i/>
                <w:sz w:val="17"/>
              </w:rPr>
              <w:t>capability</w:t>
            </w:r>
            <w:r>
              <w:rPr>
                <w:sz w:val="17"/>
              </w:rPr>
              <w:t xml:space="preserve"> as evidence of </w:t>
            </w:r>
            <w:r>
              <w:rPr>
                <w:i/>
                <w:sz w:val="17"/>
              </w:rPr>
              <w:t>willingness</w:t>
            </w:r>
            <w:r>
              <w:rPr>
                <w:sz w:val="17"/>
              </w:rPr>
              <w:t>. It should not: N-1 says there is no position in either direction, and U-12 says the instrument's use for a novel subject is undocumented.</w:t>
            </w:r>
          </w:p>
        </w:tc>
      </w:tr>
      <w:tr>
        <w:tc>
          <w:tcPr>
            <w:tcW w:type="dxa" w:w="4320"/>
          </w:tcPr>
          <w:p>
            <w:pPr>
              <w:spacing w:before="20" w:after="20"/>
              <w:jc w:val="left"/>
            </w:pPr>
            <w:r>
              <w:rPr>
                <w:b/>
                <w:sz w:val="17"/>
              </w:rPr>
              <w:t>Statutory Researcher</w:t>
            </w:r>
          </w:p>
        </w:tc>
        <w:tc>
          <w:tcPr>
            <w:tcW w:type="dxa" w:w="4320"/>
          </w:tcPr>
          <w:p>
            <w:pPr>
              <w:spacing w:before="20" w:after="20"/>
              <w:jc w:val="left"/>
            </w:pPr>
            <w:r>
              <w:rPr>
                <w:sz w:val="17"/>
              </w:rPr>
              <w:t xml:space="preserve">Annex C </w:t>
            </w:r>
            <w:r>
              <w:rPr>
                <w:b/>
                <w:sz w:val="17"/>
              </w:rPr>
              <w:t>U-5</w:t>
            </w:r>
            <w:r>
              <w:rPr>
                <w:sz w:val="17"/>
              </w:rPr>
              <w:t xml:space="preserve"> is still open and now has a year of runway: whether any bill 2017–2026 attempted to extend or remove the § 51.1-142.2 window itself. With a 2028 target this is a precedent search worth finishing properly, including the committee and subcommittee disposition of anything found.</w:t>
            </w:r>
          </w:p>
        </w:tc>
      </w:tr>
    </w:tbl>
    <w:p>
      <w:pPr>
        <w:spacing w:before="0" w:after="0" w:line="80" w:lineRule="exact"/>
      </w:pPr>
      <w:r>
        <w:rPr>
          <w:sz w:val="8"/>
        </w:rPr>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 D — The 2028 JLC cycle: sponsor of record, instruments and calendar</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