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 D — JLC sponsoring organisation, and the 2026-12-17 submission</w:t>
      </w:r>
    </w:p>
    <w:p>
      <w:r>
        <w:rPr>
          <w:b/>
        </w:rPr>
        <w:t>Version 1.0 — 2026-10-25</w:t>
      </w:r>
      <w:r>
        <w:t xml:space="preserve"> </w:t>
      </w:r>
      <w:r>
        <w:rPr>
          <w:b/>
        </w:rPr>
        <w:t>Prepared by:</w:t>
      </w:r>
      <w:r>
        <w:t xml:space="preserve"> Stakeholder Analyst, Virginia Policy Lab </w:t>
      </w:r>
      <w:r>
        <w:rPr>
          <w:b/>
        </w:rPr>
        <w:t>Issue:</w:t>
      </w:r>
      <w:r>
        <w:t xml:space="preserve"> MOO-302 (from MOO-290; parent MOO-287) </w:t>
      </w:r>
      <w:r>
        <w:rPr>
          <w:b/>
        </w:rPr>
        <w:t>Status:</w:t>
      </w:r>
      <w:r>
        <w:t xml:space="preserve"> Pre-decisional and internal. Not for distribution outside Paperclip until Policy Director releases it.</w:t>
      </w:r>
    </w:p>
    <w:p>
      <w:pPr>
        <w:spacing w:before="120" w:after="120"/>
        <w:ind w:left="480"/>
      </w:pPr>
      <w:r>
        <w:rPr>
          <w:b/>
          <w:i/>
          <w:color w:val="444444"/>
          <w:sz w:val="20"/>
        </w:rPr>
        <w:t>Method and limits.</w:t>
      </w:r>
      <w:r>
        <w:rPr>
          <w:i/>
          <w:color w:val="444444"/>
          <w:sz w:val="20"/>
        </w:rPr>
        <w:t xml:space="preserve"> Desk research on the public record only. </w:t>
      </w:r>
      <w:r>
        <w:rPr>
          <w:b/>
          <w:i/>
          <w:color w:val="444444"/>
          <w:sz w:val="20"/>
        </w:rPr>
        <w:t>No JLC member organisation, JLC officer, legislator, staffer, agency or association has been contacted, and none will be.</w:t>
      </w:r>
      <w:r>
        <w:rPr>
          <w:i/>
          <w:color w:val="444444"/>
          <w:sz w:val="20"/>
        </w:rPr>
        <w:t xml:space="preserve"> The approach is JLCVSO's to make. Every position below is labelled </w:t>
      </w:r>
      <w:r>
        <w:rPr>
          <w:b/>
          <w:i/>
          <w:color w:val="444444"/>
          <w:sz w:val="20"/>
        </w:rPr>
        <w:t>documented</w:t>
      </w:r>
      <w:r>
        <w:rPr>
          <w:i/>
          <w:color w:val="444444"/>
          <w:sz w:val="20"/>
        </w:rPr>
        <w:t xml:space="preserve">, </w:t>
      </w:r>
      <w:r>
        <w:rPr>
          <w:b/>
          <w:i/>
          <w:color w:val="444444"/>
          <w:sz w:val="20"/>
        </w:rPr>
        <w:t>inferred — pattern</w:t>
      </w:r>
      <w:r>
        <w:rPr>
          <w:i/>
          <w:color w:val="444444"/>
          <w:sz w:val="20"/>
        </w:rPr>
        <w:t xml:space="preserve">, or </w:t>
      </w:r>
      <w:r>
        <w:rPr>
          <w:b/>
          <w:i/>
          <w:color w:val="444444"/>
          <w:sz w:val="20"/>
        </w:rPr>
        <w:t>inferred — interest</w:t>
      </w:r>
      <w:r>
        <w:rPr>
          <w:i/>
          <w:color w:val="444444"/>
          <w:sz w:val="20"/>
        </w:rPr>
        <w:t xml:space="preserve">, with </w:t>
      </w:r>
      <w:r>
        <w:rPr>
          <w:b/>
          <w:i/>
          <w:color w:val="444444"/>
          <w:sz w:val="20"/>
        </w:rPr>
        <w:t>High / Medium / Low</w:t>
      </w:r>
      <w:r>
        <w:rPr>
          <w:i/>
          <w:color w:val="444444"/>
          <w:sz w:val="20"/>
        </w:rPr>
        <w:t xml:space="preserve"> confidence meaning exactly that distinction. Retrieval dates are in § 10.</w:t>
      </w:r>
    </w:p>
    <w:p>
      <w:pPr>
        <w:spacing w:before="120" w:after="120"/>
        <w:ind w:left="480"/>
      </w:pPr>
      <w:r>
        <w:rPr>
          <w:b/>
          <w:i/>
          <w:color w:val="444444"/>
          <w:sz w:val="20"/>
        </w:rPr>
        <w:t>Cost figures in this annex are not mine and are not re-derived.</w:t>
      </w:r>
      <w:r>
        <w:rPr>
          <w:i/>
          <w:color w:val="444444"/>
          <w:sz w:val="20"/>
        </w:rPr>
        <w:t xml:space="preserve"> § 6 carries the figures from the current package authority (</w:t>
      </w:r>
      <w:r>
        <w:rPr>
          <w:rFonts w:ascii="Consolas" w:hAnsi="Consolas"/>
          <w:i/>
          <w:color w:val="303030"/>
          <w:sz w:val="18"/>
        </w:rPr>
        <w:t>00-ONE-PAGE-BRIEF.md</w:t>
      </w:r>
      <w:r>
        <w:rPr>
          <w:i/>
          <w:color w:val="444444"/>
          <w:sz w:val="20"/>
        </w:rPr>
        <w:t xml:space="preserve"> v1.3) with an inheritance label on each. Legal conclusions are Counsel's; § 4 reads a statute that Counsel and the Red Team have both already construed, and cites them. Bill text is the Drafting Specialist's.</w:t>
      </w:r>
    </w:p>
    <w:p>
      <w:pPr>
        <w:jc w:val="center"/>
      </w:pPr>
      <w:r>
        <w:rPr>
          <w:color w:val="909090"/>
          <w:sz w:val="18"/>
        </w:rPr>
        <w:t>* * *</w:t>
      </w:r>
    </w:p>
    <w:p>
      <w:pPr>
        <w:pStyle w:val="Heading2"/>
      </w:pPr>
      <w:r>
        <w:t>1. The one-line read</w:t>
      </w:r>
    </w:p>
    <w:p>
      <w:r>
        <w:rPr>
          <w:b/>
        </w:rPr>
        <w:t>The obvious sponsor is the wrong sponsor.</w:t>
      </w:r>
      <w:r>
        <w:t xml:space="preserve"> The JLC member organisation with the most Virginia legislative capability is MOAA's Virginia Council of Chapters — and a large share of its membership is </w:t>
      </w:r>
      <w:r>
        <w:rPr>
          <w:b/>
        </w:rPr>
        <w:t>statutorily barred from this benefit</w:t>
      </w:r>
      <w:r>
        <w:t xml:space="preserve">, because § 51.1-142.2 B 3 blocks purchase of service already counted in a military retirement allowance and the 10 U.S.C. ch. 1223 exception rescues </w:t>
      </w:r>
      <w:r>
        <w:rPr>
          <w:b/>
        </w:rPr>
        <w:t>Reserve and Guard</w:t>
      </w:r>
      <w:r>
        <w:t xml:space="preserve"> retirees only, not regular 20-year retirees. The organisations whose members the bill affirmatively protects are the </w:t>
      </w:r>
      <w:r>
        <w:rPr>
          <w:b/>
        </w:rPr>
        <w:t>Guard, Reserve and enlisted/short-service</w:t>
      </w:r>
      <w:r>
        <w:t xml:space="preserve"> associations. </w:t>
      </w:r>
      <w:r>
        <w:rPr>
          <w:b/>
        </w:rPr>
        <w:t>The recommended sponsor of record is the Virginia National Guard Association</w:t>
      </w:r>
      <w:r>
        <w:t xml:space="preserve">, which also has the best documented record of any JLC member of converting its own adopted priorities into JLC initiatives. AUSA is the </w:t>
      </w:r>
      <w:r>
        <w:rPr>
          <w:i/>
        </w:rPr>
        <w:t>route</w:t>
      </w:r>
      <w:r>
        <w:t xml:space="preserve"> (the Legislative Officer's organisation), not the sponsor. MOAA VCOC is the </w:t>
      </w:r>
      <w:r>
        <w:rPr>
          <w:i/>
        </w:rPr>
        <w:t>capability partner</w:t>
      </w:r>
      <w:r>
        <w:t>, not the face.</w:t>
      </w:r>
    </w:p>
    <w:p>
      <w:pPr>
        <w:jc w:val="center"/>
      </w:pPr>
      <w:r>
        <w:rPr>
          <w:color w:val="909090"/>
          <w:sz w:val="18"/>
        </w:rPr>
        <w:t>* * *</w:t>
      </w:r>
    </w:p>
    <w:p>
      <w:pPr>
        <w:pStyle w:val="Heading2"/>
      </w:pPr>
      <w:r>
        <w:t>2. The gate, and the calendar between here and the session</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Date</w:t>
            </w:r>
          </w:p>
        </w:tc>
        <w:tc>
          <w:tcPr>
            <w:tcW w:type="dxa" w:w="2880"/>
          </w:tcPr>
          <w:p>
            <w:pPr>
              <w:spacing w:before="20" w:after="20"/>
              <w:jc w:val="left"/>
            </w:pPr>
            <w:r>
              <w:rPr>
                <w:b/>
                <w:sz w:val="17"/>
              </w:rPr>
              <w:t>What happens</w:t>
            </w:r>
          </w:p>
        </w:tc>
        <w:tc>
          <w:tcPr>
            <w:tcW w:type="dxa" w:w="2880"/>
          </w:tcPr>
          <w:p>
            <w:pPr>
              <w:spacing w:before="20" w:after="20"/>
              <w:jc w:val="left"/>
            </w:pPr>
            <w:r>
              <w:rPr>
                <w:b/>
                <w:sz w:val="17"/>
              </w:rPr>
              <w:t>Source</w:t>
            </w:r>
          </w:p>
        </w:tc>
      </w:tr>
      <w:tr>
        <w:tc>
          <w:tcPr>
            <w:tcW w:type="dxa" w:w="2880"/>
          </w:tcPr>
          <w:p>
            <w:pPr>
              <w:spacing w:before="20" w:after="20"/>
              <w:jc w:val="left"/>
            </w:pPr>
            <w:r>
              <w:rPr>
                <w:b/>
                <w:sz w:val="17"/>
              </w:rPr>
              <w:t>2026-11-10</w:t>
            </w:r>
          </w:p>
        </w:tc>
        <w:tc>
          <w:tcPr>
            <w:tcW w:type="dxa" w:w="2880"/>
          </w:tcPr>
          <w:p>
            <w:pPr>
              <w:spacing w:before="20" w:after="20"/>
              <w:jc w:val="left"/>
            </w:pPr>
            <w:r>
              <w:rPr>
                <w:sz w:val="17"/>
              </w:rPr>
              <w:t>VACo adopts its final 2027 program. The only stakeholder read in Annex C with a known expiry date (Annex C U-3).</w:t>
            </w:r>
          </w:p>
        </w:tc>
        <w:tc>
          <w:tcPr>
            <w:tcW w:type="dxa" w:w="2880"/>
          </w:tcPr>
          <w:p>
            <w:pPr>
              <w:spacing w:before="20" w:after="20"/>
              <w:jc w:val="left"/>
            </w:pPr>
            <w:r>
              <w:rPr>
                <w:sz w:val="17"/>
              </w:rPr>
              <w:t>VACo release 2026-10-09</w:t>
            </w:r>
          </w:p>
        </w:tc>
      </w:tr>
      <w:tr>
        <w:tc>
          <w:tcPr>
            <w:tcW w:type="dxa" w:w="2880"/>
          </w:tcPr>
          <w:p>
            <w:pPr>
              <w:spacing w:before="20" w:after="20"/>
              <w:jc w:val="left"/>
            </w:pPr>
            <w:r>
              <w:rPr>
                <w:b/>
                <w:sz w:val="17"/>
              </w:rPr>
              <w:t>2026-12-17, 10:00–12:00</w:t>
            </w:r>
          </w:p>
        </w:tc>
        <w:tc>
          <w:tcPr>
            <w:tcW w:type="dxa" w:w="2880"/>
          </w:tcPr>
          <w:p>
            <w:pPr>
              <w:spacing w:before="20" w:after="20"/>
              <w:jc w:val="left"/>
            </w:pPr>
            <w:r>
              <w:rPr>
                <w:b/>
                <w:sz w:val="17"/>
              </w:rPr>
              <w:t>The gate.</w:t>
            </w:r>
            <w:r>
              <w:rPr>
                <w:sz w:val="17"/>
              </w:rPr>
              <w:t xml:space="preserve"> JLC board, Virginia War Memorial, 621 South Belvidere Street. Last JLC board meeting before the 2027 session. Under the recurring Work Plan this is the meeting that reviews and approves additional initiatives not voted on in the fall, </w:t>
            </w:r>
            <w:r>
              <w:rPr>
                <w:b/>
                <w:sz w:val="17"/>
              </w:rPr>
              <w:t>and reviews the list of approved General Assembly patrons</w:t>
            </w:r>
            <w:r>
              <w:rPr>
                <w:sz w:val="17"/>
              </w:rPr>
              <w:t>. No agenda posted as of retrieval.</w:t>
            </w:r>
          </w:p>
        </w:tc>
        <w:tc>
          <w:tcPr>
            <w:tcW w:type="dxa" w:w="2880"/>
          </w:tcPr>
          <w:p>
            <w:pPr>
              <w:spacing w:before="20" w:after="20"/>
              <w:jc w:val="left"/>
            </w:pPr>
            <w:r>
              <w:rPr>
                <w:sz w:val="17"/>
              </w:rPr>
              <w:t xml:space="preserve">Commonwealth Calendar event 76654; </w:t>
            </w:r>
            <w:r>
              <w:rPr>
                <w:i/>
                <w:sz w:val="17"/>
              </w:rPr>
              <w:t>JLC 2020 Work Plan</w:t>
            </w:r>
          </w:p>
        </w:tc>
      </w:tr>
      <w:tr>
        <w:tc>
          <w:tcPr>
            <w:tcW w:type="dxa" w:w="2880"/>
          </w:tcPr>
          <w:p>
            <w:pPr>
              <w:spacing w:before="20" w:after="20"/>
              <w:jc w:val="left"/>
            </w:pPr>
            <w:r>
              <w:rPr>
                <w:b/>
                <w:sz w:val="17"/>
              </w:rPr>
              <w:t>2027-01-13</w:t>
            </w:r>
          </w:p>
        </w:tc>
        <w:tc>
          <w:tcPr>
            <w:tcW w:type="dxa" w:w="2880"/>
          </w:tcPr>
          <w:p>
            <w:pPr>
              <w:spacing w:before="20" w:after="20"/>
              <w:jc w:val="left"/>
            </w:pPr>
            <w:r>
              <w:rPr>
                <w:sz w:val="17"/>
              </w:rPr>
              <w:t xml:space="preserve">2027 General Assembly convenes. Odd year, so the </w:t>
            </w:r>
            <w:r>
              <w:rPr>
                <w:b/>
                <w:sz w:val="17"/>
              </w:rPr>
              <w:t>short session</w:t>
            </w:r>
            <w:r>
              <w:rPr>
                <w:sz w:val="17"/>
              </w:rPr>
              <w:t xml:space="preserve"> — 30 days under Art. IV, § 6, conventionally extended to 45.</w:t>
            </w:r>
          </w:p>
        </w:tc>
        <w:tc>
          <w:tcPr>
            <w:tcW w:type="dxa" w:w="2880"/>
          </w:tcPr>
          <w:p>
            <w:pPr>
              <w:spacing w:before="20" w:after="20"/>
              <w:jc w:val="left"/>
            </w:pPr>
            <w:r>
              <w:rPr>
                <w:sz w:val="17"/>
              </w:rPr>
              <w:t>Session calendar; Const. Va. Art. IV, § 6</w:t>
            </w:r>
          </w:p>
        </w:tc>
      </w:tr>
      <w:tr>
        <w:tc>
          <w:tcPr>
            <w:tcW w:type="dxa" w:w="2880"/>
          </w:tcPr>
          <w:p>
            <w:pPr>
              <w:spacing w:before="20" w:after="20"/>
              <w:jc w:val="left"/>
            </w:pPr>
            <w:r>
              <w:rPr>
                <w:b/>
                <w:sz w:val="17"/>
              </w:rPr>
              <w:t>2027-06-15</w:t>
            </w:r>
          </w:p>
        </w:tc>
        <w:tc>
          <w:tcPr>
            <w:tcW w:type="dxa" w:w="2880"/>
          </w:tcPr>
          <w:p>
            <w:pPr>
              <w:spacing w:before="20" w:after="20"/>
              <w:jc w:val="left"/>
            </w:pPr>
            <w:r>
              <w:rPr>
                <w:sz w:val="17"/>
              </w:rPr>
              <w:t xml:space="preserve">Member submission deadline for the </w:t>
            </w:r>
            <w:r>
              <w:rPr>
                <w:b/>
                <w:sz w:val="17"/>
              </w:rPr>
              <w:t>2028</w:t>
            </w:r>
            <w:r>
              <w:rPr>
                <w:sz w:val="17"/>
              </w:rPr>
              <w:t xml:space="preserve"> cycle, if December is missed.</w:t>
            </w:r>
          </w:p>
        </w:tc>
        <w:tc>
          <w:tcPr>
            <w:tcW w:type="dxa" w:w="2880"/>
          </w:tcPr>
          <w:p>
            <w:pPr>
              <w:spacing w:before="20" w:after="20"/>
              <w:jc w:val="left"/>
            </w:pPr>
            <w:r>
              <w:rPr>
                <w:i/>
                <w:sz w:val="17"/>
              </w:rPr>
              <w:t>JLC 2020 Work Plan</w:t>
            </w:r>
          </w:p>
        </w:tc>
      </w:tr>
    </w:tbl>
    <w:p>
      <w:pPr>
        <w:spacing w:before="0" w:after="0" w:line="80" w:lineRule="exact"/>
      </w:pPr>
      <w:r>
        <w:rPr>
          <w:sz w:val="8"/>
        </w:rPr>
      </w:r>
    </w:p>
    <w:p>
      <w:r>
        <w:rPr>
          <w:b/>
        </w:rPr>
        <w:t>53 days to the gate. 27 days from the gate to convening.</w:t>
      </w:r>
      <w:r>
        <w:t xml:space="preserve"> The second number matters as much as the first: a patron confirmed on December 17 has under four weeks to get a bill drafted by the Division of Legislative Services and prefiled, and the VRS § 30-19.1:7 impact statement lands within days of prefiling (HB 1867's was dated six days after). </w:t>
      </w:r>
      <w:r>
        <w:rPr>
          <w:b/>
        </w:rPr>
        <w:t>The fiscal case has to be finished before December 17, not before the hearing.</w:t>
      </w:r>
    </w:p>
    <w:p>
      <w:pPr>
        <w:jc w:val="center"/>
      </w:pPr>
      <w:r>
        <w:rPr>
          <w:color w:val="909090"/>
          <w:sz w:val="18"/>
        </w:rPr>
        <w:t>* * *</w:t>
      </w:r>
    </w:p>
    <w:p>
      <w:pPr>
        <w:pStyle w:val="Heading2"/>
      </w:pPr>
      <w:r>
        <w:t>3. What December 17 requires, and who owns each piece</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w:t>
            </w:r>
          </w:p>
        </w:tc>
        <w:tc>
          <w:tcPr>
            <w:tcW w:type="dxa" w:w="2160"/>
          </w:tcPr>
          <w:p>
            <w:pPr>
              <w:spacing w:before="20" w:after="20"/>
              <w:jc w:val="left"/>
            </w:pPr>
            <w:r>
              <w:rPr>
                <w:b/>
                <w:sz w:val="17"/>
              </w:rPr>
              <w:t>Requirement</w:t>
            </w:r>
          </w:p>
        </w:tc>
        <w:tc>
          <w:tcPr>
            <w:tcW w:type="dxa" w:w="2160"/>
          </w:tcPr>
          <w:p>
            <w:pPr>
              <w:spacing w:before="20" w:after="20"/>
              <w:jc w:val="left"/>
            </w:pPr>
            <w:r>
              <w:rPr>
                <w:b/>
                <w:sz w:val="17"/>
              </w:rPr>
              <w:t>Owner</w:t>
            </w:r>
          </w:p>
        </w:tc>
        <w:tc>
          <w:tcPr>
            <w:tcW w:type="dxa" w:w="2160"/>
          </w:tcPr>
          <w:p>
            <w:pPr>
              <w:spacing w:before="20" w:after="20"/>
              <w:jc w:val="left"/>
            </w:pPr>
            <w:r>
              <w:rPr>
                <w:b/>
                <w:sz w:val="17"/>
              </w:rPr>
              <w:t>State today</w:t>
            </w:r>
          </w:p>
        </w:tc>
      </w:tr>
      <w:tr>
        <w:tc>
          <w:tcPr>
            <w:tcW w:type="dxa" w:w="2160"/>
          </w:tcPr>
          <w:p>
            <w:pPr>
              <w:spacing w:before="20" w:after="20"/>
              <w:jc w:val="left"/>
            </w:pPr>
            <w:r>
              <w:rPr>
                <w:sz w:val="17"/>
              </w:rPr>
              <w:t>1</w:t>
            </w:r>
          </w:p>
        </w:tc>
        <w:tc>
          <w:tcPr>
            <w:tcW w:type="dxa" w:w="2160"/>
          </w:tcPr>
          <w:p>
            <w:pPr>
              <w:spacing w:before="20" w:after="20"/>
              <w:jc w:val="left"/>
            </w:pPr>
            <w:r>
              <w:rPr>
                <w:sz w:val="17"/>
              </w:rPr>
              <w:t xml:space="preserve">A position paper </w:t>
            </w:r>
            <w:r>
              <w:rPr>
                <w:b/>
                <w:sz w:val="17"/>
              </w:rPr>
              <w:t>in JLC format</w:t>
            </w:r>
          </w:p>
        </w:tc>
        <w:tc>
          <w:tcPr>
            <w:tcW w:type="dxa" w:w="2160"/>
          </w:tcPr>
          <w:p>
            <w:pPr>
              <w:spacing w:before="20" w:after="20"/>
              <w:jc w:val="left"/>
            </w:pPr>
            <w:r>
              <w:rPr>
                <w:sz w:val="17"/>
              </w:rPr>
              <w:t>Editor / Policy Director</w:t>
            </w:r>
          </w:p>
        </w:tc>
        <w:tc>
          <w:tcPr>
            <w:tcW w:type="dxa" w:w="2160"/>
          </w:tcPr>
          <w:p>
            <w:pPr>
              <w:spacing w:before="20" w:after="20"/>
              <w:jc w:val="left"/>
            </w:pPr>
            <w:r>
              <w:rPr>
                <w:b/>
                <w:sz w:val="17"/>
              </w:rPr>
              <w:t>Substantially exists.</w:t>
            </w:r>
            <w:r>
              <w:rPr>
                <w:sz w:val="17"/>
              </w:rPr>
              <w:t xml:space="preserve"> </w:t>
            </w:r>
            <w:r>
              <w:rPr>
                <w:rFonts w:ascii="Consolas" w:hAnsi="Consolas"/>
                <w:color w:val="303030"/>
                <w:sz w:val="18"/>
              </w:rPr>
              <w:t>00-ONE-PAGE-BRIEF.md</w:t>
            </w:r>
            <w:r>
              <w:rPr>
                <w:sz w:val="17"/>
              </w:rPr>
              <w:t xml:space="preserve"> v1.3 is already in the JLC Initiative format (JLC Initiative / OBJECTIVE / DISCUSSION / COST / RECOMMENDATION). § 6 below adapts it for the Council audience. </w:t>
            </w:r>
            <w:r>
              <w:rPr>
                <w:b/>
                <w:sz w:val="17"/>
              </w:rPr>
              <w:t>Print clearance has not been given.</w:t>
            </w:r>
          </w:p>
        </w:tc>
      </w:tr>
      <w:tr>
        <w:tc>
          <w:tcPr>
            <w:tcW w:type="dxa" w:w="2160"/>
          </w:tcPr>
          <w:p>
            <w:pPr>
              <w:spacing w:before="20" w:after="20"/>
              <w:jc w:val="left"/>
            </w:pPr>
            <w:r>
              <w:rPr>
                <w:sz w:val="17"/>
              </w:rPr>
              <w:t>2</w:t>
            </w:r>
          </w:p>
        </w:tc>
        <w:tc>
          <w:tcPr>
            <w:tcW w:type="dxa" w:w="2160"/>
          </w:tcPr>
          <w:p>
            <w:pPr>
              <w:spacing w:before="20" w:after="20"/>
              <w:jc w:val="left"/>
            </w:pPr>
            <w:r>
              <w:rPr>
                <w:sz w:val="17"/>
              </w:rPr>
              <w:t xml:space="preserve">A </w:t>
            </w:r>
            <w:r>
              <w:rPr>
                <w:b/>
                <w:sz w:val="17"/>
              </w:rPr>
              <w:t>sponsoring member organisation</w:t>
            </w:r>
            <w:r>
              <w:rPr>
                <w:sz w:val="17"/>
              </w:rPr>
              <w:t xml:space="preserve"> prepared to speak to it before the full Council</w:t>
            </w:r>
          </w:p>
        </w:tc>
        <w:tc>
          <w:tcPr>
            <w:tcW w:type="dxa" w:w="2160"/>
          </w:tcPr>
          <w:p>
            <w:pPr>
              <w:spacing w:before="20" w:after="20"/>
              <w:jc w:val="left"/>
            </w:pPr>
            <w:r>
              <w:rPr>
                <w:b/>
                <w:sz w:val="17"/>
              </w:rPr>
              <w:t>JLCVSO</w:t>
            </w:r>
            <w:r>
              <w:rPr>
                <w:sz w:val="17"/>
              </w:rPr>
              <w:t xml:space="preserve"> — this is the client's own approach to make</w:t>
            </w:r>
          </w:p>
        </w:tc>
        <w:tc>
          <w:tcPr>
            <w:tcW w:type="dxa" w:w="2160"/>
          </w:tcPr>
          <w:p>
            <w:pPr>
              <w:spacing w:before="20" w:after="20"/>
              <w:jc w:val="left"/>
            </w:pPr>
            <w:r>
              <w:rPr>
                <w:b/>
                <w:sz w:val="17"/>
              </w:rPr>
              <w:t>Does not exist.</w:t>
            </w:r>
            <w:r>
              <w:rPr>
                <w:sz w:val="17"/>
              </w:rPr>
              <w:t xml:space="preserve"> § 5 names and ranks the candidates from the public record. Nothing beyond naming them is ours to do.</w:t>
            </w:r>
          </w:p>
        </w:tc>
      </w:tr>
      <w:tr>
        <w:tc>
          <w:tcPr>
            <w:tcW w:type="dxa" w:w="2160"/>
          </w:tcPr>
          <w:p>
            <w:pPr>
              <w:spacing w:before="20" w:after="20"/>
              <w:jc w:val="left"/>
            </w:pPr>
            <w:r>
              <w:rPr>
                <w:sz w:val="17"/>
              </w:rPr>
              <w:t>3</w:t>
            </w:r>
          </w:p>
        </w:tc>
        <w:tc>
          <w:tcPr>
            <w:tcW w:type="dxa" w:w="2160"/>
          </w:tcPr>
          <w:p>
            <w:pPr>
              <w:spacing w:before="20" w:after="20"/>
              <w:jc w:val="left"/>
            </w:pPr>
            <w:r>
              <w:rPr>
                <w:sz w:val="17"/>
              </w:rPr>
              <w:t xml:space="preserve">A confirmed </w:t>
            </w:r>
            <w:r>
              <w:rPr>
                <w:b/>
                <w:sz w:val="17"/>
              </w:rPr>
              <w:t>patron</w:t>
            </w:r>
            <w:r>
              <w:rPr>
                <w:sz w:val="17"/>
              </w:rPr>
              <w:t>, since the patron list is reviewed at the same meeting</w:t>
            </w:r>
          </w:p>
        </w:tc>
        <w:tc>
          <w:tcPr>
            <w:tcW w:type="dxa" w:w="2160"/>
          </w:tcPr>
          <w:p>
            <w:pPr>
              <w:spacing w:before="20" w:after="20"/>
              <w:jc w:val="left"/>
            </w:pPr>
            <w:r>
              <w:rPr>
                <w:sz w:val="17"/>
              </w:rPr>
              <w:t>Policy Director</w:t>
            </w:r>
          </w:p>
        </w:tc>
        <w:tc>
          <w:tcPr>
            <w:tcW w:type="dxa" w:w="2160"/>
          </w:tcPr>
          <w:p>
            <w:pPr>
              <w:spacing w:before="20" w:after="20"/>
              <w:jc w:val="left"/>
            </w:pPr>
            <w:r>
              <w:rPr>
                <w:b/>
                <w:sz w:val="17"/>
              </w:rPr>
              <w:t>Open.</w:t>
            </w:r>
            <w:r>
              <w:rPr>
                <w:sz w:val="17"/>
              </w:rPr>
              <w:t xml:space="preserve"> Annex C § 8 recommends Senate first, Sen. Reeves as chief patron — and that rests on an unverified 2018-era caucus claim (U-2). See § 7.</w:t>
            </w:r>
          </w:p>
        </w:tc>
      </w:tr>
      <w:tr>
        <w:tc>
          <w:tcPr>
            <w:tcW w:type="dxa" w:w="2160"/>
          </w:tcPr>
          <w:p>
            <w:pPr>
              <w:spacing w:before="20" w:after="20"/>
              <w:jc w:val="left"/>
            </w:pPr>
            <w:r>
              <w:rPr>
                <w:sz w:val="17"/>
              </w:rPr>
              <w:t>4</w:t>
            </w:r>
          </w:p>
        </w:tc>
        <w:tc>
          <w:tcPr>
            <w:tcW w:type="dxa" w:w="2160"/>
          </w:tcPr>
          <w:p>
            <w:pPr>
              <w:spacing w:before="20" w:after="20"/>
              <w:jc w:val="left"/>
            </w:pPr>
            <w:r>
              <w:rPr>
                <w:sz w:val="17"/>
              </w:rPr>
              <w:t xml:space="preserve">Alignment with the </w:t>
            </w:r>
            <w:r>
              <w:rPr>
                <w:b/>
                <w:sz w:val="17"/>
              </w:rPr>
              <w:t>Virginia Veterans strategic plan</w:t>
            </w:r>
          </w:p>
        </w:tc>
        <w:tc>
          <w:tcPr>
            <w:tcW w:type="dxa" w:w="2160"/>
          </w:tcPr>
          <w:p>
            <w:pPr>
              <w:spacing w:before="20" w:after="20"/>
              <w:jc w:val="left"/>
            </w:pPr>
            <w:r>
              <w:rPr>
                <w:sz w:val="17"/>
              </w:rPr>
              <w:t>Policy Director</w:t>
            </w:r>
          </w:p>
        </w:tc>
        <w:tc>
          <w:tcPr>
            <w:tcW w:type="dxa" w:w="2160"/>
          </w:tcPr>
          <w:p>
            <w:pPr>
              <w:spacing w:before="20" w:after="20"/>
              <w:jc w:val="left"/>
            </w:pPr>
            <w:r>
              <w:rPr>
                <w:b/>
                <w:sz w:val="17"/>
              </w:rPr>
              <w:t>Not written.</w:t>
            </w:r>
            <w:r>
              <w:rPr>
                <w:sz w:val="17"/>
              </w:rPr>
              <w:t xml:space="preserve"> DVS's institutional habit is to press members to tie initiatives to the strategic plan (Annex C § 3.4, Medium confidence, institutional pattern). § 6 leaves the hook; the text is not mine to draft.</w:t>
            </w:r>
          </w:p>
        </w:tc>
      </w:tr>
    </w:tbl>
    <w:p>
      <w:pPr>
        <w:spacing w:before="0" w:after="0" w:line="80" w:lineRule="exact"/>
      </w:pPr>
      <w:r>
        <w:rPr>
          <w:sz w:val="8"/>
        </w:rPr>
      </w:r>
    </w:p>
    <w:p>
      <w:r>
        <w:rPr>
          <w:b/>
        </w:rPr>
        <w:t>The mechanic to know about requirement 2.</w:t>
      </w:r>
      <w:r>
        <w:t xml:space="preserve"> Under § 2.2-2681 a qualifying organisation's </w:t>
      </w:r>
      <w:r>
        <w:rPr>
          <w:b/>
        </w:rPr>
        <w:t>own president appoints</w:t>
      </w:r>
      <w:r>
        <w:t xml:space="preserve"> its JLC representative. The sponsorship decision is therefore an </w:t>
      </w:r>
      <w:r>
        <w:rPr>
          <w:i/>
        </w:rPr>
        <w:t>organisational</w:t>
      </w:r>
      <w:r>
        <w:t xml:space="preserve"> decision taken by the organisation's leadership, not a decision its JLC representative can make alone — and for the organisations that work by resolution (the Legion, VFW, VNGA), the formal instrument is a resolution adopted at a meeting. </w:t>
      </w:r>
      <w:r>
        <w:rPr>
          <w:b/>
        </w:rPr>
        <w:t>Inside 53 days, an organisation with a standing resolutions process and a meeting already on its calendar is worth more than a larger organisation without one.</w:t>
      </w:r>
      <w:r>
        <w:t xml:space="preserve"> Confidence </w:t>
      </w:r>
      <w:r>
        <w:rPr>
          <w:b/>
        </w:rPr>
        <w:t>High</w:t>
      </w:r>
      <w:r>
        <w:t xml:space="preserve"> on the appointment mechanic (statute); </w:t>
      </w:r>
      <w:r>
        <w:rPr>
          <w:b/>
        </w:rPr>
        <w:t>Medium</w:t>
      </w:r>
      <w:r>
        <w:t xml:space="preserve"> on the resolution-timing constraint (inferred — pattern from published resolutions pages).</w:t>
      </w:r>
    </w:p>
    <w:p>
      <w:pPr>
        <w:jc w:val="center"/>
      </w:pPr>
      <w:r>
        <w:rPr>
          <w:color w:val="909090"/>
          <w:sz w:val="18"/>
        </w:rPr>
        <w:t>* * *</w:t>
      </w:r>
    </w:p>
    <w:p>
      <w:pPr>
        <w:pStyle w:val="Heading2"/>
      </w:pPr>
      <w:r>
        <w:t>4. The eligibility fact that decides the sponsor</w:t>
      </w:r>
    </w:p>
    <w:p>
      <w:r>
        <w:t>This is the most consequential thing in this annex and it is not in Annex C.</w:t>
      </w:r>
    </w:p>
    <w:p>
      <w:r>
        <w:rPr>
          <w:b/>
        </w:rPr>
        <w:t>§ 51.1-142.2 B 3 bars</w:t>
      </w:r>
      <w:r>
        <w:t xml:space="preserve"> purchase of service credit that is "included in the calculation of any retirement allowance received or to be received from this or another retirement system, </w:t>
      </w:r>
      <w:r>
        <w:rPr>
          <w:b/>
        </w:rPr>
        <w:t>except as otherwise required by Chapter 1223 of Title 10 of the United States Code</w:t>
      </w:r>
      <w:r>
        <w:t xml:space="preserve">." Chapter 1223 is </w:t>
      </w:r>
      <w:r>
        <w:rPr>
          <w:b/>
        </w:rPr>
        <w:t>Reserve Component</w:t>
      </w:r>
      <w:r>
        <w:t xml:space="preserve"> retirement.</w:t>
      </w:r>
    </w:p>
    <w:p>
      <w:r>
        <w:t>Counsel and the Red Team have both construed this and agree:</w:t>
      </w:r>
    </w:p>
    <w:p>
      <w:pPr>
        <w:pStyle w:val="ListBullet"/>
      </w:pPr>
      <w:r>
        <w:t>Annex A § 4 — the ch. 1223 exception "is what preserves the ability to purchase Reserve and National Guard service that also counts toward a military pension."</w:t>
      </w:r>
    </w:p>
    <w:p>
      <w:pPr>
        <w:pStyle w:val="ListBullet"/>
      </w:pPr>
      <w:r>
        <w:t xml:space="preserve">Red Team </w:t>
      </w:r>
      <w:r>
        <w:rPr>
          <w:b/>
        </w:rPr>
        <w:t>S-4</w:t>
      </w:r>
      <w:r>
        <w:t xml:space="preserve"> — "The 10 U.S.C. ch. 1223 exception preserves </w:t>
      </w:r>
      <w:r>
        <w:rPr>
          <w:b/>
        </w:rPr>
        <w:t>Reserve/Guard</w:t>
      </w:r>
      <w:r>
        <w:t xml:space="preserve"> retirement only — it does not reach regular retirees… A regular 20-year military retiree's active duty is included in the allowance they already receive, so they cannot buy."</w:t>
      </w:r>
    </w:p>
    <w:p>
      <w:r>
        <w:rPr>
          <w:b/>
        </w:rPr>
        <w:t>Therefore the bill has three cohorts, not one: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Cohort</w:t>
            </w:r>
          </w:p>
        </w:tc>
        <w:tc>
          <w:tcPr>
            <w:tcW w:type="dxa" w:w="2880"/>
          </w:tcPr>
          <w:p>
            <w:pPr>
              <w:spacing w:before="20" w:after="20"/>
              <w:jc w:val="left"/>
            </w:pPr>
            <w:r>
              <w:rPr>
                <w:b/>
                <w:sz w:val="17"/>
              </w:rPr>
              <w:t>Eligibility under B 3</w:t>
            </w:r>
          </w:p>
        </w:tc>
        <w:tc>
          <w:tcPr>
            <w:tcW w:type="dxa" w:w="2880"/>
          </w:tcPr>
          <w:p>
            <w:pPr>
              <w:spacing w:before="20" w:after="20"/>
              <w:jc w:val="left"/>
            </w:pPr>
            <w:r>
              <w:rPr>
                <w:b/>
                <w:sz w:val="17"/>
              </w:rPr>
              <w:t>Confidence</w:t>
            </w:r>
          </w:p>
        </w:tc>
      </w:tr>
      <w:tr>
        <w:tc>
          <w:tcPr>
            <w:tcW w:type="dxa" w:w="2880"/>
          </w:tcPr>
          <w:p>
            <w:pPr>
              <w:spacing w:before="20" w:after="20"/>
              <w:jc w:val="left"/>
            </w:pPr>
            <w:r>
              <w:rPr>
                <w:b/>
                <w:sz w:val="17"/>
              </w:rPr>
              <w:t>Short-service active-duty veterans</w:t>
            </w:r>
            <w:r>
              <w:rPr>
                <w:sz w:val="17"/>
              </w:rPr>
              <w:t xml:space="preserve"> — 180+ consecutive days, no military retirement</w:t>
            </w:r>
          </w:p>
        </w:tc>
        <w:tc>
          <w:tcPr>
            <w:tcW w:type="dxa" w:w="2880"/>
          </w:tcPr>
          <w:p>
            <w:pPr>
              <w:spacing w:before="20" w:after="20"/>
              <w:jc w:val="left"/>
            </w:pPr>
            <w:r>
              <w:rPr>
                <w:b/>
                <w:sz w:val="17"/>
              </w:rPr>
              <w:t>Eligible</w:t>
            </w:r>
            <w:r>
              <w:rPr>
                <w:sz w:val="17"/>
              </w:rPr>
              <w:t>, subject to the unresolved second limb (below)</w:t>
            </w:r>
          </w:p>
        </w:tc>
        <w:tc>
          <w:tcPr>
            <w:tcW w:type="dxa" w:w="2880"/>
          </w:tcPr>
          <w:p>
            <w:pPr>
              <w:spacing w:before="20" w:after="20"/>
              <w:jc w:val="left"/>
            </w:pPr>
            <w:r>
              <w:rPr>
                <w:b/>
                <w:sz w:val="17"/>
              </w:rPr>
              <w:t>High</w:t>
            </w:r>
            <w:r>
              <w:rPr>
                <w:sz w:val="17"/>
              </w:rPr>
              <w:t xml:space="preserve"> (statute, verified verbatim by Red Team)</w:t>
            </w:r>
          </w:p>
        </w:tc>
      </w:tr>
      <w:tr>
        <w:tc>
          <w:tcPr>
            <w:tcW w:type="dxa" w:w="2880"/>
          </w:tcPr>
          <w:p>
            <w:pPr>
              <w:spacing w:before="20" w:after="20"/>
              <w:jc w:val="left"/>
            </w:pPr>
            <w:r>
              <w:rPr>
                <w:b/>
                <w:sz w:val="17"/>
              </w:rPr>
              <w:t>Guard and Reserve members and retirees</w:t>
            </w:r>
            <w:r>
              <w:rPr>
                <w:sz w:val="17"/>
              </w:rPr>
              <w:t xml:space="preserve"> with 180+ consecutive days of qualifying full-time service</w:t>
            </w:r>
          </w:p>
        </w:tc>
        <w:tc>
          <w:tcPr>
            <w:tcW w:type="dxa" w:w="2880"/>
          </w:tcPr>
          <w:p>
            <w:pPr>
              <w:spacing w:before="20" w:after="20"/>
              <w:jc w:val="left"/>
            </w:pPr>
            <w:r>
              <w:rPr>
                <w:b/>
                <w:sz w:val="17"/>
              </w:rPr>
              <w:t>Eligible, and affirmatively protected by statute</w:t>
            </w:r>
            <w:r>
              <w:rPr>
                <w:sz w:val="17"/>
              </w:rPr>
              <w:t xml:space="preserve"> — the only cohort whose eligibility survives a military retirement allowance</w:t>
            </w:r>
          </w:p>
        </w:tc>
        <w:tc>
          <w:tcPr>
            <w:tcW w:type="dxa" w:w="2880"/>
          </w:tcPr>
          <w:p>
            <w:pPr>
              <w:spacing w:before="20" w:after="20"/>
              <w:jc w:val="left"/>
            </w:pPr>
            <w:r>
              <w:rPr>
                <w:b/>
                <w:sz w:val="17"/>
              </w:rPr>
              <w:t>High</w:t>
            </w:r>
          </w:p>
        </w:tc>
      </w:tr>
      <w:tr>
        <w:tc>
          <w:tcPr>
            <w:tcW w:type="dxa" w:w="2880"/>
          </w:tcPr>
          <w:p>
            <w:pPr>
              <w:spacing w:before="20" w:after="20"/>
              <w:jc w:val="left"/>
            </w:pPr>
            <w:r>
              <w:rPr>
                <w:b/>
                <w:sz w:val="17"/>
              </w:rPr>
              <w:t>Regular (20-year active-duty) military retirees</w:t>
            </w:r>
          </w:p>
        </w:tc>
        <w:tc>
          <w:tcPr>
            <w:tcW w:type="dxa" w:w="2880"/>
          </w:tcPr>
          <w:p>
            <w:pPr>
              <w:spacing w:before="20" w:after="20"/>
              <w:jc w:val="left"/>
            </w:pPr>
            <w:r>
              <w:rPr>
                <w:b/>
                <w:sz w:val="17"/>
              </w:rPr>
              <w:t>Barred</w:t>
            </w:r>
            <w:r>
              <w:rPr>
                <w:sz w:val="17"/>
              </w:rPr>
              <w:t xml:space="preserve"> by the first limb</w:t>
            </w:r>
          </w:p>
        </w:tc>
        <w:tc>
          <w:tcPr>
            <w:tcW w:type="dxa" w:w="2880"/>
          </w:tcPr>
          <w:p>
            <w:pPr>
              <w:spacing w:before="20" w:after="20"/>
              <w:jc w:val="left"/>
            </w:pPr>
            <w:r>
              <w:rPr>
                <w:b/>
                <w:sz w:val="17"/>
              </w:rPr>
              <w:t>High</w:t>
            </w:r>
          </w:p>
        </w:tc>
      </w:tr>
    </w:tbl>
    <w:p>
      <w:pPr>
        <w:spacing w:before="0" w:after="0" w:line="80" w:lineRule="exact"/>
      </w:pPr>
      <w:r>
        <w:rPr>
          <w:sz w:val="8"/>
        </w:rPr>
      </w:r>
    </w:p>
    <w:p>
      <w:r>
        <w:rPr>
          <w:b/>
        </w:rPr>
        <w:t>And one open limb that cuts only against the first cohort.</w:t>
      </w:r>
      <w:r>
        <w:t xml:space="preserve"> B 3 also bars purchase "if there is a balance in a defined contribution account that serves as a primary retirement account related to such service." Red Team S-4 flags that </w:t>
      </w:r>
      <w:r>
        <w:rPr>
          <w:b/>
        </w:rPr>
        <w:t>Blended Retirement System</w:t>
      </w:r>
      <w:r>
        <w:t xml:space="preserve"> service — mandatory for entrants on or after 2018-01-01 — carries government TSP contributions attributable to that service, and that if VRS administers the second limb against BRS service, the youngest veterans lose access. </w:t>
      </w:r>
      <w:r>
        <w:rPr>
          <w:b/>
        </w:rPr>
        <w:t>How VRS administers that limb is unknown and is item 9/10 of the VRS data request.</w:t>
      </w:r>
      <w:r>
        <w:t xml:space="preserve"> The Guard/Reserve cohort is the one cohort with no comparable exposure, because its protection is express in the statute rather than dependent on VRS practice.</w:t>
      </w:r>
    </w:p>
    <w:p>
      <w:r>
        <w:rPr>
          <w:b/>
        </w:rPr>
        <w:t>Two consequences for sponsor selection.</w:t>
      </w:r>
    </w:p>
    <w:p>
      <w:pPr>
        <w:spacing w:after="60"/>
        <w:ind w:left="432" w:hanging="432"/>
      </w:pPr>
      <w:r>
        <w:rPr>
          <w:b/>
        </w:rPr>
        <w:t>1.</w:t>
        <w:tab/>
      </w:r>
      <w:r>
        <w:rPr>
          <w:b/>
        </w:rPr>
        <w:t>The career-officer-retiree organisations are the worst-served members of the Council, not the best-served.</w:t>
      </w:r>
      <w:r>
        <w:t xml:space="preserve"> A bill whose public face is an organisation of 20-year retirees invites the one question the package answers badly: </w:t>
      </w:r>
      <w:r>
        <w:rPr>
          <w:i/>
        </w:rPr>
        <w:t>does this help your own members?</w:t>
      </w:r>
      <w:r>
        <w:t xml:space="preserve"> For a large share of MOAA's Virginia membership, the honest answer is no. Confidence </w:t>
      </w:r>
      <w:r>
        <w:rPr>
          <w:b/>
        </w:rPr>
        <w:t>High</w:t>
      </w:r>
      <w:r>
        <w:t xml:space="preserve"> on the statutory bar; </w:t>
      </w:r>
      <w:r>
        <w:rPr>
          <w:b/>
        </w:rPr>
        <w:t>Medium</w:t>
      </w:r>
      <w:r>
        <w:t xml:space="preserve"> on the membership-composition inference — no VCOC breakdown by retirement status was located, and this is reasoning from who MOAA is chartered to represent.</w:t>
      </w:r>
    </w:p>
    <w:p>
      <w:pPr>
        <w:spacing w:after="60"/>
        <w:ind w:left="432" w:hanging="432"/>
      </w:pPr>
      <w:r>
        <w:rPr>
          <w:b/>
        </w:rPr>
        <w:t>2.</w:t>
        <w:tab/>
      </w:r>
      <w:r>
        <w:rPr>
          <w:b/>
        </w:rPr>
        <w:t>Guard and Reserve service and Virginia public employment structurally overlap.</w:t>
      </w:r>
      <w:r>
        <w:t xml:space="preserve"> A Guard member holds a civilian job by definition, and state, local and school employers are among the largest employers in most Virginia localities. The overlap between "VNGA member" and "VRS member" is therefore structurally high in a way the overlap between "retired colonel" and "VRS member" is not. Confidence </w:t>
      </w:r>
      <w:r>
        <w:rPr>
          <w:b/>
        </w:rPr>
        <w:t>Medium</w:t>
      </w:r>
      <w:r>
        <w:t xml:space="preserve"> (inferred — interest; </w:t>
      </w:r>
      <w:r>
        <w:rPr>
          <w:b/>
        </w:rPr>
        <w:t>no Virginia-specific data on Guard members' civilian employers was found</w:t>
      </w:r>
      <w:r>
        <w:t>, and I am not treating this as documented).</w:t>
      </w:r>
    </w:p>
    <w:p>
      <w:r>
        <w:rPr>
          <w:b/>
        </w:rPr>
        <w:t>Flag to the Drafting Specialist and to the Editor.</w:t>
      </w:r>
      <w:r>
        <w:t xml:space="preserve"> If VNGA is the sponsor, the position paper's "how many people" paragraph has to be rewritten, because the current one leads with Plan 1 members and says nothing about which cohorts B 3 excludes. Red Team S-4 already requires that rewrite for accuracy; § 5's recommendation makes it also a political necessity.</w:t>
      </w:r>
    </w:p>
    <w:p>
      <w:pPr>
        <w:jc w:val="center"/>
      </w:pPr>
      <w:r>
        <w:rPr>
          <w:color w:val="909090"/>
          <w:sz w:val="18"/>
        </w:rPr>
        <w:t>* * *</w:t>
      </w:r>
    </w:p>
    <w:p>
      <w:pPr>
        <w:pStyle w:val="Heading2"/>
      </w:pPr>
      <w:r>
        <w:t>5. Sponsor candidates, ranked</w:t>
      </w:r>
    </w:p>
    <w:p>
      <w:r>
        <w:t xml:space="preserve">All 27 JLC seats are held by organisations qualifying under § 2.2-2681. Roster facts below are from the DVS JLC roster as indexed </w:t>
      </w:r>
      <w:r>
        <w:rPr>
          <w:b/>
        </w:rPr>
        <w:t>as of 2026-01-17</w:t>
      </w:r>
      <w:r>
        <w:t xml:space="preserve">; </w:t>
      </w:r>
      <w:r>
        <w:rPr>
          <w:b/>
        </w:rPr>
        <w:t>the DVS page itself remains HTTP 403 to automated retrieval, re-attempted 2026-10-25</w:t>
      </w:r>
      <w:r>
        <w:t xml:space="preserve"> (Annex C U-1), so roster rows are confirmed through the search index rather than from the page.</w:t>
      </w:r>
    </w:p>
    <w:p>
      <w:pPr>
        <w:pStyle w:val="Heading3"/>
      </w:pPr>
      <w:r>
        <w:t>Tier 1 — recommended</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Rank</w:t>
            </w:r>
          </w:p>
        </w:tc>
        <w:tc>
          <w:tcPr>
            <w:tcW w:type="dxa" w:w="1728"/>
          </w:tcPr>
          <w:p>
            <w:pPr>
              <w:spacing w:before="20" w:after="20"/>
              <w:jc w:val="left"/>
            </w:pPr>
            <w:r>
              <w:rPr>
                <w:b/>
                <w:sz w:val="17"/>
              </w:rPr>
              <w:t>Organisation</w:t>
            </w:r>
          </w:p>
        </w:tc>
        <w:tc>
          <w:tcPr>
            <w:tcW w:type="dxa" w:w="1728"/>
          </w:tcPr>
          <w:p>
            <w:pPr>
              <w:spacing w:before="20" w:after="20"/>
              <w:jc w:val="left"/>
            </w:pPr>
            <w:r>
              <w:rPr>
                <w:b/>
                <w:sz w:val="17"/>
              </w:rPr>
              <w:t>Read</w:t>
            </w:r>
          </w:p>
        </w:tc>
        <w:tc>
          <w:tcPr>
            <w:tcW w:type="dxa" w:w="1728"/>
          </w:tcPr>
          <w:p>
            <w:pPr>
              <w:spacing w:before="20" w:after="20"/>
              <w:jc w:val="left"/>
            </w:pPr>
            <w:r>
              <w:rPr>
                <w:b/>
                <w:sz w:val="17"/>
              </w:rPr>
              <w:t>Reason</w:t>
            </w:r>
          </w:p>
        </w:tc>
        <w:tc>
          <w:tcPr>
            <w:tcW w:type="dxa" w:w="1728"/>
          </w:tcPr>
          <w:p>
            <w:pPr>
              <w:spacing w:before="20" w:after="20"/>
              <w:jc w:val="left"/>
            </w:pPr>
            <w:r>
              <w:rPr>
                <w:b/>
                <w:sz w:val="17"/>
              </w:rPr>
              <w:t>Confidence</w:t>
            </w:r>
          </w:p>
        </w:tc>
      </w:tr>
      <w:tr>
        <w:tc>
          <w:tcPr>
            <w:tcW w:type="dxa" w:w="1728"/>
          </w:tcPr>
          <w:p>
            <w:pPr>
              <w:spacing w:before="20" w:after="20"/>
              <w:jc w:val="left"/>
            </w:pPr>
            <w:r>
              <w:rPr>
                <w:b/>
                <w:sz w:val="17"/>
              </w:rPr>
              <w:t>1</w:t>
            </w:r>
          </w:p>
        </w:tc>
        <w:tc>
          <w:tcPr>
            <w:tcW w:type="dxa" w:w="1728"/>
          </w:tcPr>
          <w:p>
            <w:pPr>
              <w:spacing w:before="20" w:after="20"/>
              <w:jc w:val="left"/>
            </w:pPr>
            <w:r>
              <w:rPr>
                <w:b/>
                <w:sz w:val="17"/>
              </w:rPr>
              <w:t>Virginia National Guard Association (VNGA)</w:t>
            </w:r>
          </w:p>
        </w:tc>
        <w:tc>
          <w:tcPr>
            <w:tcW w:type="dxa" w:w="1728"/>
          </w:tcPr>
          <w:p>
            <w:pPr>
              <w:spacing w:before="20" w:after="20"/>
              <w:jc w:val="left"/>
            </w:pPr>
            <w:r>
              <w:rPr>
                <w:b/>
                <w:sz w:val="17"/>
              </w:rPr>
              <w:t>Recommended sponsor of record.</w:t>
            </w:r>
          </w:p>
        </w:tc>
        <w:tc>
          <w:tcPr>
            <w:tcW w:type="dxa" w:w="1728"/>
          </w:tcPr>
          <w:p>
            <w:pPr>
              <w:spacing w:before="20" w:after="20"/>
              <w:jc w:val="left"/>
            </w:pPr>
            <w:r>
              <w:rPr>
                <w:sz w:val="17"/>
              </w:rPr>
              <w:t xml:space="preserve">Four reasons, three of them documented. (a) </w:t>
            </w:r>
            <w:r>
              <w:rPr>
                <w:b/>
                <w:sz w:val="17"/>
              </w:rPr>
              <w:t>Holds a JLC seat</w:t>
            </w:r>
            <w:r>
              <w:rPr>
                <w:sz w:val="17"/>
              </w:rPr>
              <w:t xml:space="preserve"> (roster as of 2026-01-17). (b) </w:t>
            </w:r>
            <w:r>
              <w:rPr>
                <w:b/>
                <w:sz w:val="17"/>
              </w:rPr>
              <w:t>The best initiative-conversion record on the Council</w:t>
            </w:r>
            <w:r>
              <w:rPr>
                <w:sz w:val="17"/>
              </w:rPr>
              <w:t xml:space="preserve">: two of the nine initiatives the JLC Legislative Committee forwarded in the 2026 cycle — increased Virginia National Guard tuition-assistance funding, and an increased appropriation for the Referral Enlistment Program — match two of the four priorities VNGA adopted at its own annual business meeting on </w:t>
            </w:r>
            <w:r>
              <w:rPr>
                <w:b/>
                <w:sz w:val="17"/>
              </w:rPr>
              <w:t>2025-04-26</w:t>
            </w:r>
            <w:r>
              <w:rPr>
                <w:sz w:val="17"/>
              </w:rPr>
              <w:t xml:space="preserve">. VNGA demonstrably moves its own adopted asks through this channel. (c) Its membership is the </w:t>
            </w:r>
            <w:r>
              <w:rPr>
                <w:b/>
                <w:sz w:val="17"/>
              </w:rPr>
              <w:t>one cohort whose eligibility § 51.1-142.2 B 3 affirmatively protects</w:t>
            </w:r>
            <w:r>
              <w:rPr>
                <w:sz w:val="17"/>
              </w:rPr>
              <w:t xml:space="preserve"> (§ 4). (d) It runs a </w:t>
            </w:r>
            <w:r>
              <w:rPr>
                <w:b/>
                <w:sz w:val="17"/>
              </w:rPr>
              <w:t>standing resolutions process</w:t>
            </w:r>
            <w:r>
              <w:rPr>
                <w:sz w:val="17"/>
              </w:rPr>
              <w:t>, which is the instrument an organisation needs to adopt a sponsorable position inside 53 days.</w:t>
            </w:r>
          </w:p>
        </w:tc>
        <w:tc>
          <w:tcPr>
            <w:tcW w:type="dxa" w:w="1728"/>
          </w:tcPr>
          <w:p>
            <w:pPr>
              <w:spacing w:before="20" w:after="20"/>
              <w:jc w:val="left"/>
            </w:pPr>
            <w:r>
              <w:rPr>
                <w:b/>
                <w:sz w:val="17"/>
              </w:rPr>
              <w:t>High</w:t>
            </w:r>
            <w:r>
              <w:rPr>
                <w:sz w:val="17"/>
              </w:rPr>
              <w:t xml:space="preserve"> on (a) and (b). </w:t>
            </w:r>
            <w:r>
              <w:rPr>
                <w:b/>
                <w:sz w:val="17"/>
              </w:rPr>
              <w:t>High</w:t>
            </w:r>
            <w:r>
              <w:rPr>
                <w:sz w:val="17"/>
              </w:rPr>
              <w:t xml:space="preserve"> on (c) (statute). </w:t>
            </w:r>
            <w:r>
              <w:rPr>
                <w:b/>
                <w:sz w:val="17"/>
              </w:rPr>
              <w:t>Medium</w:t>
            </w:r>
            <w:r>
              <w:rPr>
                <w:sz w:val="17"/>
              </w:rPr>
              <w:t xml:space="preserve"> on (d). </w:t>
            </w:r>
            <w:r>
              <w:rPr>
                <w:b/>
                <w:sz w:val="17"/>
              </w:rPr>
              <w:t>Medium</w:t>
            </w:r>
            <w:r>
              <w:rPr>
                <w:sz w:val="17"/>
              </w:rPr>
              <w:t xml:space="preserve"> on willingness — no VNGA position on VRS, pensions or public employment was found in either direction.</w:t>
            </w:r>
          </w:p>
        </w:tc>
      </w:tr>
    </w:tbl>
    <w:p>
      <w:pPr>
        <w:spacing w:before="0" w:after="0" w:line="80" w:lineRule="exact"/>
      </w:pPr>
      <w:r>
        <w:rPr>
          <w:sz w:val="8"/>
        </w:rPr>
      </w:r>
    </w:p>
    <w:p>
      <w:r>
        <w:rPr>
          <w:b/>
        </w:rPr>
        <w:t>The honest cost of recommending VNGA.</w:t>
      </w:r>
      <w:r>
        <w:t xml:space="preserve"> All four of VNGA's published 2026 priorities are Guard-specific and three are appropriation asks. This bill is broader than anything VNGA has carried — it reaches every VRS employer and every qualifying veteran public employee, not Guard members alone. Breadth is a reason an organisation declines to carry something. </w:t>
      </w:r>
      <w:r>
        <w:rPr>
          <w:b/>
        </w:rPr>
        <w:t>But it is also the reason it does not compete with VNGA's own slate</w:t>
      </w:r>
      <w:r>
        <w:t xml:space="preserve">, which is the problem Annex C § 3.4 identified: on the 2026 record, the JLC floor ranks large general-fund veteran tax asks above a $0-appropriation pension bill. A sponsor whose own asks are </w:t>
      </w:r>
      <w:r>
        <w:rPr>
          <w:i/>
        </w:rPr>
        <w:t>appropriations</w:t>
      </w:r>
      <w:r>
        <w:t xml:space="preserve"> has no reason to rank this one down.</w:t>
      </w:r>
    </w:p>
    <w:p>
      <w:pPr>
        <w:pStyle w:val="Heading3"/>
      </w:pPr>
      <w:r>
        <w:t>Tier 2 — route and capability, not sponsor of record</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Rank</w:t>
            </w:r>
          </w:p>
        </w:tc>
        <w:tc>
          <w:tcPr>
            <w:tcW w:type="dxa" w:w="1728"/>
          </w:tcPr>
          <w:p>
            <w:pPr>
              <w:spacing w:before="20" w:after="20"/>
              <w:jc w:val="left"/>
            </w:pPr>
            <w:r>
              <w:rPr>
                <w:b/>
                <w:sz w:val="17"/>
              </w:rPr>
              <w:t>Organisation</w:t>
            </w:r>
          </w:p>
        </w:tc>
        <w:tc>
          <w:tcPr>
            <w:tcW w:type="dxa" w:w="1728"/>
          </w:tcPr>
          <w:p>
            <w:pPr>
              <w:spacing w:before="20" w:after="20"/>
              <w:jc w:val="left"/>
            </w:pPr>
            <w:r>
              <w:rPr>
                <w:b/>
                <w:sz w:val="17"/>
              </w:rPr>
              <w:t>Read</w:t>
            </w:r>
          </w:p>
        </w:tc>
        <w:tc>
          <w:tcPr>
            <w:tcW w:type="dxa" w:w="1728"/>
          </w:tcPr>
          <w:p>
            <w:pPr>
              <w:spacing w:before="20" w:after="20"/>
              <w:jc w:val="left"/>
            </w:pPr>
            <w:r>
              <w:rPr>
                <w:b/>
                <w:sz w:val="17"/>
              </w:rPr>
              <w:t>Reason</w:t>
            </w:r>
          </w:p>
        </w:tc>
        <w:tc>
          <w:tcPr>
            <w:tcW w:type="dxa" w:w="1728"/>
          </w:tcPr>
          <w:p>
            <w:pPr>
              <w:spacing w:before="20" w:after="20"/>
              <w:jc w:val="left"/>
            </w:pPr>
            <w:r>
              <w:rPr>
                <w:b/>
                <w:sz w:val="17"/>
              </w:rPr>
              <w:t>Confidence</w:t>
            </w:r>
          </w:p>
        </w:tc>
      </w:tr>
      <w:tr>
        <w:tc>
          <w:tcPr>
            <w:tcW w:type="dxa" w:w="1728"/>
          </w:tcPr>
          <w:p>
            <w:pPr>
              <w:spacing w:before="20" w:after="20"/>
              <w:jc w:val="left"/>
            </w:pPr>
            <w:r>
              <w:rPr>
                <w:b/>
                <w:sz w:val="17"/>
              </w:rPr>
              <w:t>2</w:t>
            </w:r>
          </w:p>
        </w:tc>
        <w:tc>
          <w:tcPr>
            <w:tcW w:type="dxa" w:w="1728"/>
          </w:tcPr>
          <w:p>
            <w:pPr>
              <w:spacing w:before="20" w:after="20"/>
              <w:jc w:val="left"/>
            </w:pPr>
            <w:r>
              <w:rPr>
                <w:b/>
                <w:sz w:val="17"/>
              </w:rPr>
              <w:t>Association of the United States Army (AUSA)</w:t>
            </w:r>
          </w:p>
        </w:tc>
        <w:tc>
          <w:tcPr>
            <w:tcW w:type="dxa" w:w="1728"/>
          </w:tcPr>
          <w:p>
            <w:pPr>
              <w:spacing w:before="20" w:after="20"/>
              <w:jc w:val="left"/>
            </w:pPr>
            <w:r>
              <w:rPr>
                <w:b/>
                <w:sz w:val="17"/>
              </w:rPr>
              <w:t>The route, not the sponsor.</w:t>
            </w:r>
          </w:p>
        </w:tc>
        <w:tc>
          <w:tcPr>
            <w:tcW w:type="dxa" w:w="1728"/>
          </w:tcPr>
          <w:p>
            <w:pPr>
              <w:spacing w:before="20" w:after="20"/>
              <w:jc w:val="left"/>
            </w:pPr>
            <w:r>
              <w:rPr>
                <w:b/>
                <w:sz w:val="17"/>
              </w:rPr>
              <w:t>Glenn Yarborough, JLC Legislative Officer, is AUSA</w:t>
            </w:r>
            <w:r>
              <w:rPr>
                <w:sz w:val="17"/>
              </w:rPr>
              <w:t xml:space="preserve">, and he ran the initiative item in both the 2026 and 2027 cycles (JLC agendas 2026-03-17, 2026-04-14, 2026-06-10). Every path to the December agenda runs through that office. </w:t>
            </w:r>
            <w:r>
              <w:rPr>
                <w:b/>
                <w:sz w:val="17"/>
              </w:rPr>
              <w:t>But if the Legislative Officer's own organisation is also the sponsor, the screen and the sponsorship sit in the same place</w:t>
            </w:r>
            <w:r>
              <w:rPr>
                <w:sz w:val="17"/>
              </w:rPr>
              <w:t xml:space="preserve"> — efficient, and the first thing an adverse Council member names. Recommend AUSA as the approach route and a different organisation as sponsor of record.</w:t>
            </w:r>
          </w:p>
        </w:tc>
        <w:tc>
          <w:tcPr>
            <w:tcW w:type="dxa" w:w="1728"/>
          </w:tcPr>
          <w:p>
            <w:pPr>
              <w:spacing w:before="20" w:after="20"/>
              <w:jc w:val="left"/>
            </w:pPr>
            <w:r>
              <w:rPr>
                <w:b/>
                <w:sz w:val="17"/>
              </w:rPr>
              <w:t>High</w:t>
            </w:r>
            <w:r>
              <w:rPr>
                <w:sz w:val="17"/>
              </w:rPr>
              <w:t xml:space="preserve"> on the officer/organisation link and on the officer's role across both cycles. This is my judgment on the optics, not a documented position.</w:t>
            </w:r>
          </w:p>
        </w:tc>
      </w:tr>
      <w:tr>
        <w:tc>
          <w:tcPr>
            <w:tcW w:type="dxa" w:w="1728"/>
          </w:tcPr>
          <w:p>
            <w:pPr>
              <w:spacing w:before="20" w:after="20"/>
              <w:jc w:val="left"/>
            </w:pPr>
            <w:r>
              <w:rPr>
                <w:b/>
                <w:sz w:val="17"/>
              </w:rPr>
              <w:t>3</w:t>
            </w:r>
          </w:p>
        </w:tc>
        <w:tc>
          <w:tcPr>
            <w:tcW w:type="dxa" w:w="1728"/>
          </w:tcPr>
          <w:p>
            <w:pPr>
              <w:spacing w:before="20" w:after="20"/>
              <w:jc w:val="left"/>
            </w:pPr>
            <w:r>
              <w:rPr>
                <w:b/>
                <w:sz w:val="17"/>
              </w:rPr>
              <w:t>MOAA Virginia Council of Chapters (VCOC)</w:t>
            </w:r>
          </w:p>
        </w:tc>
        <w:tc>
          <w:tcPr>
            <w:tcW w:type="dxa" w:w="1728"/>
          </w:tcPr>
          <w:p>
            <w:pPr>
              <w:spacing w:before="20" w:after="20"/>
              <w:jc w:val="left"/>
            </w:pPr>
            <w:r>
              <w:rPr>
                <w:b/>
                <w:sz w:val="17"/>
              </w:rPr>
              <w:t>Capability partner. Not the face.</w:t>
            </w:r>
          </w:p>
        </w:tc>
        <w:tc>
          <w:tcPr>
            <w:tcW w:type="dxa" w:w="1728"/>
          </w:tcPr>
          <w:p>
            <w:pPr>
              <w:spacing w:before="20" w:after="20"/>
              <w:jc w:val="left"/>
            </w:pPr>
            <w:r>
              <w:rPr>
                <w:b/>
                <w:sz w:val="17"/>
              </w:rPr>
              <w:t>The most legislatively capable JLC member, documented:</w:t>
            </w:r>
            <w:r>
              <w:rPr>
                <w:sz w:val="17"/>
              </w:rPr>
              <w:t xml:space="preserve"> MOAA reports that removing the age requirement on Virginia's military retirement subtraction "was one of the top 2023 legislative priorities for the Joint Leadership Council of Veterans Service Organizations, which includes VCOC," and that VCOC supported the legislation. VCOC publishes a state legislative agenda, carries a standing legislative-affairs function, and "participates in the annual Joint Leadership Council Day in Richmond." </w:t>
            </w:r>
            <w:r>
              <w:rPr>
                <w:b/>
                <w:sz w:val="17"/>
              </w:rPr>
              <w:t>Why not the face:</w:t>
            </w:r>
            <w:r>
              <w:rPr>
                <w:sz w:val="17"/>
              </w:rPr>
              <w:t xml:space="preserve"> § 4 — a large share of its membership is barred by B 3's first limb. </w:t>
            </w:r>
            <w:r>
              <w:rPr>
                <w:b/>
                <w:sz w:val="17"/>
              </w:rPr>
              <w:t>And a documented negative:</w:t>
            </w:r>
            <w:r>
              <w:rPr>
                <w:sz w:val="17"/>
              </w:rPr>
              <w:t xml:space="preserve"> the published state legislative goals of its Virginia Peninsula chapter are VA claims-representative regulation, VMSDEP tuition funding, and a USPHS/NOAA income-exemption item — </w:t>
            </w:r>
            <w:r>
              <w:rPr>
                <w:b/>
                <w:sz w:val="17"/>
              </w:rPr>
              <w:t>nothing on state employment, retirement, pensions, VRS or service credit.</w:t>
            </w:r>
          </w:p>
        </w:tc>
        <w:tc>
          <w:tcPr>
            <w:tcW w:type="dxa" w:w="1728"/>
          </w:tcPr>
          <w:p>
            <w:pPr>
              <w:spacing w:before="20" w:after="20"/>
              <w:jc w:val="left"/>
            </w:pPr>
            <w:r>
              <w:rPr>
                <w:b/>
                <w:sz w:val="17"/>
              </w:rPr>
              <w:t>High</w:t>
            </w:r>
            <w:r>
              <w:rPr>
                <w:sz w:val="17"/>
              </w:rPr>
              <w:t xml:space="preserve"> on the JLC-channel record and on the statutory bar. </w:t>
            </w:r>
            <w:r>
              <w:rPr>
                <w:b/>
                <w:sz w:val="17"/>
              </w:rPr>
              <w:t>Medium</w:t>
            </w:r>
            <w:r>
              <w:rPr>
                <w:sz w:val="17"/>
              </w:rPr>
              <w:t xml:space="preserve"> on membership composition (inferred — interest; no breakdown located). </w:t>
            </w:r>
            <w:r>
              <w:rPr>
                <w:b/>
                <w:sz w:val="17"/>
              </w:rPr>
              <w:t>High</w:t>
            </w:r>
            <w:r>
              <w:rPr>
                <w:sz w:val="17"/>
              </w:rPr>
              <w:t xml:space="preserve"> on the published-goals negative, for what it is: one chapter, not the Council.</w:t>
            </w:r>
          </w:p>
        </w:tc>
      </w:tr>
    </w:tbl>
    <w:p>
      <w:pPr>
        <w:spacing w:before="0" w:after="0" w:line="80" w:lineRule="exact"/>
      </w:pPr>
      <w:r>
        <w:rPr>
          <w:sz w:val="8"/>
        </w:rPr>
      </w:r>
    </w:p>
    <w:p>
      <w:pPr>
        <w:pStyle w:val="Heading3"/>
      </w:pPr>
      <w:r>
        <w:t>Tier 3 — good cohort fit, no located Virginia legislative capability</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Organisation</w:t>
            </w:r>
          </w:p>
        </w:tc>
        <w:tc>
          <w:tcPr>
            <w:tcW w:type="dxa" w:w="2160"/>
          </w:tcPr>
          <w:p>
            <w:pPr>
              <w:spacing w:before="20" w:after="20"/>
              <w:jc w:val="left"/>
            </w:pPr>
            <w:r>
              <w:rPr>
                <w:b/>
                <w:sz w:val="17"/>
              </w:rPr>
              <w:t>Read</w:t>
            </w:r>
          </w:p>
        </w:tc>
        <w:tc>
          <w:tcPr>
            <w:tcW w:type="dxa" w:w="2160"/>
          </w:tcPr>
          <w:p>
            <w:pPr>
              <w:spacing w:before="20" w:after="20"/>
              <w:jc w:val="left"/>
            </w:pPr>
            <w:r>
              <w:rPr>
                <w:b/>
                <w:sz w:val="17"/>
              </w:rPr>
              <w:t>Reason</w:t>
            </w:r>
          </w:p>
        </w:tc>
        <w:tc>
          <w:tcPr>
            <w:tcW w:type="dxa" w:w="2160"/>
          </w:tcPr>
          <w:p>
            <w:pPr>
              <w:spacing w:before="20" w:after="20"/>
              <w:jc w:val="left"/>
            </w:pPr>
            <w:r>
              <w:rPr>
                <w:b/>
                <w:sz w:val="17"/>
              </w:rPr>
              <w:t>Confidence</w:t>
            </w:r>
          </w:p>
        </w:tc>
      </w:tr>
      <w:tr>
        <w:tc>
          <w:tcPr>
            <w:tcW w:type="dxa" w:w="2160"/>
          </w:tcPr>
          <w:p>
            <w:pPr>
              <w:spacing w:before="20" w:after="20"/>
              <w:jc w:val="left"/>
            </w:pPr>
            <w:r>
              <w:rPr>
                <w:b/>
                <w:sz w:val="17"/>
              </w:rPr>
              <w:t>Reserve Organization of America</w:t>
            </w:r>
          </w:p>
        </w:tc>
        <w:tc>
          <w:tcPr>
            <w:tcW w:type="dxa" w:w="2160"/>
          </w:tcPr>
          <w:p>
            <w:pPr>
              <w:spacing w:before="20" w:after="20"/>
              <w:jc w:val="left"/>
            </w:pPr>
            <w:r>
              <w:rPr>
                <w:b/>
                <w:sz w:val="17"/>
              </w:rPr>
              <w:t>Second-best fit on the merits.</w:t>
            </w:r>
          </w:p>
        </w:tc>
        <w:tc>
          <w:tcPr>
            <w:tcW w:type="dxa" w:w="2160"/>
          </w:tcPr>
          <w:p>
            <w:pPr>
              <w:spacing w:before="20" w:after="20"/>
              <w:jc w:val="left"/>
            </w:pPr>
            <w:r>
              <w:rPr>
                <w:sz w:val="17"/>
              </w:rPr>
              <w:t>Holds a JLC seat. Its members carry the same ch. 1223 protection as VNGA's (§ 4), so the cohort fit is as good. No Virginia state legislative program, resolutions process or JLC initiative was located.</w:t>
            </w:r>
          </w:p>
        </w:tc>
        <w:tc>
          <w:tcPr>
            <w:tcW w:type="dxa" w:w="2160"/>
          </w:tcPr>
          <w:p>
            <w:pPr>
              <w:spacing w:before="20" w:after="20"/>
              <w:jc w:val="left"/>
            </w:pPr>
            <w:r>
              <w:rPr>
                <w:b/>
                <w:sz w:val="17"/>
              </w:rPr>
              <w:t>High</w:t>
            </w:r>
            <w:r>
              <w:rPr>
                <w:sz w:val="17"/>
              </w:rPr>
              <w:t xml:space="preserve"> on the seat and the cohort fit; </w:t>
            </w:r>
            <w:r>
              <w:rPr>
                <w:b/>
                <w:sz w:val="17"/>
              </w:rPr>
              <w:t>Low</w:t>
            </w:r>
            <w:r>
              <w:rPr>
                <w:sz w:val="17"/>
              </w:rPr>
              <w:t xml:space="preserve"> on capability and willingness.</w:t>
            </w:r>
          </w:p>
        </w:tc>
      </w:tr>
      <w:tr>
        <w:tc>
          <w:tcPr>
            <w:tcW w:type="dxa" w:w="2160"/>
          </w:tcPr>
          <w:p>
            <w:pPr>
              <w:spacing w:before="20" w:after="20"/>
              <w:jc w:val="left"/>
            </w:pPr>
            <w:r>
              <w:rPr>
                <w:b/>
                <w:sz w:val="17"/>
              </w:rPr>
              <w:t>Fleet Reserve Association</w:t>
            </w:r>
            <w:r>
              <w:rPr>
                <w:sz w:val="17"/>
              </w:rPr>
              <w:t xml:space="preserve">, </w:t>
            </w:r>
            <w:r>
              <w:rPr>
                <w:b/>
                <w:sz w:val="17"/>
              </w:rPr>
              <w:t>Air Force Sergeants Association</w:t>
            </w:r>
            <w:r>
              <w:rPr>
                <w:sz w:val="17"/>
              </w:rPr>
              <w:t xml:space="preserve">, </w:t>
            </w:r>
            <w:r>
              <w:rPr>
                <w:b/>
                <w:sz w:val="17"/>
              </w:rPr>
              <w:t>AMVETS</w:t>
            </w:r>
            <w:r>
              <w:rPr>
                <w:sz w:val="17"/>
              </w:rPr>
              <w:t xml:space="preserve">, </w:t>
            </w:r>
            <w:r>
              <w:rPr>
                <w:b/>
                <w:sz w:val="17"/>
              </w:rPr>
              <w:t>Marine Corps League</w:t>
            </w:r>
          </w:p>
        </w:tc>
        <w:tc>
          <w:tcPr>
            <w:tcW w:type="dxa" w:w="2160"/>
          </w:tcPr>
          <w:p>
            <w:pPr>
              <w:spacing w:before="20" w:after="20"/>
              <w:jc w:val="left"/>
            </w:pPr>
            <w:r>
              <w:rPr>
                <w:sz w:val="17"/>
              </w:rPr>
              <w:t>Plausible on cohort, unsupported on capability.</w:t>
            </w:r>
          </w:p>
        </w:tc>
        <w:tc>
          <w:tcPr>
            <w:tcW w:type="dxa" w:w="2160"/>
          </w:tcPr>
          <w:p>
            <w:pPr>
              <w:spacing w:before="20" w:after="20"/>
              <w:jc w:val="left"/>
            </w:pPr>
            <w:r>
              <w:rPr>
                <w:sz w:val="17"/>
              </w:rPr>
              <w:t>All hold JLC seats. All are enlisted or short-service in membership, which is the cohort the bill serves (§ 4). No Virginia-specific legislative program or JLC initiative was located for any of them.</w:t>
            </w:r>
          </w:p>
        </w:tc>
        <w:tc>
          <w:tcPr>
            <w:tcW w:type="dxa" w:w="2160"/>
          </w:tcPr>
          <w:p>
            <w:pPr>
              <w:spacing w:before="20" w:after="20"/>
              <w:jc w:val="left"/>
            </w:pPr>
            <w:r>
              <w:rPr>
                <w:b/>
                <w:sz w:val="17"/>
              </w:rPr>
              <w:t>High</w:t>
            </w:r>
            <w:r>
              <w:rPr>
                <w:sz w:val="17"/>
              </w:rPr>
              <w:t xml:space="preserve"> on the seats; </w:t>
            </w:r>
            <w:r>
              <w:rPr>
                <w:b/>
                <w:sz w:val="17"/>
              </w:rPr>
              <w:t>Low</w:t>
            </w:r>
            <w:r>
              <w:rPr>
                <w:sz w:val="17"/>
              </w:rPr>
              <w:t xml:space="preserve"> (inferred — interest) on everything else.</w:t>
            </w:r>
          </w:p>
        </w:tc>
      </w:tr>
    </w:tbl>
    <w:p>
      <w:pPr>
        <w:spacing w:before="0" w:after="0" w:line="80" w:lineRule="exact"/>
      </w:pPr>
      <w:r>
        <w:rPr>
          <w:sz w:val="8"/>
        </w:rPr>
      </w:r>
    </w:p>
    <w:p>
      <w:pPr>
        <w:pStyle w:val="Heading3"/>
      </w:pPr>
      <w:r>
        <w:t>Tier 4 — large, formal, and slower than 53 days</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Organisation</w:t>
            </w:r>
          </w:p>
        </w:tc>
        <w:tc>
          <w:tcPr>
            <w:tcW w:type="dxa" w:w="2160"/>
          </w:tcPr>
          <w:p>
            <w:pPr>
              <w:spacing w:before="20" w:after="20"/>
              <w:jc w:val="left"/>
            </w:pPr>
            <w:r>
              <w:rPr>
                <w:b/>
                <w:sz w:val="17"/>
              </w:rPr>
              <w:t>Read</w:t>
            </w:r>
          </w:p>
        </w:tc>
        <w:tc>
          <w:tcPr>
            <w:tcW w:type="dxa" w:w="2160"/>
          </w:tcPr>
          <w:p>
            <w:pPr>
              <w:spacing w:before="20" w:after="20"/>
              <w:jc w:val="left"/>
            </w:pPr>
            <w:r>
              <w:rPr>
                <w:b/>
                <w:sz w:val="17"/>
              </w:rPr>
              <w:t>Reason</w:t>
            </w:r>
          </w:p>
        </w:tc>
        <w:tc>
          <w:tcPr>
            <w:tcW w:type="dxa" w:w="2160"/>
          </w:tcPr>
          <w:p>
            <w:pPr>
              <w:spacing w:before="20" w:after="20"/>
              <w:jc w:val="left"/>
            </w:pPr>
            <w:r>
              <w:rPr>
                <w:b/>
                <w:sz w:val="17"/>
              </w:rPr>
              <w:t>Confidence</w:t>
            </w:r>
          </w:p>
        </w:tc>
      </w:tr>
      <w:tr>
        <w:tc>
          <w:tcPr>
            <w:tcW w:type="dxa" w:w="2160"/>
          </w:tcPr>
          <w:p>
            <w:pPr>
              <w:spacing w:before="20" w:after="20"/>
              <w:jc w:val="left"/>
            </w:pPr>
            <w:r>
              <w:rPr>
                <w:b/>
                <w:sz w:val="17"/>
              </w:rPr>
              <w:t>The American Legion, Department of Virginia</w:t>
            </w:r>
            <w:r>
              <w:rPr>
                <w:sz w:val="17"/>
              </w:rPr>
              <w:t xml:space="preserve">; </w:t>
            </w:r>
            <w:r>
              <w:rPr>
                <w:b/>
                <w:sz w:val="17"/>
              </w:rPr>
              <w:t>Veterans of Foreign Wars, Department of Virginia</w:t>
            </w:r>
          </w:p>
        </w:tc>
        <w:tc>
          <w:tcPr>
            <w:tcW w:type="dxa" w:w="2160"/>
          </w:tcPr>
          <w:p>
            <w:pPr>
              <w:spacing w:before="20" w:after="20"/>
              <w:jc w:val="left"/>
            </w:pPr>
            <w:r>
              <w:rPr>
                <w:b/>
                <w:sz w:val="17"/>
              </w:rPr>
              <w:t>The right sponsors for the 2028 cycle; probably not for December.</w:t>
            </w:r>
          </w:p>
        </w:tc>
        <w:tc>
          <w:tcPr>
            <w:tcW w:type="dxa" w:w="2160"/>
          </w:tcPr>
          <w:p>
            <w:pPr>
              <w:spacing w:before="20" w:after="20"/>
              <w:jc w:val="left"/>
            </w:pPr>
            <w:r>
              <w:rPr>
                <w:sz w:val="17"/>
              </w:rPr>
              <w:t xml:space="preserve">These are the only members whose membership spans all three cohorts in § 4, so they alone can carry the claim that this reaches every qualifying veteran in Virginia public service — and the Legion reports 208 posts and 39,500+ members in Virginia. Both work by resolution through a legislative commission, which is the formal, durable instrument. </w:t>
            </w:r>
            <w:r>
              <w:rPr>
                <w:b/>
                <w:sz w:val="17"/>
              </w:rPr>
              <w:t>But:</w:t>
            </w:r>
            <w:r>
              <w:rPr>
                <w:sz w:val="17"/>
              </w:rPr>
              <w:t xml:space="preserve"> a search for any Department of Virginia position on VRS, pensions, service credit or public-employee retirement returned </w:t>
            </w:r>
            <w:r>
              <w:rPr>
                <w:b/>
                <w:sz w:val="17"/>
              </w:rPr>
              <w:t>nothing in either direction</w:t>
            </w:r>
            <w:r>
              <w:rPr>
                <w:sz w:val="17"/>
              </w:rPr>
              <w:t>, and a resolution process tied to department convention and national-organisation concurrence is slower than 53 days.</w:t>
            </w:r>
          </w:p>
        </w:tc>
        <w:tc>
          <w:tcPr>
            <w:tcW w:type="dxa" w:w="2160"/>
          </w:tcPr>
          <w:p>
            <w:pPr>
              <w:spacing w:before="20" w:after="20"/>
              <w:jc w:val="left"/>
            </w:pPr>
            <w:r>
              <w:rPr>
                <w:b/>
                <w:sz w:val="17"/>
              </w:rPr>
              <w:t>Low</w:t>
            </w:r>
            <w:r>
              <w:rPr>
                <w:sz w:val="17"/>
              </w:rPr>
              <w:t xml:space="preserve"> (inferred — interest). The negative search result is reported as a negative, not as evidence of opposition.</w:t>
            </w:r>
          </w:p>
        </w:tc>
      </w:tr>
    </w:tbl>
    <w:p>
      <w:pPr>
        <w:spacing w:before="0" w:after="0" w:line="80" w:lineRule="exact"/>
      </w:pPr>
      <w:r>
        <w:rPr>
          <w:sz w:val="8"/>
        </w:rPr>
      </w:r>
    </w:p>
    <w:p>
      <w:pPr>
        <w:pStyle w:val="Heading3"/>
      </w:pPr>
      <w:r>
        <w:t>Named non-candidates, so the list is honest</w:t>
      </w:r>
    </w:p>
    <w:p>
      <w:pPr>
        <w:pStyle w:val="ListBullet"/>
      </w:pPr>
      <w:r>
        <w:rPr>
          <w:b/>
        </w:rPr>
        <w:t>Student Veterans of America</w:t>
      </w:r>
      <w:r>
        <w:t xml:space="preserve"> — </w:t>
      </w:r>
      <w:r>
        <w:rPr>
          <w:b/>
        </w:rPr>
        <w:t>wrong cohort, and the mismatch is structural.</w:t>
      </w:r>
      <w:r>
        <w:t xml:space="preserve"> Its membership is the early-career veteran, who is </w:t>
      </w:r>
      <w:r>
        <w:rPr>
          <w:i/>
        </w:rPr>
        <w:t>inside</w:t>
      </w:r>
      <w:r>
        <w:t xml:space="preserve"> the existing 24-month window and already has access at the published rate. The bill's benefit is largest for mid- and late-career members. Confidence </w:t>
      </w:r>
      <w:r>
        <w:rPr>
          <w:b/>
        </w:rPr>
        <w:t>High</w:t>
      </w:r>
      <w:r>
        <w:t xml:space="preserve"> that the cohort does not match; </w:t>
      </w:r>
      <w:r>
        <w:rPr>
          <w:b/>
        </w:rPr>
        <w:t>Low</w:t>
      </w:r>
      <w:r>
        <w:t xml:space="preserve"> on any predicted position.</w:t>
      </w:r>
    </w:p>
    <w:p>
      <w:pPr>
        <w:pStyle w:val="ListBullet"/>
      </w:pPr>
      <w:r>
        <w:rPr>
          <w:b/>
        </w:rPr>
        <w:t>Disabled American Veterans</w:t>
      </w:r>
      <w:r>
        <w:t xml:space="preserve">, </w:t>
      </w:r>
      <w:r>
        <w:rPr>
          <w:b/>
        </w:rPr>
        <w:t>Paralyzed Veterans of America</w:t>
      </w:r>
      <w:r>
        <w:t xml:space="preserve">, </w:t>
      </w:r>
      <w:r>
        <w:rPr>
          <w:b/>
        </w:rPr>
        <w:t>Military Order of the Purple Heart</w:t>
      </w:r>
      <w:r>
        <w:t xml:space="preserve">, </w:t>
      </w:r>
      <w:r>
        <w:rPr>
          <w:b/>
        </w:rPr>
        <w:t>Legion of Valor</w:t>
      </w:r>
      <w:r>
        <w:t xml:space="preserve">, </w:t>
      </w:r>
      <w:r>
        <w:rPr>
          <w:b/>
        </w:rPr>
        <w:t>Navy SEAL Foundation</w:t>
      </w:r>
      <w:r>
        <w:t xml:space="preserve">, </w:t>
      </w:r>
      <w:r>
        <w:rPr>
          <w:b/>
        </w:rPr>
        <w:t>Hope for the Warriors</w:t>
      </w:r>
      <w:r>
        <w:t xml:space="preserve">, </w:t>
      </w:r>
      <w:r>
        <w:rPr>
          <w:b/>
        </w:rPr>
        <w:t>Navy Mutual Aid Association</w:t>
      </w:r>
      <w:r>
        <w:t xml:space="preserve">, </w:t>
      </w:r>
      <w:r>
        <w:rPr>
          <w:b/>
        </w:rPr>
        <w:t>Fifth Baptist Church Veterans Ministry</w:t>
      </w:r>
      <w:r>
        <w:t xml:space="preserve">, </w:t>
      </w:r>
      <w:r>
        <w:rPr>
          <w:b/>
        </w:rPr>
        <w:t>Missing in America Project</w:t>
      </w:r>
      <w:r>
        <w:t xml:space="preserve">, </w:t>
      </w:r>
      <w:r>
        <w:rPr>
          <w:b/>
        </w:rPr>
        <w:t>Northern Virginia Veterans Association</w:t>
      </w:r>
      <w:r>
        <w:t xml:space="preserve"> — service-delivery, benefits-claims, commemorative or welfare missions. No state-employment or retirement legislative function located for any of them. Confidence </w:t>
      </w:r>
      <w:r>
        <w:rPr>
          <w:b/>
        </w:rPr>
        <w:t>Low</w:t>
      </w:r>
      <w:r>
        <w:t xml:space="preserve"> (inferred — interest) in each case.</w:t>
      </w:r>
    </w:p>
    <w:p>
      <w:pPr>
        <w:pStyle w:val="ListBullet"/>
      </w:pPr>
      <w:r>
        <w:rPr>
          <w:b/>
        </w:rPr>
        <w:t>Air Force Association</w:t>
      </w:r>
      <w:r>
        <w:t xml:space="preserve">, </w:t>
      </w:r>
      <w:r>
        <w:rPr>
          <w:b/>
        </w:rPr>
        <w:t>Association of the U.S. Navy</w:t>
      </w:r>
      <w:r>
        <w:t xml:space="preserve">, </w:t>
      </w:r>
      <w:r>
        <w:rPr>
          <w:b/>
        </w:rPr>
        <w:t>Military Order of the World Wars</w:t>
      </w:r>
      <w:r>
        <w:t xml:space="preserve">, </w:t>
      </w:r>
      <w:r>
        <w:rPr>
          <w:b/>
        </w:rPr>
        <w:t>Vietnam Veterans of America</w:t>
      </w:r>
      <w:r>
        <w:t xml:space="preserve"> — national-policy or commemorative focus; VVA's membership is largely past the public-employment stage the bill reaches. Confidence </w:t>
      </w:r>
      <w:r>
        <w:rPr>
          <w:b/>
        </w:rPr>
        <w:t>Low</w:t>
      </w:r>
      <w:r>
        <w:t>.</w:t>
      </w:r>
    </w:p>
    <w:p>
      <w:pPr>
        <w:pStyle w:val="Heading3"/>
      </w:pPr>
      <w:r>
        <w:t>The recommended approach order, for JLCVSO to make or not make</w:t>
      </w:r>
    </w:p>
    <w:p>
      <w:pPr>
        <w:spacing w:after="60"/>
        <w:ind w:left="432" w:hanging="432"/>
      </w:pPr>
      <w:r>
        <w:rPr>
          <w:b/>
        </w:rPr>
        <w:t>1.</w:t>
        <w:tab/>
      </w:r>
      <w:r>
        <w:rPr>
          <w:b/>
        </w:rPr>
        <w:t>AUSA / the Legislative Officer</w:t>
      </w:r>
      <w:r>
        <w:t xml:space="preserve"> — to establish whether the December add-on item exists in the current Work Plan at all (U-8). </w:t>
      </w:r>
      <w:r>
        <w:rPr>
          <w:b/>
        </w:rPr>
        <w:t>This question comes before the sponsor question</w:t>
      </w:r>
      <w:r>
        <w:t>, because if the item has been dropped there is nothing to sponsor.</w:t>
      </w:r>
    </w:p>
    <w:p>
      <w:pPr>
        <w:spacing w:after="60"/>
        <w:ind w:left="432" w:hanging="432"/>
      </w:pPr>
      <w:r>
        <w:rPr>
          <w:b/>
        </w:rPr>
        <w:t>2.</w:t>
        <w:tab/>
      </w:r>
      <w:r>
        <w:rPr>
          <w:b/>
        </w:rPr>
        <w:t>VNGA</w:t>
      </w:r>
      <w:r>
        <w:t xml:space="preserve"> — as sponsor of record.</w:t>
      </w:r>
    </w:p>
    <w:p>
      <w:pPr>
        <w:spacing w:after="60"/>
        <w:ind w:left="432" w:hanging="432"/>
      </w:pPr>
      <w:r>
        <w:rPr>
          <w:b/>
        </w:rPr>
        <w:t>3.</w:t>
        <w:tab/>
      </w:r>
      <w:r>
        <w:rPr>
          <w:b/>
        </w:rPr>
        <w:t>MOAA VCOC</w:t>
      </w:r>
      <w:r>
        <w:t xml:space="preserve"> — as capability partner on the legislative mechanics, with the § 4 eligibility facts disclosed up front rather than discovered.</w:t>
      </w:r>
    </w:p>
    <w:p>
      <w:pPr>
        <w:spacing w:after="60"/>
        <w:ind w:left="432" w:hanging="432"/>
      </w:pPr>
      <w:r>
        <w:rPr>
          <w:b/>
        </w:rPr>
        <w:t>4.</w:t>
        <w:tab/>
      </w:r>
      <w:r>
        <w:rPr>
          <w:b/>
        </w:rPr>
        <w:t>The Legion and VFW Departments of Virginia</w:t>
      </w:r>
      <w:r>
        <w:t xml:space="preserve"> — for the 2028 cycle regardless of what happens in December, because a resolution adopted in 2027 is an asset the package does not currently have.</w:t>
      </w:r>
    </w:p>
    <w:p>
      <w:r>
        <w:rPr>
          <w:b/>
        </w:rPr>
        <w:t>None of this is an instruction to contact anyone.</w:t>
      </w:r>
      <w:r>
        <w:t xml:space="preserve"> It is the order of approach I would recommend if JLCVSO decides to make one.</w:t>
      </w:r>
    </w:p>
    <w:p>
      <w:pPr>
        <w:jc w:val="center"/>
      </w:pPr>
      <w:r>
        <w:rPr>
          <w:color w:val="909090"/>
          <w:sz w:val="18"/>
        </w:rPr>
        <w:t>* * *</w:t>
      </w:r>
    </w:p>
    <w:p>
      <w:pPr>
        <w:pStyle w:val="Heading2"/>
      </w:pPr>
      <w:r>
        <w:t>6. The JLC-format position paper — Council-submission draft</w:t>
      </w:r>
    </w:p>
    <w:p>
      <w:r>
        <w:rPr>
          <w:b/>
        </w:rPr>
        <w:t>What this is.</w:t>
      </w:r>
      <w:r>
        <w:t xml:space="preserve"> The JLC Work Plan asks members to submit "draft papers </w:t>
      </w:r>
      <w:r>
        <w:rPr>
          <w:b/>
        </w:rPr>
        <w:t>preferably in JLC format</w:t>
      </w:r>
      <w:r>
        <w:t xml:space="preserve">." </w:t>
      </w:r>
      <w:r>
        <w:rPr>
          <w:rFonts w:ascii="Consolas" w:hAnsi="Consolas"/>
          <w:color w:val="303030"/>
          <w:sz w:val="18"/>
        </w:rPr>
        <w:t>00-ONE-PAGE-BRIEF.md</w:t>
      </w:r>
      <w:r>
        <w:t xml:space="preserve"> v1.3 is already in that format and is the </w:t>
      </w:r>
      <w:r>
        <w:rPr>
          <w:i/>
        </w:rPr>
        <w:t>legislator</w:t>
      </w:r>
      <w:r>
        <w:t xml:space="preserve"> leave-behind. The Council-submission version differs in exactly three ways, and only those three sections are drafted here:</w:t>
      </w:r>
    </w:p>
    <w:p>
      <w:pPr>
        <w:spacing w:after="60"/>
        <w:ind w:left="432" w:hanging="432"/>
      </w:pPr>
      <w:r>
        <w:rPr>
          <w:b/>
        </w:rPr>
        <w:t>1.</w:t>
        <w:tab/>
      </w:r>
      <w:r>
        <w:t xml:space="preserve">it names the </w:t>
      </w:r>
      <w:r>
        <w:rPr>
          <w:b/>
        </w:rPr>
        <w:t>sponsoring member organisation</w:t>
      </w:r>
      <w:r>
        <w:t>;</w:t>
      </w:r>
    </w:p>
    <w:p>
      <w:pPr>
        <w:spacing w:after="60"/>
        <w:ind w:left="432" w:hanging="432"/>
      </w:pPr>
      <w:r>
        <w:rPr>
          <w:b/>
        </w:rPr>
        <w:t>2.</w:t>
        <w:tab/>
      </w:r>
      <w:r>
        <w:t xml:space="preserve">it answers </w:t>
      </w:r>
      <w:r>
        <w:rPr>
          <w:b/>
        </w:rPr>
        <w:t>"whose members does this help"</w:t>
      </w:r>
      <w:r>
        <w:t xml:space="preserve"> — the question a Council floor vote asks and a delegate does not;</w:t>
      </w:r>
    </w:p>
    <w:p>
      <w:pPr>
        <w:spacing w:after="60"/>
        <w:ind w:left="432" w:hanging="432"/>
      </w:pPr>
      <w:r>
        <w:rPr>
          <w:b/>
        </w:rPr>
        <w:t>3.</w:t>
        <w:tab/>
      </w:r>
      <w:r>
        <w:t xml:space="preserve">it carries the </w:t>
      </w:r>
      <w:r>
        <w:rPr>
          <w:b/>
        </w:rPr>
        <w:t>strategic-plan alignment</w:t>
      </w:r>
      <w:r>
        <w:t xml:space="preserve"> hook DVS presses for.</w:t>
      </w:r>
    </w:p>
    <w:p>
      <w:r>
        <w:rPr>
          <w:b/>
        </w:rPr>
        <w:t xml:space="preserve">Everything else is </w:t>
      </w:r>
      <w:r>
        <w:rPr>
          <w:rFonts w:ascii="Consolas" w:hAnsi="Consolas"/>
          <w:b/>
          <w:color w:val="303030"/>
          <w:sz w:val="18"/>
        </w:rPr>
        <w:t>00</w:t>
      </w:r>
      <w:r>
        <w:rPr>
          <w:b/>
        </w:rPr>
        <w:t xml:space="preserve"> v1.3 unchanged.</w:t>
      </w:r>
      <w:r>
        <w:t xml:space="preserve"> Do not maintain two bodies of text; when </w:t>
      </w:r>
      <w:r>
        <w:rPr>
          <w:rFonts w:ascii="Consolas" w:hAnsi="Consolas"/>
          <w:color w:val="303030"/>
          <w:sz w:val="18"/>
        </w:rPr>
        <w:t>00</w:t>
      </w:r>
      <w:r>
        <w:t xml:space="preserve"> changes, this changes with it.</w:t>
      </w:r>
    </w:p>
    <w:p>
      <w:pPr>
        <w:pStyle w:val="Heading3"/>
        <w:ind w:left="480"/>
      </w:pPr>
      <w:r>
        <w:t>INITIATIVE — [JLC 2027-__, number assigned by the Council]</w:t>
      </w:r>
    </w:p>
    <w:p>
      <w:pPr>
        <w:spacing w:before="120" w:after="120"/>
        <w:ind w:left="480"/>
      </w:pPr>
      <w:r>
        <w:rPr>
          <w:b/>
          <w:i/>
          <w:color w:val="444444"/>
          <w:sz w:val="20"/>
        </w:rPr>
        <w:t>Sponsoring member organisation:</w:t>
      </w:r>
      <w:r>
        <w:rPr>
          <w:i/>
          <w:color w:val="444444"/>
          <w:sz w:val="20"/>
        </w:rPr>
        <w:t xml:space="preserve"> _______________________ </w:t>
      </w:r>
      <w:r>
        <w:rPr>
          <w:i/>
          <w:color w:val="444444"/>
          <w:sz w:val="20"/>
        </w:rPr>
        <w:t>(§ 5 recommends the Virginia National Guard Association. Not approached. This line cannot be filled by the Virginia Policy Lab.)</w:t>
      </w:r>
    </w:p>
    <w:p>
      <w:pPr>
        <w:spacing w:before="120" w:after="120"/>
        <w:ind w:left="480"/>
      </w:pPr>
      <w:r>
        <w:rPr>
          <w:b/>
          <w:i/>
          <w:color w:val="444444"/>
          <w:sz w:val="20"/>
        </w:rPr>
        <w:t>Military service credit for veteran public employees — state, school division and local.</w:t>
      </w:r>
      <w:r>
        <w:rPr>
          <w:i/>
          <w:color w:val="444444"/>
          <w:sz w:val="20"/>
        </w:rPr>
        <w:t xml:space="preserve"> One change, in one Code section: </w:t>
      </w:r>
      <w:r>
        <w:rPr>
          <w:b/>
          <w:i/>
          <w:color w:val="444444"/>
          <w:sz w:val="20"/>
        </w:rPr>
        <w:t>§ 51.1-142.2</w:t>
      </w:r>
      <w:r>
        <w:rPr>
          <w:i/>
          <w:color w:val="444444"/>
          <w:sz w:val="20"/>
        </w:rPr>
        <w:t>.</w:t>
      </w:r>
    </w:p>
    <w:p>
      <w:pPr>
        <w:spacing w:before="120" w:after="120"/>
        <w:ind w:left="480"/>
      </w:pPr>
      <w:r>
        <w:rPr>
          <w:b/>
          <w:i/>
          <w:color w:val="444444"/>
          <w:sz w:val="20"/>
        </w:rPr>
        <w:t>OBJECTIVE</w:t>
      </w:r>
      <w:r>
        <w:rPr>
          <w:i/>
          <w:color w:val="444444"/>
          <w:sz w:val="20"/>
        </w:rPr>
        <w:t xml:space="preserve"> — </w:t>
      </w:r>
      <w:r>
        <w:rPr>
          <w:i/>
          <w:color w:val="444444"/>
          <w:sz w:val="20"/>
        </w:rPr>
        <w:t xml:space="preserve">carry </w:t>
      </w:r>
      <w:r>
        <w:rPr>
          <w:rFonts w:ascii="Consolas" w:hAnsi="Consolas"/>
          <w:i/>
          <w:color w:val="303030"/>
          <w:sz w:val="18"/>
        </w:rPr>
        <w:t>00</w:t>
      </w:r>
      <w:r>
        <w:rPr>
          <w:i/>
          <w:color w:val="444444"/>
          <w:sz w:val="20"/>
        </w:rPr>
        <w:t xml:space="preserve"> v1.3 verbatim.</w:t>
      </w:r>
    </w:p>
    <w:p>
      <w:pPr>
        <w:spacing w:before="120" w:after="120"/>
        <w:ind w:left="480"/>
      </w:pPr>
      <w:r>
        <w:rPr>
          <w:b/>
          <w:i/>
          <w:color w:val="444444"/>
          <w:sz w:val="20"/>
        </w:rPr>
        <w:t>DISCUSSION</w:t>
      </w:r>
      <w:r>
        <w:rPr>
          <w:i/>
          <w:color w:val="444444"/>
          <w:sz w:val="20"/>
        </w:rPr>
        <w:t xml:space="preserve"> — </w:t>
      </w:r>
      <w:r>
        <w:rPr>
          <w:i/>
          <w:color w:val="444444"/>
          <w:sz w:val="20"/>
        </w:rPr>
        <w:t xml:space="preserve">carry </w:t>
      </w:r>
      <w:r>
        <w:rPr>
          <w:rFonts w:ascii="Consolas" w:hAnsi="Consolas"/>
          <w:i/>
          <w:color w:val="303030"/>
          <w:sz w:val="18"/>
        </w:rPr>
        <w:t>00</w:t>
      </w:r>
      <w:r>
        <w:rPr>
          <w:i/>
          <w:color w:val="444444"/>
          <w:sz w:val="20"/>
        </w:rPr>
        <w:t xml:space="preserve"> v1.3 verbatim, and insert the following as its final paragraph.</w:t>
      </w:r>
    </w:p>
    <w:p>
      <w:pPr>
        <w:spacing w:before="120" w:after="120"/>
        <w:ind w:left="480"/>
      </w:pPr>
      <w:r>
        <w:rPr>
          <w:b/>
          <w:i/>
          <w:color w:val="444444"/>
          <w:sz w:val="20"/>
        </w:rPr>
        <w:t>Whose members this helps, stated plainly.</w:t>
      </w:r>
      <w:r>
        <w:rPr>
          <w:i/>
          <w:color w:val="444444"/>
          <w:sz w:val="20"/>
        </w:rPr>
        <w:t xml:space="preserve"> § 51.1-142.2 B 3 already bars a veteran from buying service that counts toward a military retirement they draw — </w:t>
      </w:r>
      <w:r>
        <w:rPr>
          <w:b/>
          <w:i/>
          <w:color w:val="444444"/>
          <w:sz w:val="20"/>
        </w:rPr>
        <w:t>except</w:t>
      </w:r>
      <w:r>
        <w:rPr>
          <w:i/>
          <w:color w:val="444444"/>
          <w:sz w:val="20"/>
        </w:rPr>
        <w:t xml:space="preserve">, by force of 10 U.S.C. ch. 1223, for </w:t>
      </w:r>
      <w:r>
        <w:rPr>
          <w:b/>
          <w:i/>
          <w:color w:val="444444"/>
          <w:sz w:val="20"/>
        </w:rPr>
        <w:t>Reserve and National Guard</w:t>
      </w:r>
      <w:r>
        <w:rPr>
          <w:i/>
          <w:color w:val="444444"/>
          <w:sz w:val="20"/>
        </w:rPr>
        <w:t xml:space="preserve"> service. So this initiative reaches, first, the veteran who served one or two enlistments and then went to work for Virginia; and second, </w:t>
      </w:r>
      <w:r>
        <w:rPr>
          <w:b/>
          <w:i/>
          <w:color w:val="444444"/>
          <w:sz w:val="20"/>
        </w:rPr>
        <w:t>the Guard and Reserve member or retiree, whose eligibility the Code protects expressly.</w:t>
      </w:r>
      <w:r>
        <w:rPr>
          <w:i/>
          <w:color w:val="444444"/>
          <w:sz w:val="20"/>
        </w:rPr>
        <w:t xml:space="preserve"> It does not reach the regular 20-year retiree, whose active duty already counts toward the pension they receive. A JLC initiative should say which of its own members it serves, and this is the answer.</w:t>
      </w:r>
    </w:p>
    <w:p>
      <w:pPr>
        <w:spacing w:before="120" w:after="120"/>
        <w:ind w:left="480"/>
      </w:pPr>
      <w:r>
        <w:rPr>
          <w:b/>
          <w:i/>
          <w:color w:val="444444"/>
          <w:sz w:val="20"/>
        </w:rPr>
        <w:t>COST</w:t>
      </w:r>
      <w:r>
        <w:rPr>
          <w:i/>
          <w:color w:val="444444"/>
          <w:sz w:val="20"/>
        </w:rPr>
        <w:t xml:space="preserve"> — </w:t>
      </w:r>
      <w:r>
        <w:rPr>
          <w:i/>
          <w:color w:val="444444"/>
          <w:sz w:val="20"/>
        </w:rPr>
        <w:t xml:space="preserve">carry </w:t>
      </w:r>
      <w:r>
        <w:rPr>
          <w:rFonts w:ascii="Consolas" w:hAnsi="Consolas"/>
          <w:i/>
          <w:color w:val="303030"/>
          <w:sz w:val="18"/>
        </w:rPr>
        <w:t>00</w:t>
      </w:r>
      <w:r>
        <w:rPr>
          <w:i/>
          <w:color w:val="444444"/>
          <w:sz w:val="20"/>
        </w:rPr>
        <w:t xml:space="preserve"> v1.3 verbatim. The figures below are reproduced only so this annex can be read on its own; they are the </w:t>
      </w:r>
      <w:r>
        <w:rPr>
          <w:i/>
          <w:color w:val="444444"/>
          <w:sz w:val="20"/>
        </w:rPr>
        <w:t>Fiscal &amp; Impact Modeler's</w:t>
      </w:r>
      <w:r>
        <w:rPr>
          <w:i/>
          <w:color w:val="444444"/>
          <w:sz w:val="20"/>
        </w:rPr>
        <w:t>, not mine, and must not be re-derived from here.</w:t>
      </w:r>
    </w:p>
    <w:p>
      <w:pPr>
        <w:pStyle w:val="ListBullet"/>
        <w:ind w:left="840"/>
      </w:pPr>
      <w:r>
        <w:rPr>
          <w:b/>
        </w:rPr>
        <w:t>This initiative requests no appropriation.</w:t>
      </w:r>
      <w:r>
        <w:t xml:space="preserve"> — the narrow claim; "General fund</w:t>
      </w:r>
    </w:p>
    <w:p>
      <w:pPr>
        <w:spacing w:before="120" w:after="120"/>
        <w:ind w:left="480"/>
      </w:pPr>
      <w:r>
        <w:rPr>
          <w:i/>
          <w:color w:val="444444"/>
          <w:sz w:val="20"/>
        </w:rPr>
        <w:t>cost: $0" is retracted package-wide, Red Team F-2.</w:t>
      </w:r>
    </w:p>
    <w:p>
      <w:pPr>
        <w:pStyle w:val="ListBullet"/>
        <w:ind w:left="840"/>
      </w:pPr>
      <w:r>
        <w:t xml:space="preserve">Modelled one-time cost to the Fund: </w:t>
      </w:r>
      <w:r>
        <w:rPr>
          <w:b/>
        </w:rPr>
        <w:t>$28 million to $166 million</w:t>
      </w:r>
      <w:r>
        <w:t xml:space="preserve"> — inherited from</w:t>
      </w:r>
    </w:p>
    <w:p>
      <w:pPr>
        <w:spacing w:before="120" w:after="120"/>
        <w:ind w:left="480"/>
      </w:pPr>
      <w:r>
        <w:rPr>
          <w:rFonts w:ascii="Consolas" w:hAnsi="Consolas"/>
          <w:i/>
          <w:color w:val="303030"/>
          <w:sz w:val="18"/>
        </w:rPr>
        <w:t>00</w:t>
      </w:r>
      <w:r>
        <w:rPr>
          <w:i/>
          <w:color w:val="444444"/>
          <w:sz w:val="20"/>
        </w:rPr>
        <w:t xml:space="preserve"> v1.3, the current package authority; supersedes "$13M–$182M" and "$26M–$182M", both retracted.</w:t>
      </w:r>
    </w:p>
    <w:p>
      <w:pPr>
        <w:pStyle w:val="ListBullet"/>
        <w:ind w:left="840"/>
      </w:pPr>
      <w:r>
        <w:t xml:space="preserve">Amortised: </w:t>
      </w:r>
      <w:r>
        <w:rPr>
          <w:b/>
        </w:rPr>
        <w:t>about 1 to 4 basis points</w:t>
      </w:r>
      <w:r>
        <w:t xml:space="preserve"> on employer contribution rates over 20</w:t>
      </w:r>
    </w:p>
    <w:p>
      <w:pPr>
        <w:spacing w:before="120" w:after="120"/>
        <w:ind w:left="480"/>
      </w:pPr>
      <w:r>
        <w:rPr>
          <w:i/>
          <w:color w:val="444444"/>
          <w:sz w:val="20"/>
        </w:rPr>
        <w:t xml:space="preserve">years, against statewide employer rates of 14%–20% — inherited from </w:t>
      </w:r>
      <w:r>
        <w:rPr>
          <w:rFonts w:ascii="Consolas" w:hAnsi="Consolas"/>
          <w:i/>
          <w:color w:val="303030"/>
          <w:sz w:val="18"/>
        </w:rPr>
        <w:t>01</w:t>
      </w:r>
      <w:r>
        <w:rPr>
          <w:i/>
          <w:color w:val="444444"/>
          <w:sz w:val="20"/>
        </w:rPr>
        <w:t xml:space="preserve"> v1.2.</w:t>
      </w:r>
    </w:p>
    <w:p>
      <w:pPr>
        <w:pStyle w:val="ListBullet"/>
        <w:ind w:left="840"/>
      </w:pPr>
      <w:r>
        <w:t xml:space="preserve">The range is wide because </w:t>
      </w:r>
      <w:r>
        <w:rPr>
          <w:b/>
        </w:rPr>
        <w:t>nobody outside VRS knows how many veterans will buy.</w:t>
      </w:r>
    </w:p>
    <w:p>
      <w:pPr>
        <w:spacing w:before="120" w:after="120"/>
        <w:ind w:left="480"/>
      </w:pPr>
      <w:r>
        <w:rPr>
          <w:i/>
          <w:color w:val="444444"/>
          <w:sz w:val="20"/>
        </w:rPr>
        <w:t xml:space="preserve">VRS must file its own statement under § 30-19.1:7. </w:t>
      </w:r>
      <w:r>
        <w:rPr>
          <w:b/>
          <w:i/>
          <w:color w:val="444444"/>
          <w:sz w:val="20"/>
        </w:rPr>
        <w:t>JLCVSO has asked VRS for the data.</w:t>
      </w:r>
    </w:p>
    <w:p>
      <w:pPr>
        <w:spacing w:before="120" w:after="120"/>
        <w:ind w:left="480"/>
      </w:pPr>
      <w:r>
        <w:rPr>
          <w:b/>
          <w:i/>
          <w:color w:val="444444"/>
          <w:sz w:val="20"/>
        </w:rPr>
        <w:t>RECOMMENDATION</w:t>
      </w:r>
      <w:r>
        <w:rPr>
          <w:i/>
          <w:color w:val="444444"/>
          <w:sz w:val="20"/>
        </w:rPr>
        <w:t xml:space="preserve"> — carry </w:t>
      </w:r>
      <w:r>
        <w:rPr>
          <w:rFonts w:ascii="Consolas" w:hAnsi="Consolas"/>
          <w:i/>
          <w:color w:val="303030"/>
          <w:sz w:val="18"/>
        </w:rPr>
        <w:t>00</w:t>
      </w:r>
      <w:r>
        <w:rPr>
          <w:i/>
          <w:color w:val="444444"/>
          <w:sz w:val="20"/>
        </w:rPr>
        <w:t xml:space="preserve"> v1.3 verbatim, subject to the open drafting choice that Red Team F-1 forces (Annex A Q3a/Q12): whether the cost control is a Board rate schedule or a </w:t>
      </w:r>
      <w:r>
        <w:rPr>
          <w:b/>
          <w:i/>
          <w:color w:val="444444"/>
          <w:sz w:val="20"/>
        </w:rPr>
        <w:t>statutory recovery floor on the Ohio ORC § 145.301 model</w:t>
      </w:r>
      <w:r>
        <w:rPr>
          <w:i/>
          <w:color w:val="444444"/>
          <w:sz w:val="20"/>
        </w:rPr>
        <w:t xml:space="preserve">. Annex C § 5 recommends the floor. </w:t>
      </w:r>
      <w:r>
        <w:rPr>
          <w:b/>
          <w:i/>
          <w:color w:val="444444"/>
          <w:sz w:val="20"/>
        </w:rPr>
        <w:t>This is not settled, and the position paper cannot go to the Council until it is.</w:t>
      </w:r>
    </w:p>
    <w:p>
      <w:pPr>
        <w:spacing w:before="120" w:after="120"/>
        <w:ind w:left="480"/>
      </w:pPr>
      <w:r>
        <w:rPr>
          <w:b/>
          <w:i/>
          <w:color w:val="444444"/>
          <w:sz w:val="20"/>
        </w:rPr>
        <w:t>ALIGNMENT WITH THE VIRGINIA VETERANS STRATEGIC PLAN</w:t>
      </w:r>
      <w:r>
        <w:rPr>
          <w:i/>
          <w:color w:val="444444"/>
          <w:sz w:val="20"/>
        </w:rPr>
        <w:t xml:space="preserve"> — </w:t>
      </w:r>
      <w:r>
        <w:rPr>
          <w:b/>
          <w:i/>
          <w:color w:val="444444"/>
          <w:sz w:val="20"/>
        </w:rPr>
        <w:t>not drafted.</w:t>
      </w:r>
      <w:r>
        <w:rPr>
          <w:i/>
          <w:color w:val="444444"/>
          <w:sz w:val="20"/>
        </w:rPr>
        <w:t xml:space="preserve"> DVS's institutional practice is to press members to tie initiatives to the strategic plan (Annex C § 3.4). Owner: Policy Director. </w:t>
      </w:r>
      <w:r>
        <w:rPr>
          <w:b/>
          <w:i/>
          <w:color w:val="444444"/>
          <w:sz w:val="20"/>
        </w:rPr>
        <w:t>One asset exists already:</w:t>
      </w:r>
      <w:r>
        <w:rPr>
          <w:i/>
          <w:color w:val="444444"/>
          <w:sz w:val="20"/>
        </w:rPr>
        <w:t xml:space="preserve"> on 2019-12-18 the JLC itself received </w:t>
      </w:r>
      <w:r>
        <w:rPr>
          <w:i/>
          <w:color w:val="444444"/>
          <w:sz w:val="20"/>
        </w:rPr>
        <w:t>Report on Military Service as Credit for Teachers</w:t>
      </w:r>
      <w:r>
        <w:rPr>
          <w:i/>
          <w:color w:val="444444"/>
          <w:sz w:val="20"/>
        </w:rPr>
        <w:t xml:space="preserve"> and its recommendation to "request collection of veteran data by the Virginia Department of Education." </w:t>
      </w:r>
      <w:r>
        <w:rPr>
          <w:b/>
          <w:i/>
          <w:color w:val="444444"/>
          <w:sz w:val="20"/>
        </w:rPr>
        <w:t>This initiative is the same Council returning to the same subject</w:t>
      </w:r>
      <w:r>
        <w:rPr>
          <w:i/>
          <w:color w:val="444444"/>
          <w:sz w:val="20"/>
        </w:rPr>
        <w:t xml:space="preserve"> — and the veteran-data gap that recommendation identified is still open (DHRM: 69% unknown veteran status). </w:t>
      </w:r>
      <w:r>
        <w:rPr>
          <w:b/>
          <w:i/>
          <w:color w:val="444444"/>
          <w:sz w:val="20"/>
        </w:rPr>
        <w:t>Label it carefully: that proceeding concerned credit on the teacher salary scale, not creditable service under § 51.1-142.2.</w:t>
      </w:r>
    </w:p>
    <w:p>
      <w:r>
        <w:rPr>
          <w:b/>
        </w:rPr>
        <w:t>Two blockers on this document, both outside my lane and both real.</w:t>
      </w:r>
    </w:p>
    <w:p>
      <w:pPr>
        <w:spacing w:after="60"/>
        <w:ind w:left="432" w:hanging="432"/>
      </w:pPr>
      <w:r>
        <w:rPr>
          <w:b/>
        </w:rPr>
        <w:t>1.</w:t>
        <w:tab/>
      </w:r>
      <w:r>
        <w:rPr>
          <w:b/>
        </w:rPr>
        <w:t xml:space="preserve">Print clearance for </w:t>
      </w:r>
      <w:r>
        <w:rPr>
          <w:rFonts w:ascii="Consolas" w:hAnsi="Consolas"/>
          <w:b/>
          <w:color w:val="303030"/>
          <w:sz w:val="18"/>
        </w:rPr>
        <w:t>00</w:t>
      </w:r>
      <w:r>
        <w:rPr>
          <w:b/>
        </w:rPr>
        <w:t xml:space="preserve"> v1.3 has not been given</w:t>
      </w:r>
      <w:r>
        <w:t xml:space="preserve"> — it is the Policy Director's call and the brief README records it as not given. This draft inherits that hold.</w:t>
      </w:r>
    </w:p>
    <w:p>
      <w:pPr>
        <w:spacing w:after="60"/>
        <w:ind w:left="432" w:hanging="432"/>
      </w:pPr>
      <w:r>
        <w:rPr>
          <w:b/>
        </w:rPr>
        <w:t>2.</w:t>
        <w:tab/>
      </w:r>
      <w:r>
        <w:rPr>
          <w:b/>
        </w:rPr>
        <w:t>Red Team F-1's drafting choice is open.</w:t>
      </w:r>
      <w:r>
        <w:t xml:space="preserve"> The RECOMMENDATION section cannot be finalised while the cost-control instrument is undecided (Annex A Q3a, Q12).</w:t>
      </w:r>
    </w:p>
    <w:p>
      <w:pPr>
        <w:jc w:val="center"/>
      </w:pPr>
      <w:r>
        <w:rPr>
          <w:color w:val="909090"/>
          <w:sz w:val="18"/>
        </w:rPr>
        <w:t>* * *</w:t>
      </w:r>
    </w:p>
    <w:p>
      <w:pPr>
        <w:pStyle w:val="Heading2"/>
      </w:pPr>
      <w:r>
        <w:t>7. The patron list, and what has to be true by December 17</w:t>
      </w:r>
    </w:p>
    <w:p>
      <w:r>
        <w:t xml:space="preserve">The December meeting also "review[s] [the] list of approved General Assembly Patrons." That makes the patron question a </w:t>
      </w:r>
      <w:r>
        <w:rPr>
          <w:b/>
        </w:rPr>
        <w:t>December</w:t>
      </w:r>
      <w:r>
        <w:t xml:space="preserve"> question, not a January one.</w:t>
      </w:r>
    </w:p>
    <w:p>
      <w:pPr>
        <w:pStyle w:val="ListBullet"/>
      </w:pPr>
      <w:r>
        <w:t xml:space="preserve">Annex C § 8 recommends </w:t>
      </w:r>
      <w:r>
        <w:rPr>
          <w:b/>
        </w:rPr>
        <w:t>Senate first</w:t>
      </w:r>
      <w:r>
        <w:t xml:space="preserve">, with </w:t>
      </w:r>
      <w:r>
        <w:rPr>
          <w:b/>
        </w:rPr>
        <w:t>Sen. Bryce E. Reeves</w:t>
      </w:r>
      <w:r>
        <w:t xml:space="preserve"> as chief patron. That recommendation rests partly on his reported </w:t>
      </w:r>
      <w:r>
        <w:rPr>
          <w:b/>
        </w:rPr>
        <w:t>GAMVC co-chair</w:t>
      </w:r>
      <w:r>
        <w:t xml:space="preserve"> role, sourced to a 2018-era item and labelled </w:t>
      </w:r>
      <w:r>
        <w:rPr>
          <w:b/>
        </w:rPr>
        <w:t>Low–Medium</w:t>
      </w:r>
      <w:r>
        <w:t xml:space="preserve">. </w:t>
      </w:r>
      <w:r>
        <w:rPr>
          <w:b/>
        </w:rPr>
        <w:t>Annex C U-2 is unresolved and the recommendation must not be acted on unverified.</w:t>
      </w:r>
    </w:p>
    <w:p>
      <w:pPr>
        <w:pStyle w:val="ListBullet"/>
      </w:pPr>
      <w:r>
        <w:t xml:space="preserve">The cheap resolution is now visible: the </w:t>
      </w:r>
      <w:r>
        <w:rPr>
          <w:b/>
        </w:rPr>
        <w:t>2026-04-14 Legislative Committee agenda</w:t>
      </w:r>
      <w:r>
        <w:t xml:space="preserve"> records that the JLC discusses its initiatives "with DVS and with </w:t>
      </w:r>
      <w:r>
        <w:rPr>
          <w:b/>
        </w:rPr>
        <w:t>GAMVC members</w:t>
      </w:r>
      <w:r>
        <w:t xml:space="preserve">" as standing practice, which implies the </w:t>
      </w:r>
      <w:r>
        <w:rPr>
          <w:b/>
        </w:rPr>
        <w:t>Legislative Officer holds a working caucus list</w:t>
      </w:r>
      <w:r>
        <w:t xml:space="preserve">. The roster question and the sponsor question are reachable in the same approach. Confidence </w:t>
      </w:r>
      <w:r>
        <w:rPr>
          <w:b/>
        </w:rPr>
        <w:t>High</w:t>
      </w:r>
      <w:r>
        <w:t xml:space="preserve"> that the practice exists (primary agenda); </w:t>
      </w:r>
      <w:r>
        <w:rPr>
          <w:b/>
        </w:rPr>
        <w:t>Medium</w:t>
      </w:r>
      <w:r>
        <w:t xml:space="preserve"> that a list exists in a usable form (inferred from the agenda language).</w:t>
      </w:r>
    </w:p>
    <w:p>
      <w:pPr>
        <w:pStyle w:val="ListBullet"/>
      </w:pPr>
      <w:r>
        <w:rPr>
          <w:b/>
        </w:rPr>
        <w:t>The sequencing point:</w:t>
      </w:r>
      <w:r>
        <w:t xml:space="preserve"> a patron confirmed on 2026-12-17 has </w:t>
      </w:r>
      <w:r>
        <w:rPr>
          <w:b/>
        </w:rPr>
        <w:t>27 days</w:t>
      </w:r>
      <w:r>
        <w:t xml:space="preserve"> to convening. See § 2.</w:t>
      </w:r>
    </w:p>
    <w:p>
      <w:pPr>
        <w:jc w:val="center"/>
      </w:pPr>
      <w:r>
        <w:rPr>
          <w:color w:val="909090"/>
          <w:sz w:val="18"/>
        </w:rPr>
        <w:t>* * *</w:t>
      </w:r>
    </w:p>
    <w:p>
      <w:pPr>
        <w:pStyle w:val="Heading2"/>
      </w:pPr>
      <w:r>
        <w:t>8. The 2028 fallback, stated fairly</w:t>
      </w:r>
    </w:p>
    <w:p>
      <w:r>
        <w:t>Annex C named the slip as "a full year's delay… named rather than discovered." Naming it fairly means naming its advantages, which are real.</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p>
        </w:tc>
        <w:tc>
          <w:tcPr>
            <w:tcW w:type="dxa" w:w="2880"/>
          </w:tcPr>
          <w:p>
            <w:pPr>
              <w:spacing w:before="20" w:after="20"/>
              <w:jc w:val="left"/>
            </w:pPr>
            <w:r>
              <w:rPr>
                <w:b/>
                <w:sz w:val="17"/>
              </w:rPr>
              <w:t>Seek the 2027 slate on 2026-12-17</w:t>
            </w:r>
          </w:p>
        </w:tc>
        <w:tc>
          <w:tcPr>
            <w:tcW w:type="dxa" w:w="2880"/>
          </w:tcPr>
          <w:p>
            <w:pPr>
              <w:spacing w:before="20" w:after="20"/>
              <w:jc w:val="left"/>
            </w:pPr>
            <w:r>
              <w:rPr>
                <w:b/>
                <w:sz w:val="17"/>
              </w:rPr>
              <w:t>Accept the slip to 2028</w:t>
            </w:r>
          </w:p>
        </w:tc>
      </w:tr>
      <w:tr>
        <w:tc>
          <w:tcPr>
            <w:tcW w:type="dxa" w:w="2880"/>
          </w:tcPr>
          <w:p>
            <w:pPr>
              <w:spacing w:before="20" w:after="20"/>
              <w:jc w:val="left"/>
            </w:pPr>
            <w:r>
              <w:rPr>
                <w:b/>
                <w:sz w:val="17"/>
              </w:rPr>
              <w:t>Calendar</w:t>
            </w:r>
          </w:p>
        </w:tc>
        <w:tc>
          <w:tcPr>
            <w:tcW w:type="dxa" w:w="2880"/>
          </w:tcPr>
          <w:p>
            <w:pPr>
              <w:spacing w:before="20" w:after="20"/>
              <w:jc w:val="left"/>
            </w:pPr>
            <w:r>
              <w:rPr>
                <w:sz w:val="17"/>
              </w:rPr>
              <w:t>53 days to the gate; 27 days from gate to convening.</w:t>
            </w:r>
          </w:p>
        </w:tc>
        <w:tc>
          <w:tcPr>
            <w:tcW w:type="dxa" w:w="2880"/>
          </w:tcPr>
          <w:p>
            <w:pPr>
              <w:spacing w:before="20" w:after="20"/>
              <w:jc w:val="left"/>
            </w:pPr>
            <w:r>
              <w:rPr>
                <w:sz w:val="17"/>
              </w:rPr>
              <w:t xml:space="preserve">Spring 2027 call → submit </w:t>
            </w:r>
            <w:r>
              <w:rPr>
                <w:b/>
                <w:sz w:val="17"/>
              </w:rPr>
              <w:t>NLT 2027-06-15</w:t>
            </w:r>
            <w:r>
              <w:rPr>
                <w:sz w:val="17"/>
              </w:rPr>
              <w:t xml:space="preserve"> → summer sponsor presentation and Council vote → Aug–Oct position paper and DVS technical review, member feedback NLT 2027-09-15 → fall 2027 adopt and prioritise → Dec 2027 patron list.</w:t>
            </w:r>
          </w:p>
        </w:tc>
      </w:tr>
      <w:tr>
        <w:tc>
          <w:tcPr>
            <w:tcW w:type="dxa" w:w="2880"/>
          </w:tcPr>
          <w:p>
            <w:pPr>
              <w:spacing w:before="20" w:after="20"/>
              <w:jc w:val="left"/>
            </w:pPr>
            <w:r>
              <w:rPr>
                <w:b/>
                <w:sz w:val="17"/>
              </w:rPr>
              <w:t>Session</w:t>
            </w:r>
          </w:p>
        </w:tc>
        <w:tc>
          <w:tcPr>
            <w:tcW w:type="dxa" w:w="2880"/>
          </w:tcPr>
          <w:p>
            <w:pPr>
              <w:spacing w:before="20" w:after="20"/>
              <w:jc w:val="left"/>
            </w:pPr>
            <w:r>
              <w:rPr>
                <w:b/>
                <w:sz w:val="17"/>
              </w:rPr>
              <w:t>2027 is the short session</w:t>
            </w:r>
            <w:r>
              <w:rPr>
                <w:sz w:val="17"/>
              </w:rPr>
              <w:t xml:space="preserve"> — 30 days, conventionally 45. Annex C § 4.3: in a short session the tabling motion gets easier, because tabling is the cheapest way to clear a docket.</w:t>
            </w:r>
          </w:p>
        </w:tc>
        <w:tc>
          <w:tcPr>
            <w:tcW w:type="dxa" w:w="2880"/>
          </w:tcPr>
          <w:p>
            <w:pPr>
              <w:spacing w:before="20" w:after="20"/>
              <w:jc w:val="left"/>
            </w:pPr>
            <w:r>
              <w:rPr>
                <w:b/>
                <w:sz w:val="17"/>
              </w:rPr>
              <w:t>2028 is the long session</w:t>
            </w:r>
            <w:r>
              <w:rPr>
                <w:sz w:val="17"/>
              </w:rPr>
              <w:t xml:space="preserve"> — roughly 60 days. More hearing time per bill in the one subcommittee that decides this.</w:t>
            </w:r>
          </w:p>
        </w:tc>
      </w:tr>
      <w:tr>
        <w:tc>
          <w:tcPr>
            <w:tcW w:type="dxa" w:w="2880"/>
          </w:tcPr>
          <w:p>
            <w:pPr>
              <w:spacing w:before="20" w:after="20"/>
              <w:jc w:val="left"/>
            </w:pPr>
            <w:r>
              <w:rPr>
                <w:b/>
                <w:sz w:val="17"/>
              </w:rPr>
              <w:t>Package readiness</w:t>
            </w:r>
          </w:p>
        </w:tc>
        <w:tc>
          <w:tcPr>
            <w:tcW w:type="dxa" w:w="2880"/>
          </w:tcPr>
          <w:p>
            <w:pPr>
              <w:spacing w:before="20" w:after="20"/>
              <w:jc w:val="left"/>
            </w:pPr>
            <w:r>
              <w:rPr>
                <w:b/>
                <w:sz w:val="17"/>
              </w:rPr>
              <w:t>Three substantive items open</w:t>
            </w:r>
            <w:r>
              <w:rPr>
                <w:sz w:val="17"/>
              </w:rPr>
              <w:t>: F-1's drafting choice (Annex A Q3a/Q12), the VRS data request (Q1–Q5), and Red Team S-4's two eligibility limbs. The § 30-19.1:7 statement arrives within days of prefiling and cannot be reacted to.</w:t>
            </w:r>
          </w:p>
        </w:tc>
        <w:tc>
          <w:tcPr>
            <w:tcW w:type="dxa" w:w="2880"/>
          </w:tcPr>
          <w:p>
            <w:pPr>
              <w:spacing w:before="20" w:after="20"/>
              <w:jc w:val="left"/>
            </w:pPr>
            <w:r>
              <w:rPr>
                <w:sz w:val="17"/>
              </w:rPr>
              <w:t>All three closeable first. A bill that has VRS's own numbers in hand before prefiling is a materially different bill in front of this subcommittee.</w:t>
            </w:r>
          </w:p>
        </w:tc>
      </w:tr>
      <w:tr>
        <w:tc>
          <w:tcPr>
            <w:tcW w:type="dxa" w:w="2880"/>
          </w:tcPr>
          <w:p>
            <w:pPr>
              <w:spacing w:before="20" w:after="20"/>
              <w:jc w:val="left"/>
            </w:pPr>
            <w:r>
              <w:rPr>
                <w:b/>
                <w:sz w:val="17"/>
              </w:rPr>
              <w:t>Sponsor</w:t>
            </w:r>
          </w:p>
        </w:tc>
        <w:tc>
          <w:tcPr>
            <w:tcW w:type="dxa" w:w="2880"/>
          </w:tcPr>
          <w:p>
            <w:pPr>
              <w:spacing w:before="20" w:after="20"/>
              <w:jc w:val="left"/>
            </w:pPr>
            <w:r>
              <w:rPr>
                <w:sz w:val="17"/>
              </w:rPr>
              <w:t>No sponsoring organisation exists; one must be found and must act inside 53 days.</w:t>
            </w:r>
          </w:p>
        </w:tc>
        <w:tc>
          <w:tcPr>
            <w:tcW w:type="dxa" w:w="2880"/>
          </w:tcPr>
          <w:p>
            <w:pPr>
              <w:spacing w:before="20" w:after="20"/>
              <w:jc w:val="left"/>
            </w:pPr>
            <w:r>
              <w:rPr>
                <w:sz w:val="17"/>
              </w:rPr>
              <w:t>Time for a Legion or VFW Department resolution — a durable asset the package does not have.</w:t>
            </w:r>
          </w:p>
        </w:tc>
      </w:tr>
      <w:tr>
        <w:tc>
          <w:tcPr>
            <w:tcW w:type="dxa" w:w="2880"/>
          </w:tcPr>
          <w:p>
            <w:pPr>
              <w:spacing w:before="20" w:after="20"/>
              <w:jc w:val="left"/>
            </w:pPr>
            <w:r>
              <w:rPr>
                <w:b/>
                <w:sz w:val="17"/>
              </w:rPr>
              <w:t>Cost of waiting</w:t>
            </w:r>
          </w:p>
        </w:tc>
        <w:tc>
          <w:tcPr>
            <w:tcW w:type="dxa" w:w="2880"/>
          </w:tcPr>
          <w:p>
            <w:pPr>
              <w:spacing w:before="20" w:after="20"/>
              <w:jc w:val="left"/>
            </w:pPr>
            <w:r>
              <w:rPr>
                <w:sz w:val="17"/>
              </w:rPr>
              <w:t>—</w:t>
            </w:r>
          </w:p>
        </w:tc>
        <w:tc>
          <w:tcPr>
            <w:tcW w:type="dxa" w:w="2880"/>
          </w:tcPr>
          <w:p>
            <w:pPr>
              <w:spacing w:before="20" w:after="20"/>
              <w:jc w:val="left"/>
            </w:pPr>
            <w:r>
              <w:rPr>
                <w:sz w:val="17"/>
              </w:rPr>
              <w:t>One more cohort of Plan 1 veterans retires without the option. All 110,474 active Plan 1 members are already past the deadline as a matter of law.</w:t>
            </w:r>
          </w:p>
        </w:tc>
      </w:tr>
    </w:tbl>
    <w:p>
      <w:pPr>
        <w:spacing w:before="0" w:after="0" w:line="80" w:lineRule="exact"/>
      </w:pPr>
      <w:r>
        <w:rPr>
          <w:sz w:val="8"/>
        </w:rPr>
      </w:r>
    </w:p>
    <w:p>
      <w:r>
        <w:rPr>
          <w:b/>
        </w:rPr>
        <w:t>My read, offered as a read and not a decision.</w:t>
      </w:r>
      <w:r>
        <w:t xml:space="preserve"> On the political analysis alone the </w:t>
      </w:r>
      <w:r>
        <w:rPr>
          <w:b/>
        </w:rPr>
        <w:t>2028 cycle is the stronger path</w:t>
      </w:r>
      <w:r>
        <w:t xml:space="preserve">, because the thing that kills this bill is an unbounded fiscal note in a short session, and every item that would bound it is currently open. The argument for December is not readiness — it is that a one-year slip is a real cost to a real cohort, and that is a judgment for JLCVSO and the board, not for me. </w:t>
      </w:r>
      <w:r>
        <w:rPr>
          <w:b/>
        </w:rPr>
        <w:t>A third option exists and is cheap:</w:t>
      </w:r>
      <w:r>
        <w:t xml:space="preserve"> make the two U-1/U-8 checks in § 9 first — they are minutes of work for a person with a browser — and decide after, since if the December add-on item is gone the decision makes itself.</w:t>
      </w:r>
    </w:p>
    <w:p>
      <w:pPr>
        <w:jc w:val="center"/>
      </w:pPr>
      <w:r>
        <w:rPr>
          <w:color w:val="909090"/>
          <w:sz w:val="18"/>
        </w:rPr>
        <w:t>* * *</w:t>
      </w:r>
    </w:p>
    <w:p>
      <w:pPr>
        <w:pStyle w:val="Heading2"/>
      </w:pPr>
      <w:r>
        <w:t>9. Unknowns</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w:t>
            </w:r>
          </w:p>
        </w:tc>
        <w:tc>
          <w:tcPr>
            <w:tcW w:type="dxa" w:w="2160"/>
          </w:tcPr>
          <w:p>
            <w:pPr>
              <w:spacing w:before="20" w:after="20"/>
              <w:jc w:val="left"/>
            </w:pPr>
            <w:r>
              <w:rPr>
                <w:b/>
                <w:sz w:val="17"/>
              </w:rPr>
              <w:t>Unknown</w:t>
            </w:r>
          </w:p>
        </w:tc>
        <w:tc>
          <w:tcPr>
            <w:tcW w:type="dxa" w:w="2160"/>
          </w:tcPr>
          <w:p>
            <w:pPr>
              <w:spacing w:before="20" w:after="20"/>
              <w:jc w:val="left"/>
            </w:pPr>
            <w:r>
              <w:rPr>
                <w:b/>
                <w:sz w:val="17"/>
              </w:rPr>
              <w:t>Why it matters</w:t>
            </w:r>
          </w:p>
        </w:tc>
        <w:tc>
          <w:tcPr>
            <w:tcW w:type="dxa" w:w="2160"/>
          </w:tcPr>
          <w:p>
            <w:pPr>
              <w:spacing w:before="20" w:after="20"/>
              <w:jc w:val="left"/>
            </w:pPr>
            <w:r>
              <w:rPr>
                <w:b/>
                <w:sz w:val="17"/>
              </w:rPr>
              <w:t>What resolves it</w:t>
            </w:r>
          </w:p>
        </w:tc>
      </w:tr>
      <w:tr>
        <w:tc>
          <w:tcPr>
            <w:tcW w:type="dxa" w:w="2160"/>
          </w:tcPr>
          <w:p>
            <w:pPr>
              <w:spacing w:before="20" w:after="20"/>
              <w:jc w:val="left"/>
            </w:pPr>
            <w:r>
              <w:rPr>
                <w:b/>
                <w:sz w:val="17"/>
              </w:rPr>
              <w:t>U-1</w:t>
            </w:r>
            <w:r>
              <w:rPr>
                <w:sz w:val="17"/>
              </w:rPr>
              <w:t xml:space="preserve"> </w:t>
            </w:r>
            <w:r>
              <w:rPr>
                <w:i/>
                <w:sz w:val="17"/>
              </w:rPr>
              <w:t>(unchanged, re-attempted today)</w:t>
            </w:r>
          </w:p>
        </w:tc>
        <w:tc>
          <w:tcPr>
            <w:tcW w:type="dxa" w:w="2160"/>
          </w:tcPr>
          <w:p>
            <w:pPr>
              <w:spacing w:before="20" w:after="20"/>
              <w:jc w:val="left"/>
            </w:pPr>
            <w:r>
              <w:rPr>
                <w:sz w:val="17"/>
              </w:rPr>
              <w:t xml:space="preserve">The </w:t>
            </w:r>
            <w:r>
              <w:rPr>
                <w:b/>
                <w:sz w:val="17"/>
              </w:rPr>
              <w:t>contents of the adopted 2027 slate.</w:t>
            </w:r>
            <w:r>
              <w:rPr>
                <w:sz w:val="17"/>
              </w:rPr>
              <w:t xml:space="preserve"> The DVS JLC page was re-fetched </w:t>
            </w:r>
            <w:r>
              <w:rPr>
                <w:b/>
                <w:sz w:val="17"/>
              </w:rPr>
              <w:t>2026-10-25</w:t>
            </w:r>
            <w:r>
              <w:rPr>
                <w:sz w:val="17"/>
              </w:rPr>
              <w:t xml:space="preserve"> and returned </w:t>
            </w:r>
            <w:r>
              <w:rPr>
                <w:b/>
                <w:sz w:val="17"/>
              </w:rPr>
              <w:t>HTTP 403 again</w:t>
            </w:r>
            <w:r>
              <w:rPr>
                <w:sz w:val="17"/>
              </w:rPr>
              <w:t>. Bot filtering, not a dead page.</w:t>
            </w:r>
          </w:p>
        </w:tc>
        <w:tc>
          <w:tcPr>
            <w:tcW w:type="dxa" w:w="2160"/>
          </w:tcPr>
          <w:p>
            <w:pPr>
              <w:spacing w:before="20" w:after="20"/>
              <w:jc w:val="left"/>
            </w:pPr>
            <w:r>
              <w:rPr>
                <w:sz w:val="17"/>
              </w:rPr>
              <w:t xml:space="preserve">On the 2026-cycle pattern, confidence that a VRS item is on the 2027 slate is </w:t>
            </w:r>
            <w:r>
              <w:rPr>
                <w:b/>
                <w:sz w:val="17"/>
              </w:rPr>
              <w:t>Low</w:t>
            </w:r>
            <w:r>
              <w:rPr>
                <w:sz w:val="17"/>
              </w:rPr>
              <w:t>.</w:t>
            </w:r>
          </w:p>
        </w:tc>
        <w:tc>
          <w:tcPr>
            <w:tcW w:type="dxa" w:w="2160"/>
          </w:tcPr>
          <w:p>
            <w:pPr>
              <w:spacing w:before="20" w:after="20"/>
              <w:jc w:val="left"/>
            </w:pPr>
            <w:r>
              <w:rPr>
                <w:b/>
                <w:sz w:val="17"/>
              </w:rPr>
              <w:t>A person opening the page in a browser resolves it in a minute.</w:t>
            </w:r>
            <w:r>
              <w:rPr>
                <w:sz w:val="17"/>
              </w:rPr>
              <w:t xml:space="preserve"> Or the 2026-09-16 minutes when posted.</w:t>
            </w:r>
          </w:p>
        </w:tc>
      </w:tr>
      <w:tr>
        <w:tc>
          <w:tcPr>
            <w:tcW w:type="dxa" w:w="2160"/>
          </w:tcPr>
          <w:p>
            <w:pPr>
              <w:spacing w:before="20" w:after="20"/>
              <w:jc w:val="left"/>
            </w:pPr>
            <w:r>
              <w:rPr>
                <w:b/>
                <w:sz w:val="17"/>
              </w:rPr>
              <w:t>U-8</w:t>
            </w:r>
            <w:r>
              <w:rPr>
                <w:sz w:val="17"/>
              </w:rPr>
              <w:t xml:space="preserve"> </w:t>
            </w:r>
            <w:r>
              <w:rPr>
                <w:i/>
                <w:sz w:val="17"/>
              </w:rPr>
              <w:t>(unchanged, and now first in order)</w:t>
            </w:r>
          </w:p>
        </w:tc>
        <w:tc>
          <w:tcPr>
            <w:tcW w:type="dxa" w:w="2160"/>
          </w:tcPr>
          <w:p>
            <w:pPr>
              <w:spacing w:before="20" w:after="20"/>
              <w:jc w:val="left"/>
            </w:pPr>
            <w:r>
              <w:rPr>
                <w:sz w:val="17"/>
              </w:rPr>
              <w:t xml:space="preserve">Whether the current Work Plan </w:t>
            </w:r>
            <w:r>
              <w:rPr>
                <w:b/>
                <w:sz w:val="17"/>
              </w:rPr>
              <w:t>retains the December "additional initiatives" item.</w:t>
            </w:r>
            <w:r>
              <w:rPr>
                <w:sz w:val="17"/>
              </w:rPr>
              <w:t xml:space="preserve"> Sourced to the </w:t>
            </w:r>
            <w:r>
              <w:rPr>
                <w:b/>
                <w:sz w:val="17"/>
              </w:rPr>
              <w:t>2020</w:t>
            </w:r>
            <w:r>
              <w:rPr>
                <w:sz w:val="17"/>
              </w:rPr>
              <w:t xml:space="preserve"> Work Plan; the Work Plan is re-adopted each December.</w:t>
            </w:r>
          </w:p>
        </w:tc>
        <w:tc>
          <w:tcPr>
            <w:tcW w:type="dxa" w:w="2160"/>
          </w:tcPr>
          <w:p>
            <w:pPr>
              <w:spacing w:before="20" w:after="20"/>
              <w:jc w:val="left"/>
            </w:pPr>
            <w:r>
              <w:rPr>
                <w:sz w:val="17"/>
              </w:rPr>
              <w:t xml:space="preserve">If it has been dropped there is nothing to sponsor and the sequencing decision collapses to the 2028 path. </w:t>
            </w:r>
            <w:r>
              <w:rPr>
                <w:b/>
                <w:sz w:val="17"/>
              </w:rPr>
              <w:t>This is why § 5 puts it ahead of the sponsor question.</w:t>
            </w:r>
          </w:p>
        </w:tc>
        <w:tc>
          <w:tcPr>
            <w:tcW w:type="dxa" w:w="2160"/>
          </w:tcPr>
          <w:p>
            <w:pPr>
              <w:spacing w:before="20" w:after="20"/>
              <w:jc w:val="left"/>
            </w:pPr>
            <w:r>
              <w:rPr>
                <w:sz w:val="17"/>
              </w:rPr>
              <w:t>The 2026-12-17 agenda when it posts, or the 2025-12-19 minutes, or the current Work Plan from behind the 403.</w:t>
            </w:r>
          </w:p>
        </w:tc>
      </w:tr>
      <w:tr>
        <w:tc>
          <w:tcPr>
            <w:tcW w:type="dxa" w:w="2160"/>
          </w:tcPr>
          <w:p>
            <w:pPr>
              <w:spacing w:before="20" w:after="20"/>
              <w:jc w:val="left"/>
            </w:pPr>
            <w:r>
              <w:rPr>
                <w:b/>
                <w:sz w:val="17"/>
              </w:rPr>
              <w:t>U-9</w:t>
            </w:r>
            <w:r>
              <w:rPr>
                <w:sz w:val="17"/>
              </w:rPr>
              <w:t xml:space="preserve"> </w:t>
            </w:r>
            <w:r>
              <w:rPr>
                <w:i/>
                <w:sz w:val="17"/>
              </w:rPr>
              <w:t>(new)</w:t>
            </w:r>
          </w:p>
        </w:tc>
        <w:tc>
          <w:tcPr>
            <w:tcW w:type="dxa" w:w="2160"/>
          </w:tcPr>
          <w:p>
            <w:pPr>
              <w:spacing w:before="20" w:after="20"/>
              <w:jc w:val="left"/>
            </w:pPr>
            <w:r>
              <w:rPr>
                <w:b/>
                <w:sz w:val="17"/>
              </w:rPr>
              <w:t>Whether VNGA — or any member organisation — will sponsor.</w:t>
            </w:r>
          </w:p>
        </w:tc>
        <w:tc>
          <w:tcPr>
            <w:tcW w:type="dxa" w:w="2160"/>
          </w:tcPr>
          <w:p>
            <w:pPr>
              <w:spacing w:before="20" w:after="20"/>
              <w:jc w:val="left"/>
            </w:pPr>
            <w:r>
              <w:rPr>
                <w:sz w:val="17"/>
              </w:rPr>
              <w:t>It is requirement 2 of four, and the only one no one in this package can supply.</w:t>
            </w:r>
          </w:p>
        </w:tc>
        <w:tc>
          <w:tcPr>
            <w:tcW w:type="dxa" w:w="2160"/>
          </w:tcPr>
          <w:p>
            <w:pPr>
              <w:spacing w:before="20" w:after="20"/>
              <w:jc w:val="left"/>
            </w:pPr>
            <w:r>
              <w:rPr>
                <w:b/>
                <w:sz w:val="17"/>
              </w:rPr>
              <w:t>Not resolvable from the public record, and not ours to ask.</w:t>
            </w:r>
            <w:r>
              <w:rPr>
                <w:sz w:val="17"/>
              </w:rPr>
              <w:t xml:space="preserve"> JLCVSO's approach.</w:t>
            </w:r>
          </w:p>
        </w:tc>
      </w:tr>
      <w:tr>
        <w:tc>
          <w:tcPr>
            <w:tcW w:type="dxa" w:w="2160"/>
          </w:tcPr>
          <w:p>
            <w:pPr>
              <w:spacing w:before="20" w:after="20"/>
              <w:jc w:val="left"/>
            </w:pPr>
            <w:r>
              <w:rPr>
                <w:b/>
                <w:sz w:val="17"/>
              </w:rPr>
              <w:t>U-10</w:t>
            </w:r>
            <w:r>
              <w:rPr>
                <w:sz w:val="17"/>
              </w:rPr>
              <w:t xml:space="preserve"> </w:t>
            </w:r>
            <w:r>
              <w:rPr>
                <w:i/>
                <w:sz w:val="17"/>
              </w:rPr>
              <w:t>(new)</w:t>
            </w:r>
          </w:p>
        </w:tc>
        <w:tc>
          <w:tcPr>
            <w:tcW w:type="dxa" w:w="2160"/>
          </w:tcPr>
          <w:p>
            <w:pPr>
              <w:spacing w:before="20" w:after="20"/>
              <w:jc w:val="left"/>
            </w:pPr>
            <w:r>
              <w:rPr>
                <w:b/>
                <w:sz w:val="17"/>
              </w:rPr>
              <w:t>MOAA VCOC's membership composition by military-retirement status.</w:t>
            </w:r>
            <w:r>
              <w:rPr>
                <w:sz w:val="17"/>
              </w:rPr>
              <w:t xml:space="preserve"> § 5 downgrades VCOC on an inference about who its members are.</w:t>
            </w:r>
          </w:p>
        </w:tc>
        <w:tc>
          <w:tcPr>
            <w:tcW w:type="dxa" w:w="2160"/>
          </w:tcPr>
          <w:p>
            <w:pPr>
              <w:spacing w:before="20" w:after="20"/>
              <w:jc w:val="left"/>
            </w:pPr>
            <w:r>
              <w:rPr>
                <w:sz w:val="17"/>
              </w:rPr>
              <w:t>If the inference is wrong, VCOC is both the most capable and a well-served sponsor, and the ranking changes.</w:t>
            </w:r>
          </w:p>
        </w:tc>
        <w:tc>
          <w:tcPr>
            <w:tcW w:type="dxa" w:w="2160"/>
          </w:tcPr>
          <w:p>
            <w:pPr>
              <w:spacing w:before="20" w:after="20"/>
              <w:jc w:val="left"/>
            </w:pPr>
            <w:r>
              <w:rPr>
                <w:sz w:val="17"/>
              </w:rPr>
              <w:t>A VCOC membership profile. None located.</w:t>
            </w:r>
          </w:p>
        </w:tc>
      </w:tr>
      <w:tr>
        <w:tc>
          <w:tcPr>
            <w:tcW w:type="dxa" w:w="2160"/>
          </w:tcPr>
          <w:p>
            <w:pPr>
              <w:spacing w:before="20" w:after="20"/>
              <w:jc w:val="left"/>
            </w:pPr>
            <w:r>
              <w:rPr>
                <w:b/>
                <w:sz w:val="17"/>
              </w:rPr>
              <w:t>U-11</w:t>
            </w:r>
            <w:r>
              <w:rPr>
                <w:sz w:val="17"/>
              </w:rPr>
              <w:t xml:space="preserve"> </w:t>
            </w:r>
            <w:r>
              <w:rPr>
                <w:i/>
                <w:sz w:val="17"/>
              </w:rPr>
              <w:t>(new)</w:t>
            </w:r>
          </w:p>
        </w:tc>
        <w:tc>
          <w:tcPr>
            <w:tcW w:type="dxa" w:w="2160"/>
          </w:tcPr>
          <w:p>
            <w:pPr>
              <w:spacing w:before="20" w:after="20"/>
              <w:jc w:val="left"/>
            </w:pPr>
            <w:r>
              <w:rPr>
                <w:b/>
                <w:sz w:val="17"/>
              </w:rPr>
              <w:t>How VRS administers B 3's second limb</w:t>
            </w:r>
            <w:r>
              <w:rPr>
                <w:sz w:val="17"/>
              </w:rPr>
              <w:t xml:space="preserve"> (defined-contribution balance / BRS–TSP).</w:t>
            </w:r>
          </w:p>
        </w:tc>
        <w:tc>
          <w:tcPr>
            <w:tcW w:type="dxa" w:w="2160"/>
          </w:tcPr>
          <w:p>
            <w:pPr>
              <w:spacing w:before="20" w:after="20"/>
              <w:jc w:val="left"/>
            </w:pPr>
            <w:r>
              <w:rPr>
                <w:sz w:val="17"/>
              </w:rPr>
              <w:t>Red Team S-4. It determines whether the youngest veterans are eligible at all, and therefore whether the "recruitment" framing survives.</w:t>
            </w:r>
          </w:p>
        </w:tc>
        <w:tc>
          <w:tcPr>
            <w:tcW w:type="dxa" w:w="2160"/>
          </w:tcPr>
          <w:p>
            <w:pPr>
              <w:spacing w:before="20" w:after="20"/>
              <w:jc w:val="left"/>
            </w:pPr>
            <w:r>
              <w:rPr>
                <w:sz w:val="17"/>
              </w:rPr>
              <w:t>Items 9–10 of the VRS data request. Owner: Fiscal &amp; Impact Modeler / Counsel.</w:t>
            </w:r>
          </w:p>
        </w:tc>
      </w:tr>
      <w:tr>
        <w:tc>
          <w:tcPr>
            <w:tcW w:type="dxa" w:w="2160"/>
          </w:tcPr>
          <w:p>
            <w:pPr>
              <w:spacing w:before="20" w:after="20"/>
              <w:jc w:val="left"/>
            </w:pPr>
            <w:r>
              <w:rPr>
                <w:b/>
                <w:sz w:val="17"/>
              </w:rPr>
              <w:t>U-2</w:t>
            </w:r>
            <w:r>
              <w:rPr>
                <w:sz w:val="17"/>
              </w:rPr>
              <w:t xml:space="preserve"> </w:t>
            </w:r>
            <w:r>
              <w:rPr>
                <w:i/>
                <w:sz w:val="17"/>
              </w:rPr>
              <w:t>(unchanged)</w:t>
            </w:r>
          </w:p>
        </w:tc>
        <w:tc>
          <w:tcPr>
            <w:tcW w:type="dxa" w:w="2160"/>
          </w:tcPr>
          <w:p>
            <w:pPr>
              <w:spacing w:before="20" w:after="20"/>
              <w:jc w:val="left"/>
            </w:pPr>
            <w:r>
              <w:rPr>
                <w:b/>
                <w:sz w:val="17"/>
              </w:rPr>
              <w:t>GAMVC roster and co-chairs.</w:t>
            </w:r>
            <w:r>
              <w:rPr>
                <w:sz w:val="17"/>
              </w:rPr>
              <w:t xml:space="preserve"> The Reeves claim is Low–Medium on a 2018-era source.</w:t>
            </w:r>
          </w:p>
        </w:tc>
        <w:tc>
          <w:tcPr>
            <w:tcW w:type="dxa" w:w="2160"/>
          </w:tcPr>
          <w:p>
            <w:pPr>
              <w:spacing w:before="20" w:after="20"/>
              <w:jc w:val="left"/>
            </w:pPr>
            <w:r>
              <w:rPr>
                <w:sz w:val="17"/>
              </w:rPr>
              <w:t>Gates the § 8 patron recommendation.</w:t>
            </w:r>
          </w:p>
        </w:tc>
        <w:tc>
          <w:tcPr>
            <w:tcW w:type="dxa" w:w="2160"/>
          </w:tcPr>
          <w:p>
            <w:pPr>
              <w:spacing w:before="20" w:after="20"/>
              <w:jc w:val="left"/>
            </w:pPr>
            <w:r>
              <w:rPr>
                <w:sz w:val="17"/>
              </w:rPr>
              <w:t>§ 7.</w:t>
            </w:r>
          </w:p>
        </w:tc>
      </w:tr>
    </w:tbl>
    <w:p>
      <w:pPr>
        <w:spacing w:before="0" w:after="0" w:line="80" w:lineRule="exact"/>
      </w:pPr>
      <w:r>
        <w:rPr>
          <w:sz w:val="8"/>
        </w:rPr>
      </w:r>
    </w:p>
    <w:p>
      <w:pPr>
        <w:jc w:val="center"/>
      </w:pPr>
      <w:r>
        <w:rPr>
          <w:color w:val="909090"/>
          <w:sz w:val="18"/>
        </w:rPr>
        <w:t>* * *</w:t>
      </w:r>
    </w:p>
    <w:p>
      <w:pPr>
        <w:pStyle w:val="Heading2"/>
      </w:pPr>
      <w:r>
        <w:t>10. Sources, with retrieval dates</w:t>
      </w:r>
    </w:p>
    <w:p>
      <w:r>
        <w:t xml:space="preserve">All retrieved </w:t>
      </w:r>
      <w:r>
        <w:rPr>
          <w:b/>
        </w:rPr>
        <w:t>2026-10-25</w:t>
      </w:r>
      <w:r>
        <w:t xml:space="preserve"> unless noted. All public records. Sources 1–49 are in Annex C § 10 and are not repeated; the following are new in this annex.</w:t>
      </w:r>
    </w:p>
    <w:p>
      <w:pPr>
        <w:spacing w:after="60"/>
        <w:ind w:left="432" w:hanging="432"/>
      </w:pPr>
      <w:r>
        <w:rPr>
          <w:b/>
        </w:rPr>
        <w:t>50.</w:t>
        <w:tab/>
      </w:r>
      <w:r>
        <w:rPr>
          <w:b/>
        </w:rPr>
        <w:t xml:space="preserve">DVS, </w:t>
      </w:r>
      <w:r>
        <w:rPr>
          <w:b/>
          <w:i/>
        </w:rPr>
        <w:t>Joint Leadership Council of Veterans Service Organizations</w:t>
      </w:r>
      <w:r>
        <w:t xml:space="preserve"> — </w:t>
      </w:r>
      <w:r>
        <w:rPr>
          <w:b/>
        </w:rPr>
        <w:t>HTTP 403, not retrieved</w:t>
      </w:r>
      <w:r>
        <w:t xml:space="preserve">, re-attempted 2026-10-25 (second attempt; first recorded in Annex C source 30). The roster facts in § 5 are taken from the </w:t>
      </w:r>
      <w:r>
        <w:rPr>
          <w:b/>
        </w:rPr>
        <w:t>search index of that page</w:t>
      </w:r>
      <w:r>
        <w:t xml:space="preserve">, which reports the roster "as of 01/17/2026" and confirms seats held by the </w:t>
      </w:r>
      <w:r>
        <w:rPr>
          <w:b/>
        </w:rPr>
        <w:t>Virginia National Guard Association</w:t>
      </w:r>
      <w:r>
        <w:t xml:space="preserve">, </w:t>
      </w:r>
      <w:r>
        <w:rPr>
          <w:b/>
        </w:rPr>
        <w:t>Fleet Reserve Association</w:t>
      </w:r>
      <w:r>
        <w:t xml:space="preserve">, </w:t>
      </w:r>
      <w:r>
        <w:rPr>
          <w:b/>
        </w:rPr>
        <w:t>Reserve Organization of America</w:t>
      </w:r>
      <w:r>
        <w:t xml:space="preserve">, </w:t>
      </w:r>
      <w:r>
        <w:rPr>
          <w:b/>
        </w:rPr>
        <w:t>Vietnam Veterans of America</w:t>
      </w:r>
      <w:r>
        <w:t xml:space="preserve"> and the other organisations named in § 5. </w:t>
      </w:r>
      <w:r>
        <w:rPr>
          <w:b/>
        </w:rPr>
        <w:t>Secondary retrieval of a primary page; labelled as such.</w:t>
      </w:r>
      <w:r>
        <w:t xml:space="preserve"> — </w:t>
      </w:r>
      <w:r>
        <w:rPr>
          <w:rFonts w:ascii="Consolas" w:hAnsi="Consolas"/>
          <w:color w:val="303030"/>
          <w:sz w:val="18"/>
        </w:rPr>
        <w:t>dvs.virginia.gov/about-us/boards-foundations/joint-leadership-council-of-veterans-service-organizations</w:t>
      </w:r>
    </w:p>
    <w:p>
      <w:pPr>
        <w:spacing w:after="60"/>
        <w:ind w:left="432" w:hanging="432"/>
      </w:pPr>
      <w:r>
        <w:rPr>
          <w:b/>
        </w:rPr>
        <w:t>51.</w:t>
        <w:tab/>
      </w:r>
      <w:r>
        <w:rPr>
          <w:b/>
        </w:rPr>
        <w:t>§ 2.2-2681</w:t>
      </w:r>
      <w:r>
        <w:t xml:space="preserve"> — qualifying-organisation criteria ("composed principally of and controlled by veterans," registered nonprofit in good standing, active and in good standing with the parent national organisation) and the mechanic that </w:t>
      </w:r>
      <w:r>
        <w:rPr>
          <w:b/>
        </w:rPr>
        <w:t>the organisation's own president appoints its JLC representative</w:t>
      </w:r>
      <w:r>
        <w:t xml:space="preserve"> — </w:t>
      </w:r>
      <w:r>
        <w:rPr>
          <w:rFonts w:ascii="Consolas" w:hAnsi="Consolas"/>
          <w:color w:val="303030"/>
          <w:sz w:val="18"/>
        </w:rPr>
        <w:t>law.lis.virginia.gov/vacode/title2.2/chapter26/section2.2-2681/</w:t>
      </w:r>
    </w:p>
    <w:p>
      <w:pPr>
        <w:spacing w:after="60"/>
        <w:ind w:left="432" w:hanging="432"/>
      </w:pPr>
      <w:r>
        <w:rPr>
          <w:b/>
        </w:rPr>
        <w:t>52.</w:t>
        <w:tab/>
      </w:r>
      <w:r>
        <w:rPr>
          <w:b/>
        </w:rPr>
        <w:t xml:space="preserve">Virginia National Guard Association, </w:t>
      </w:r>
      <w:r>
        <w:rPr>
          <w:b/>
          <w:i/>
        </w:rPr>
        <w:t>Legislative priorities take center stage during conference</w:t>
      </w:r>
      <w:r>
        <w:t xml:space="preserve"> — VNGA's </w:t>
      </w:r>
      <w:r>
        <w:rPr>
          <w:b/>
        </w:rPr>
        <w:t>2026 legislative priorities adopted at its annual business and membership meeting, 2025-04-26</w:t>
      </w:r>
      <w:r>
        <w:t xml:space="preserve">: Referral Enlistment Program funding at $50,000 annually; Museum of the Virginia National Guard; expansion of the Toll Relief Program; improvements to the State Tuition Assistance Program. </w:t>
      </w:r>
      <w:r>
        <w:rPr>
          <w:b/>
        </w:rPr>
        <w:t>Two of these four match two of the nine initiatives the JLC Legislative Committee forwarded in the 2026 cycle</w:t>
      </w:r>
      <w:r>
        <w:t xml:space="preserve"> (Guard tuition grants; REP appropriation) — the initiative-conversion evidence in § 5. — </w:t>
      </w:r>
      <w:r>
        <w:rPr>
          <w:rFonts w:ascii="Consolas" w:hAnsi="Consolas"/>
          <w:color w:val="303030"/>
          <w:sz w:val="18"/>
        </w:rPr>
        <w:t>vnga.us/legislative-prioritize-take-center-stage-during-conference/</w:t>
      </w:r>
    </w:p>
    <w:p>
      <w:pPr>
        <w:spacing w:after="60"/>
        <w:ind w:left="432" w:hanging="432"/>
      </w:pPr>
      <w:r>
        <w:rPr>
          <w:b/>
        </w:rPr>
        <w:t>53.</w:t>
        <w:tab/>
      </w:r>
      <w:r>
        <w:rPr>
          <w:b/>
        </w:rPr>
        <w:t xml:space="preserve">Virginia National Guard Association, </w:t>
      </w:r>
      <w:r>
        <w:rPr>
          <w:b/>
          <w:i/>
        </w:rPr>
        <w:t>Resolutions</w:t>
      </w:r>
      <w:r>
        <w:t xml:space="preserve"> — the association's standing resolutions process — </w:t>
      </w:r>
      <w:r>
        <w:rPr>
          <w:rFonts w:ascii="Consolas" w:hAnsi="Consolas"/>
          <w:color w:val="303030"/>
          <w:sz w:val="18"/>
        </w:rPr>
        <w:t>vnga.us/resolutions/</w:t>
      </w:r>
    </w:p>
    <w:p>
      <w:pPr>
        <w:spacing w:after="60"/>
        <w:ind w:left="432" w:hanging="432"/>
      </w:pPr>
      <w:r>
        <w:rPr>
          <w:b/>
        </w:rPr>
        <w:t>54.</w:t>
        <w:tab/>
      </w:r>
      <w:r>
        <w:rPr>
          <w:b/>
        </w:rPr>
        <w:t xml:space="preserve">MOAA, </w:t>
      </w:r>
      <w:r>
        <w:rPr>
          <w:b/>
          <w:i/>
        </w:rPr>
        <w:t>State Tax Update: Good News for Virginia Retirees…</w:t>
      </w:r>
      <w:r>
        <w:t xml:space="preserve"> — "removing the age requirements was one of the top </w:t>
      </w:r>
      <w:r>
        <w:rPr>
          <w:b/>
        </w:rPr>
        <w:t>2023 legislative priorities for the Joint Leadership Council of Veterans Service Organizations, which includes VCOC</w:t>
      </w:r>
      <w:r>
        <w:t xml:space="preserve">," and VCOC supported the legislation. </w:t>
      </w:r>
      <w:r>
        <w:rPr>
          <w:b/>
        </w:rPr>
        <w:t>The documented evidence that VCOC works the JLC channel on a state-benefit ask.</w:t>
      </w:r>
      <w:r>
        <w:t xml:space="preserve"> — </w:t>
      </w:r>
      <w:r>
        <w:rPr>
          <w:rFonts w:ascii="Consolas" w:hAnsi="Consolas"/>
          <w:color w:val="303030"/>
          <w:sz w:val="18"/>
        </w:rPr>
        <w:t>moaa.org/content/publications-and-media/news-articles/2023-news-articles/finance/state-tax-update-good-news-for-virginia-retirees,-latest-from-california,-more/</w:t>
      </w:r>
    </w:p>
    <w:p>
      <w:pPr>
        <w:spacing w:after="60"/>
        <w:ind w:left="432" w:hanging="432"/>
      </w:pPr>
      <w:r>
        <w:rPr>
          <w:b/>
        </w:rPr>
        <w:t>55.</w:t>
        <w:tab/>
      </w:r>
      <w:r>
        <w:rPr>
          <w:b/>
        </w:rPr>
        <w:t xml:space="preserve">MOAA Virginia Council of Chapters, </w:t>
      </w:r>
      <w:r>
        <w:rPr>
          <w:b/>
          <w:i/>
        </w:rPr>
        <w:t>About Us</w:t>
      </w:r>
      <w:r>
        <w:rPr>
          <w:b/>
        </w:rPr>
        <w:t xml:space="preserve"> and </w:t>
      </w:r>
      <w:r>
        <w:rPr>
          <w:b/>
          <w:i/>
        </w:rPr>
        <w:t>Legislative Affairs</w:t>
      </w:r>
      <w:r>
        <w:t xml:space="preserve"> — VCOC is "a member of the Virginia Joint Leadership Council (JLC)," "participates in the annual Joint Leadership Council Day in Richmond," and carries a standing legislative-affairs function. The </w:t>
      </w:r>
      <w:r>
        <w:rPr>
          <w:rFonts w:ascii="Consolas" w:hAnsi="Consolas"/>
          <w:color w:val="303030"/>
          <w:sz w:val="18"/>
        </w:rPr>
        <w:t>legislativeaffairs</w:t>
      </w:r>
      <w:r>
        <w:t xml:space="preserve"> page did not return content on fetch (connection reset); the quoted facts are from the search index of </w:t>
      </w:r>
      <w:r>
        <w:rPr>
          <w:rFonts w:ascii="Consolas" w:hAnsi="Consolas"/>
          <w:color w:val="303030"/>
          <w:sz w:val="18"/>
        </w:rPr>
        <w:t>moaavcoc.org</w:t>
      </w:r>
      <w:r>
        <w:t xml:space="preserve">. — </w:t>
      </w:r>
      <w:r>
        <w:rPr>
          <w:rFonts w:ascii="Consolas" w:hAnsi="Consolas"/>
          <w:color w:val="303030"/>
          <w:sz w:val="18"/>
        </w:rPr>
        <w:t>moaavcoc.org/aboutus/</w:t>
      </w:r>
    </w:p>
    <w:p>
      <w:pPr>
        <w:spacing w:after="60"/>
        <w:ind w:left="432" w:hanging="432"/>
      </w:pPr>
      <w:r>
        <w:rPr>
          <w:b/>
        </w:rPr>
        <w:t>56.</w:t>
        <w:tab/>
      </w:r>
      <w:r>
        <w:rPr>
          <w:b/>
        </w:rPr>
        <w:t xml:space="preserve">MOAA Virginia Peninsula Chapter, </w:t>
      </w:r>
      <w:r>
        <w:rPr>
          <w:b/>
          <w:i/>
        </w:rPr>
        <w:t>VIPMOAA Legislative Goals</w:t>
      </w:r>
      <w:r>
        <w:t xml:space="preserve"> — Virginia state goals: VA claims-representative regulation (opposing SB 315 / HB 398), VMSDEP tuition and stipend funding, and a USPHS/NOAA Commissioned Corps income-exemption item. </w:t>
      </w:r>
      <w:r>
        <w:rPr>
          <w:b/>
        </w:rPr>
        <w:t>Contains nothing on state employment, retirement, pensions, VRS or service credit</w:t>
      </w:r>
      <w:r>
        <w:t xml:space="preserve"> — the documented negative in § 5. — </w:t>
      </w:r>
      <w:r>
        <w:rPr>
          <w:rFonts w:ascii="Consolas" w:hAnsi="Consolas"/>
          <w:color w:val="303030"/>
          <w:sz w:val="18"/>
        </w:rPr>
        <w:t>vipmoaa.org/VIPMOAA-Legislative-Goals</w:t>
      </w:r>
    </w:p>
    <w:p>
      <w:pPr>
        <w:spacing w:after="60"/>
        <w:ind w:left="432" w:hanging="432"/>
      </w:pPr>
      <w:r>
        <w:rPr>
          <w:b/>
        </w:rPr>
        <w:t>57.</w:t>
        <w:tab/>
      </w:r>
      <w:r>
        <w:rPr>
          <w:b/>
        </w:rPr>
        <w:t>DVS, Winter 2025 eNews</w:t>
      </w:r>
      <w:r>
        <w:t xml:space="preserve"> — "Each year, the JLC prepares a list of legislative proposals and initiatives which is distributed to all General Assembly members"; JLC described as 27 gubernatorial appointees. </w:t>
      </w:r>
      <w:r>
        <w:rPr>
          <w:b/>
        </w:rPr>
        <w:t>Checked for the numbered initiatives and the roster; contains neither.</w:t>
      </w:r>
      <w:r>
        <w:t xml:space="preserve"> — </w:t>
      </w:r>
      <w:r>
        <w:rPr>
          <w:rFonts w:ascii="Consolas" w:hAnsi="Consolas"/>
          <w:color w:val="303030"/>
          <w:sz w:val="18"/>
        </w:rPr>
        <w:t>content.govdelivery.com/accounts/VADVS/bulletins/3d106fd</w:t>
      </w:r>
    </w:p>
    <w:p>
      <w:pPr>
        <w:spacing w:after="60"/>
        <w:ind w:left="432" w:hanging="432"/>
      </w:pPr>
      <w:r>
        <w:rPr>
          <w:b/>
        </w:rPr>
        <w:t>58.</w:t>
        <w:tab/>
      </w:r>
      <w:r>
        <w:rPr>
          <w:b/>
        </w:rPr>
        <w:t>The American Legion</w:t>
      </w:r>
      <w:r>
        <w:t xml:space="preserve"> — 208 posts and 39,500+ members in Virginia; national legislative-priorities process. </w:t>
      </w:r>
      <w:r>
        <w:rPr>
          <w:b/>
        </w:rPr>
        <w:t>A search for any American Legion Department of Virginia position on VRS, pensions, service credit or public-employee retirement returned nothing in either direction.</w:t>
      </w:r>
      <w:r>
        <w:t xml:space="preserve"> — </w:t>
      </w:r>
      <w:r>
        <w:rPr>
          <w:rFonts w:ascii="Consolas" w:hAnsi="Consolas"/>
          <w:color w:val="303030"/>
          <w:sz w:val="18"/>
        </w:rPr>
        <w:t>legion.org/advocacy/legislative/legislative-priorities</w:t>
      </w:r>
    </w:p>
    <w:p>
      <w:pPr>
        <w:spacing w:after="60"/>
        <w:ind w:left="432" w:hanging="432"/>
      </w:pPr>
      <w:r>
        <w:rPr>
          <w:b/>
        </w:rPr>
        <w:t>59.</w:t>
        <w:tab/>
      </w:r>
      <w:r>
        <w:rPr>
          <w:b/>
        </w:rPr>
        <w:t>2027 Virginia General Assembly convening date — 2027-01-13.</w:t>
      </w:r>
      <w:r>
        <w:t xml:space="preserve"> Used for the 27-day gate-to-convening figure in § 2. </w:t>
      </w:r>
      <w:r>
        <w:rPr>
          <w:b/>
        </w:rPr>
        <w:t>The prefiling and introduction deadlines for the 2027 session were not verified and are not relied on.</w:t>
      </w:r>
    </w:p>
    <w:p>
      <w:pPr>
        <w:spacing w:after="60"/>
        <w:ind w:left="432" w:hanging="432"/>
      </w:pPr>
      <w:r>
        <w:rPr>
          <w:b/>
        </w:rPr>
        <w:t>60.</w:t>
        <w:tab/>
      </w:r>
      <w:r>
        <w:rPr>
          <w:b/>
        </w:rPr>
        <w:t>§ 51.1-142.2 B 3, anti-duplication sentence and the 10 U.S.C. ch. 1223 exception</w:t>
      </w:r>
      <w:r>
        <w:t xml:space="preserve"> — construed in </w:t>
      </w:r>
      <w:r>
        <w:rPr>
          <w:b/>
        </w:rPr>
        <w:t>Annex A § 4</w:t>
      </w:r>
      <w:r>
        <w:t xml:space="preserve"> and in </w:t>
      </w:r>
      <w:r>
        <w:rPr>
          <w:b/>
        </w:rPr>
        <w:t>Red Team / Counsel Review S-4</w:t>
      </w:r>
      <w:r>
        <w:t xml:space="preserve">, both in this package. § 4 of this annex relies on their construction, not on an independent legal reading. — </w:t>
      </w:r>
      <w:r>
        <w:rPr>
          <w:rFonts w:ascii="Consolas" w:hAnsi="Consolas"/>
          <w:color w:val="303030"/>
          <w:sz w:val="18"/>
        </w:rPr>
        <w:t>02-Annex-A-Legal-Analysis-and-Draft-Bill.md</w:t>
      </w:r>
      <w:r>
        <w:t xml:space="preserve"> § 4; </w:t>
      </w:r>
      <w:r>
        <w:rPr>
          <w:rFonts w:ascii="Consolas" w:hAnsi="Consolas"/>
          <w:color w:val="303030"/>
          <w:sz w:val="18"/>
        </w:rPr>
        <w:t>05-Red-Team-and-Counsel-Review.md</w:t>
      </w:r>
      <w:r>
        <w:t xml:space="preserve"> S-4</w:t>
      </w:r>
    </w:p>
    <w:p>
      <w:pPr>
        <w:jc w:val="center"/>
      </w:pPr>
      <w:r>
        <w:rPr>
          <w:color w:val="909090"/>
          <w:sz w:val="18"/>
        </w:rPr>
        <w:t>* * *</w:t>
      </w:r>
    </w:p>
    <w:p>
      <w:pPr>
        <w:pStyle w:val="Heading2"/>
      </w:pPr>
      <w:r>
        <w:t>11. Handoffs</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To</w:t>
            </w:r>
          </w:p>
        </w:tc>
        <w:tc>
          <w:tcPr>
            <w:tcW w:type="dxa" w:w="4320"/>
          </w:tcPr>
          <w:p>
            <w:pPr>
              <w:spacing w:before="20" w:after="20"/>
              <w:jc w:val="left"/>
            </w:pPr>
            <w:r>
              <w:rPr>
                <w:b/>
                <w:sz w:val="17"/>
              </w:rPr>
              <w:t>What is owed</w:t>
            </w:r>
          </w:p>
        </w:tc>
      </w:tr>
      <w:tr>
        <w:tc>
          <w:tcPr>
            <w:tcW w:type="dxa" w:w="4320"/>
          </w:tcPr>
          <w:p>
            <w:pPr>
              <w:spacing w:before="20" w:after="20"/>
              <w:jc w:val="left"/>
            </w:pPr>
            <w:r>
              <w:rPr>
                <w:b/>
                <w:sz w:val="17"/>
              </w:rPr>
              <w:t>Policy Director / the board</w:t>
            </w:r>
          </w:p>
        </w:tc>
        <w:tc>
          <w:tcPr>
            <w:tcW w:type="dxa" w:w="4320"/>
          </w:tcPr>
          <w:p>
            <w:pPr>
              <w:spacing w:before="20" w:after="20"/>
              <w:jc w:val="left"/>
            </w:pPr>
            <w:r>
              <w:rPr>
                <w:b/>
                <w:sz w:val="17"/>
              </w:rPr>
              <w:t>The sequencing decision, and it has a date: 2026-12-17.</w:t>
            </w:r>
            <w:r>
              <w:rPr>
                <w:sz w:val="17"/>
              </w:rPr>
              <w:t xml:space="preserve"> Three options, § 8: seek the 2027 slate; accept the slip to 2028; or make the two U-1/U-8 browser checks first and decide after. </w:t>
            </w:r>
            <w:r>
              <w:rPr>
                <w:b/>
                <w:sz w:val="17"/>
              </w:rPr>
              <w:t>§ 8 states my read — the 2028 path is stronger on the political analysis — and states why the decision is not mine.</w:t>
            </w:r>
            <w:r>
              <w:rPr>
                <w:sz w:val="17"/>
              </w:rPr>
              <w:t xml:space="preserve"> Also owed: requirement 4 of § 3 (strategic-plan alignment), and the patron question in § 7, which is a December question because the patron list is reviewed at the same meeting.</w:t>
            </w:r>
          </w:p>
        </w:tc>
      </w:tr>
      <w:tr>
        <w:tc>
          <w:tcPr>
            <w:tcW w:type="dxa" w:w="4320"/>
          </w:tcPr>
          <w:p>
            <w:pPr>
              <w:spacing w:before="20" w:after="20"/>
              <w:jc w:val="left"/>
            </w:pPr>
            <w:r>
              <w:rPr>
                <w:b/>
                <w:sz w:val="17"/>
              </w:rPr>
              <w:t>JLCVSO</w:t>
            </w:r>
          </w:p>
        </w:tc>
        <w:tc>
          <w:tcPr>
            <w:tcW w:type="dxa" w:w="4320"/>
          </w:tcPr>
          <w:p>
            <w:pPr>
              <w:spacing w:before="20" w:after="20"/>
              <w:jc w:val="left"/>
            </w:pPr>
            <w:r>
              <w:rPr>
                <w:b/>
                <w:sz w:val="17"/>
              </w:rPr>
              <w:t>Requirement 2 of § 3 — the sponsoring member organisation.</w:t>
            </w:r>
            <w:r>
              <w:rPr>
                <w:sz w:val="17"/>
              </w:rPr>
              <w:t xml:space="preserve"> § 5 names and ranks the candidates and gives a recommended approach order, with </w:t>
            </w:r>
            <w:r>
              <w:rPr>
                <w:b/>
                <w:sz w:val="17"/>
              </w:rPr>
              <w:t>U-8 ahead of the sponsor question</w:t>
            </w:r>
            <w:r>
              <w:rPr>
                <w:sz w:val="17"/>
              </w:rPr>
              <w:t xml:space="preserve">. </w:t>
            </w:r>
            <w:r>
              <w:rPr>
                <w:b/>
                <w:sz w:val="17"/>
              </w:rPr>
              <w:t>No organisation has been contacted and none will be by us; the approach is JLCVSO's.</w:t>
            </w:r>
          </w:p>
        </w:tc>
      </w:tr>
      <w:tr>
        <w:tc>
          <w:tcPr>
            <w:tcW w:type="dxa" w:w="4320"/>
          </w:tcPr>
          <w:p>
            <w:pPr>
              <w:spacing w:before="20" w:after="20"/>
              <w:jc w:val="left"/>
            </w:pPr>
            <w:r>
              <w:rPr>
                <w:b/>
                <w:sz w:val="17"/>
              </w:rPr>
              <w:t>Editor</w:t>
            </w:r>
          </w:p>
        </w:tc>
        <w:tc>
          <w:tcPr>
            <w:tcW w:type="dxa" w:w="4320"/>
          </w:tcPr>
          <w:p>
            <w:pPr>
              <w:spacing w:before="20" w:after="20"/>
              <w:jc w:val="left"/>
            </w:pPr>
            <w:r>
              <w:rPr>
                <w:sz w:val="17"/>
              </w:rPr>
              <w:t xml:space="preserve">§ 1 is the political read in one paragraph. </w:t>
            </w:r>
            <w:r>
              <w:rPr>
                <w:b/>
                <w:sz w:val="17"/>
              </w:rPr>
              <w:t>Two package defects found while writing this.</w:t>
            </w:r>
            <w:r>
              <w:rPr>
                <w:sz w:val="17"/>
              </w:rPr>
              <w:t xml:space="preserve"> (i) </w:t>
            </w:r>
            <w:r>
              <w:rPr>
                <w:rFonts w:ascii="Consolas" w:hAnsi="Consolas"/>
                <w:color w:val="303030"/>
                <w:sz w:val="18"/>
              </w:rPr>
              <w:t>00</w:t>
            </w:r>
            <w:r>
              <w:rPr>
                <w:sz w:val="17"/>
              </w:rPr>
              <w:t xml:space="preserve"> v1.3 and </w:t>
            </w:r>
            <w:r>
              <w:rPr>
                <w:rFonts w:ascii="Consolas" w:hAnsi="Consolas"/>
                <w:color w:val="303030"/>
                <w:sz w:val="18"/>
              </w:rPr>
              <w:t>01</w:t>
            </w:r>
            <w:r>
              <w:rPr>
                <w:sz w:val="17"/>
              </w:rPr>
              <w:t xml:space="preserve"> use </w:t>
            </w:r>
            <w:r>
              <w:rPr>
                <w:b/>
                <w:sz w:val="17"/>
              </w:rPr>
              <w:t>37.7</w:t>
            </w:r>
            <w:r>
              <w:rPr>
                <w:sz w:val="17"/>
              </w:rPr>
              <w:t xml:space="preserve"> for the average age of a new state hire, from the </w:t>
            </w:r>
            <w:r>
              <w:rPr>
                <w:b/>
                <w:sz w:val="17"/>
              </w:rPr>
              <w:t>January 2025</w:t>
            </w:r>
            <w:r>
              <w:rPr>
                <w:sz w:val="17"/>
              </w:rPr>
              <w:t xml:space="preserve"> DHRM presentation; the </w:t>
            </w:r>
            <w:r>
              <w:rPr>
                <w:b/>
                <w:sz w:val="17"/>
              </w:rPr>
              <w:t>February 2026</w:t>
            </w:r>
            <w:r>
              <w:rPr>
                <w:sz w:val="17"/>
              </w:rPr>
              <w:t xml:space="preserve"> presentation says </w:t>
            </w:r>
            <w:r>
              <w:rPr>
                <w:b/>
                <w:sz w:val="17"/>
              </w:rPr>
              <w:t>39.1</w:t>
            </w:r>
            <w:r>
              <w:rPr>
                <w:sz w:val="17"/>
              </w:rPr>
              <w:t xml:space="preserve"> (Annex C source 34). Both are real figures from different vintages, and the newer one is </w:t>
            </w:r>
            <w:r>
              <w:rPr>
                <w:b/>
                <w:sz w:val="17"/>
              </w:rPr>
              <w:t>better for us</w:t>
            </w:r>
            <w:r>
              <w:rPr>
                <w:sz w:val="17"/>
              </w:rPr>
              <w:t xml:space="preserve"> — the Commonwealth is hiring </w:t>
            </w:r>
            <w:r>
              <w:rPr>
                <w:i/>
                <w:sz w:val="17"/>
              </w:rPr>
              <w:t>older</w:t>
            </w:r>
            <w:r>
              <w:rPr>
                <w:sz w:val="17"/>
              </w:rPr>
              <w:t>. The package should not mix vintages. (ii) If VNGA or any Guard/Reserve organisation becomes the sponsor, the "how many people" paragraph needs the § 4 cohort facts; Red Team S-4 already requires that rewrite for accuracy.</w:t>
            </w:r>
          </w:p>
        </w:tc>
      </w:tr>
      <w:tr>
        <w:tc>
          <w:tcPr>
            <w:tcW w:type="dxa" w:w="4320"/>
          </w:tcPr>
          <w:p>
            <w:pPr>
              <w:spacing w:before="20" w:after="20"/>
              <w:jc w:val="left"/>
            </w:pPr>
            <w:r>
              <w:rPr>
                <w:b/>
                <w:sz w:val="17"/>
              </w:rPr>
              <w:t>Drafting Specialist</w:t>
            </w:r>
          </w:p>
        </w:tc>
        <w:tc>
          <w:tcPr>
            <w:tcW w:type="dxa" w:w="4320"/>
          </w:tcPr>
          <w:p>
            <w:pPr>
              <w:spacing w:before="20" w:after="20"/>
              <w:jc w:val="left"/>
            </w:pPr>
            <w:r>
              <w:rPr>
                <w:sz w:val="17"/>
              </w:rPr>
              <w:t xml:space="preserve">§ 4 is a political fact about the bill's own eligibility rules that the package has not been presenting: the bill's affirmatively protected cohort is </w:t>
            </w:r>
            <w:r>
              <w:rPr>
                <w:b/>
                <w:sz w:val="17"/>
              </w:rPr>
              <w:t>Guard and Reserve</w:t>
            </w:r>
            <w:r>
              <w:rPr>
                <w:sz w:val="17"/>
              </w:rPr>
              <w:t>, by force of the ch. 1223 exception. That is also the answer to the subcommittee question "who does this actually help."</w:t>
            </w:r>
          </w:p>
        </w:tc>
      </w:tr>
      <w:tr>
        <w:tc>
          <w:tcPr>
            <w:tcW w:type="dxa" w:w="4320"/>
          </w:tcPr>
          <w:p>
            <w:pPr>
              <w:spacing w:before="20" w:after="20"/>
              <w:jc w:val="left"/>
            </w:pPr>
            <w:r>
              <w:rPr>
                <w:b/>
                <w:sz w:val="17"/>
              </w:rPr>
              <w:t>Fiscal &amp; Impact Modeler</w:t>
            </w:r>
          </w:p>
        </w:tc>
        <w:tc>
          <w:tcPr>
            <w:tcW w:type="dxa" w:w="4320"/>
          </w:tcPr>
          <w:p>
            <w:pPr>
              <w:spacing w:before="20" w:after="20"/>
              <w:jc w:val="left"/>
            </w:pPr>
            <w:r>
              <w:rPr>
                <w:b/>
                <w:sz w:val="17"/>
              </w:rPr>
              <w:t>Annex C § 11's basis-points request is narrowed, not closed.</w:t>
            </w:r>
            <w:r>
              <w:rPr>
                <w:sz w:val="17"/>
              </w:rPr>
              <w:t xml:space="preserve"> The blended statewide figure is delivered — </w:t>
            </w:r>
            <w:r>
              <w:rPr>
                <w:rFonts w:ascii="Consolas" w:hAnsi="Consolas"/>
                <w:color w:val="303030"/>
                <w:sz w:val="18"/>
              </w:rPr>
              <w:t>01</w:t>
            </w:r>
            <w:r>
              <w:rPr>
                <w:sz w:val="17"/>
              </w:rPr>
              <w:t xml:space="preserve"> v1.2 carries "0.11%–0.62% of covered payroll, about 1 to 4 basis points over 20 years," and Red Team M-5 computes 0.4–4.4 bp across the corrected grid. </w:t>
            </w:r>
            <w:r>
              <w:rPr>
                <w:b/>
                <w:sz w:val="17"/>
              </w:rPr>
              <w:t>What is still owed is the split: basis points per plan and per employer group (Teacher, state, political subdivision), at low and high take-up.</w:t>
            </w:r>
            <w:r>
              <w:rPr>
                <w:sz w:val="17"/>
              </w:rPr>
              <w:t xml:space="preserve"> That is the number VACo, VML and the Commission on Local Government respond to; a blended statewide figure does not answer a county administrator. Also: </w:t>
            </w:r>
            <w:r>
              <w:rPr>
                <w:b/>
                <w:sz w:val="17"/>
              </w:rPr>
              <w:t>U-11</w:t>
            </w:r>
            <w:r>
              <w:rPr>
                <w:sz w:val="17"/>
              </w:rPr>
              <w:t>, how VRS administers B 3's second limb, is items 9–10 of the VRS data request.</w:t>
            </w:r>
          </w:p>
        </w:tc>
      </w:tr>
      <w:tr>
        <w:tc>
          <w:tcPr>
            <w:tcW w:type="dxa" w:w="4320"/>
          </w:tcPr>
          <w:p>
            <w:pPr>
              <w:spacing w:before="20" w:after="20"/>
              <w:jc w:val="left"/>
            </w:pPr>
            <w:r>
              <w:rPr>
                <w:b/>
                <w:sz w:val="17"/>
              </w:rPr>
              <w:t>Red Team / Counsel Reviewer</w:t>
            </w:r>
          </w:p>
        </w:tc>
        <w:tc>
          <w:tcPr>
            <w:tcW w:type="dxa" w:w="4320"/>
          </w:tcPr>
          <w:p>
            <w:pPr>
              <w:spacing w:before="20" w:after="20"/>
              <w:jc w:val="left"/>
            </w:pPr>
            <w:r>
              <w:rPr>
                <w:sz w:val="17"/>
              </w:rPr>
              <w:t xml:space="preserve">Test two things. (i) </w:t>
            </w:r>
            <w:r>
              <w:rPr>
                <w:b/>
                <w:sz w:val="17"/>
              </w:rPr>
              <w:t>§ 4's cohort reading</w:t>
            </w:r>
            <w:r>
              <w:rPr>
                <w:sz w:val="17"/>
              </w:rPr>
              <w:t xml:space="preserve"> — I am relying on your S-4 and on Annex A § 4, not reading the statute independently, and the sponsor recommendation in § 5 rests entirely on it. If the ch. 1223 asymmetry does not hold as stated, § 5 collapses. (ii) </w:t>
            </w:r>
            <w:r>
              <w:rPr>
                <w:b/>
                <w:sz w:val="17"/>
              </w:rPr>
              <w:t>The confidence labels in § 5</w:t>
            </w:r>
            <w:r>
              <w:rPr>
                <w:sz w:val="17"/>
              </w:rPr>
              <w:t xml:space="preserve">, especially the two inferences doing the most work: VCOC's membership composition (Medium, inferred — interest) and the Guard-member/VRS-member employment overlap (Medium, inferred — interest, </w:t>
            </w:r>
            <w:r>
              <w:rPr>
                <w:b/>
                <w:sz w:val="17"/>
              </w:rPr>
              <w:t>no Virginia data located</w:t>
            </w:r>
            <w:r>
              <w:rPr>
                <w:sz w:val="17"/>
              </w:rPr>
              <w:t>).</w:t>
            </w:r>
          </w:p>
        </w:tc>
      </w:tr>
      <w:tr>
        <w:tc>
          <w:tcPr>
            <w:tcW w:type="dxa" w:w="4320"/>
          </w:tcPr>
          <w:p>
            <w:pPr>
              <w:spacing w:before="20" w:after="20"/>
              <w:jc w:val="left"/>
            </w:pPr>
            <w:r>
              <w:rPr>
                <w:b/>
                <w:sz w:val="17"/>
              </w:rPr>
              <w:t>Statutory Researcher</w:t>
            </w:r>
          </w:p>
        </w:tc>
        <w:tc>
          <w:tcPr>
            <w:tcW w:type="dxa" w:w="4320"/>
          </w:tcPr>
          <w:p>
            <w:pPr>
              <w:spacing w:before="20" w:after="20"/>
              <w:jc w:val="left"/>
            </w:pPr>
            <w:r>
              <w:rPr>
                <w:sz w:val="17"/>
              </w:rPr>
              <w:t>Annex C U-5 is still open: whether any bill 2017–2026 attempted to extend or remove the § 51.1-142.2 window itself.</w:t>
            </w:r>
          </w:p>
        </w:tc>
      </w:tr>
    </w:tbl>
    <w:p>
      <w:pPr>
        <w:spacing w:before="0" w:after="0" w:line="80" w:lineRule="exact"/>
      </w:pPr>
      <w:r>
        <w:rPr>
          <w:sz w:val="8"/>
        </w:rP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D — JLC sponsoring organisation, and the 2026-12-17 submission</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