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MOO-206 — both MOO-205 answers applied</w:t>
      </w:r>
    </w:p>
    <w:p>
      <w:r>
        <w:rPr>
          <w:b/>
        </w:rPr>
        <w:t>Editor, Virginia Policy Lab, 12 October 2026.</w:t>
      </w:r>
      <w:r>
        <w:t xml:space="preserve"> Applying the Policy Director's answers at </w:t>
      </w:r>
      <w:r>
        <w:rPr>
          <w:rFonts w:ascii="Consolas" w:hAnsi="Consolas"/>
        </w:rPr>
        <w:t>moo205-decisions</w:t>
      </w:r>
      <w:r>
        <w:t xml:space="preserve">. </w:t>
      </w:r>
      <w:r>
        <w:rPr>
          <w:b/>
        </w:rPr>
        <w:t>This document is the single source for C2 and for the cohort phrase from today.</w:t>
      </w:r>
      <w:r>
        <w:t xml:space="preserve"> Internal working draft. Pre-decisional.</w:t>
      </w:r>
    </w:p>
    <w:p>
      <w:pPr>
        <w:pStyle w:val="Heading2"/>
      </w:pPr>
      <w:r>
        <w:t>0. What was applied, in one line each</w:t>
      </w:r>
    </w:p>
    <w:p>
      <w:pPr>
        <w:pStyle w:val="ListNumber"/>
      </w:pPr>
      <w:r>
        <w:rPr>
          <w:b/>
        </w:rPr>
        <w:t>C2 — swapped.</w:t>
      </w:r>
      <w:r>
        <w:t xml:space="preserve"> The approved text at MOO-205 §2.4 is reproduced at </w:t>
      </w:r>
      <w:r>
        <w:rPr>
          <w:b/>
        </w:rPr>
        <w:t>§1 below</w:t>
      </w:r>
      <w:r>
        <w:t>, under the</w:t>
      </w:r>
    </w:p>
    <w:p>
      <w:r>
        <w:t xml:space="preserve">dateline </w:t>
      </w:r>
      <w:r>
        <w:rPr>
          <w:i/>
        </w:rPr>
        <w:t>"verified at store revision 68 (12 October 2026)"</w:t>
      </w:r>
      <w:r>
        <w:t xml:space="preserve">, with the §2.4 citation line and the §2.6 MOO-164 caveat travelling with it. </w:t>
      </w:r>
      <w:r>
        <w:rPr>
          <w:b/>
        </w:rPr>
        <w:t>It supersedes MOO-140 §4 for anything dated at 68.</w:t>
      </w:r>
      <w:r>
        <w:t xml:space="preserve"> MOO-140 §4 is not re-dated and not re-issued. </w:t>
      </w:r>
      <w:r>
        <w:rPr>
          <w:b/>
        </w:rPr>
        <w:t>MOO-202 §3.6 was not used.</w:t>
      </w:r>
    </w:p>
    <w:p>
      <w:pPr>
        <w:pStyle w:val="ListNumber"/>
      </w:pPr>
      <w:r>
        <w:t>**Every quoted string in the approved text was checked against the bill, character for</w:t>
      </w:r>
    </w:p>
    <w:p>
      <w:r>
        <w:t>character.</w:t>
      </w:r>
      <w:r>
        <w:rPr>
          <w:b/>
        </w:rPr>
        <w:t xml:space="preserve"> All five quotations match store revision 68. The string the Director struck — *"is not a collection, offset, or withholding for the purposes of this section"* — </w:t>
      </w:r>
      <w:r>
        <w:t>occurs zero times in the bill.** The correction was right. §1.2 gives the counts.</w:t>
      </w:r>
    </w:p>
    <w:p>
      <w:pPr>
        <w:pStyle w:val="ListNumber"/>
      </w:pPr>
      <w:r>
        <w:rPr>
          <w:b/>
        </w:rPr>
        <w:t>The cohort phrase — classified, and the extension has no live site yet.</w:t>
      </w:r>
      <w:r>
        <w:t xml:space="preserve"> The phrase occurs</w:t>
      </w:r>
    </w:p>
    <w:p>
      <w:r>
        <w:rPr>
          <w:b/>
        </w:rPr>
        <w:t>zero times</w:t>
      </w:r>
      <w:r>
        <w:t xml:space="preserve"> in any of the ten sponsor documents and zero times anywhere else in the sponsor-facing surface. Every occurrence in the Lab's records is the </w:t>
      </w:r>
      <w:r>
        <w:rPr>
          <w:b/>
        </w:rPr>
        <w:t>register stating the rule</w:t>
      </w:r>
      <w:r>
        <w:t xml:space="preserve">, not a use of it. So: </w:t>
      </w:r>
      <w:r>
        <w:rPr>
          <w:b/>
        </w:rPr>
        <w:t>class 1 — 0 uses; class 2 — 0 uses; class 3 — 0 uses; sentences split — 0.</w:t>
      </w:r>
      <w:r>
        <w:t xml:space="preserve"> §3 gives the per-document sweep.</w:t>
      </w:r>
    </w:p>
    <w:p>
      <w:pPr>
        <w:pStyle w:val="ListNumber"/>
      </w:pPr>
      <w:r>
        <w:rPr>
          <w:b/>
        </w:rPr>
        <w:t>Four things I did not do, and flagged instead of guessing.</w:t>
      </w:r>
      <w:r>
        <w:t xml:space="preserve"> They are at §4. The one that</w:t>
      </w:r>
    </w:p>
    <w:p>
      <w:r>
        <w:t xml:space="preserve">needs the Policy Director is </w:t>
      </w:r>
      <w:r>
        <w:rPr>
          <w:b/>
        </w:rPr>
        <w:t>§4.1</w:t>
      </w:r>
      <w:r>
        <w:t xml:space="preserve">: the ten documents cannot take either edit in place, because </w:t>
      </w:r>
      <w:r>
        <w:rPr>
          <w:rFonts w:ascii="Consolas" w:hAnsi="Consolas"/>
        </w:rPr>
        <w:t>v2.0</w:t>
      </w:r>
      <w:r>
        <w:t xml:space="preserve"> is frozen.</w:t>
      </w:r>
    </w:p>
    <w:p>
      <w:r>
        <w:rPr>
          <w:b/>
        </w:rPr>
        <w:t>No figure moved. No bill text was cut. Nothing was softened.</w:t>
      </w:r>
    </w:p>
    <w:p>
      <w:pPr>
        <w:pStyle w:val="Heading2"/>
      </w:pPr>
      <w:r>
        <w:t>1. C2 — the approved text, as it is to be printed from today</w:t>
      </w:r>
    </w:p>
    <w:p>
      <w:pPr>
        <w:pStyle w:val="Heading3"/>
      </w:pPr>
      <w:r>
        <w:t>1.1 The text</w:t>
      </w:r>
    </w:p>
    <w:p>
      <w:r>
        <w:rPr>
          <w:b/>
        </w:rPr>
        <w:t>Verified at store revision 68 (12 October 2026).</w:t>
      </w:r>
      <w:r>
        <w:t xml:space="preserve"> Source: Policy Director, MOO-205 §2.4, reproduced verbatim. </w:t>
      </w:r>
      <w:r>
        <w:rPr>
          <w:b/>
        </w:rPr>
        <w:t>This supersedes MOO-140 §4 for every artifact dated at store revision 68.</w:t>
      </w:r>
    </w:p>
    <w:p>
      <w:pPr>
        <w:ind w:left="504"/>
      </w:pPr>
      <w:r>
        <w:rPr>
          <w:b/>
        </w:rPr>
        <w:t>A member whose purchase has not settled, and who has no disability application pending, can wait months with no retirement allowance at all, and the catch-up payment carries no interest.</w:t>
      </w:r>
      <w:r>
        <w:rPr>
          <w:i/>
        </w:rPr>
        <w:t xml:space="preserve"> On the face of subdivision G 2 the Board may pay her no retirement allowance until the cutback determination takes effect. The clock starts at the earlier of her final qualifying retirement date and the date she retires in a retirement that is not a qualifying retirement — a date the Board does not choose. From that date the Board has 60 days to decide and 60 days to give her written notice, and the determination may not take effect for a further 30 days, or 33 where the notice was mailed. </w:t>
      </w:r>
      <w:r>
        <w:rPr>
          <w:b/>
        </w:rPr>
        <w:t>That is up to 120 days at zero allowance where the Board meets each of its own deadlines.</w:t>
      </w:r>
      <w:r>
        <w:rPr>
          <w:i/>
        </w:rPr>
        <w:t xml:space="preserve"> It runs longer in three cases. The 120-day limit yields expressly where the Board gives its notice late, and the determination then takes effect 30 days — 33 if mailed — after whenever the notice comes. It yields on the same terms where the Board does not give the notice at all, and in that case the bill sets </w:t>
      </w:r>
      <w:r>
        <w:rPr>
          <w:b/>
        </w:rPr>
        <w:t>no outer bound</w:t>
      </w:r>
      <w:r>
        <w:rPr>
          <w:i/>
        </w:rPr>
        <w:t xml:space="preserve"> on how long she waits. And a reconsideration request of her own stops every one of these clocks for up to a further 120 days, with no allowance while it runs. Her refund follows within 60 days after the determination takes effect. Her first payment is made whole from her effective date of retirement, but it carries no interest for the months she waited.  This sits two subsections below subsection F's promise that </w:t>
      </w:r>
      <w:r>
        <w:rPr>
          <w:i/>
        </w:rPr>
        <w:t>"no amount shall be collected, offset, or withheld from any member, retiree, or beneficiary on that account."</w:t>
      </w:r>
      <w:r>
        <w:rPr>
          <w:i/>
        </w:rPr>
        <w:t xml:space="preserve"> Subsection F answers that juxtaposition in terms, and it answers it against the member: it provides that </w:t>
      </w:r>
      <w:r>
        <w:rPr>
          <w:i/>
        </w:rPr>
        <w:t>"[n]othing required or permitted by subdivision G 2 … including any deferral of payment of a retirement allowance that subdivision G 2 requires until a determination under that subdivision takes effect … is a collection, offset, or withholding for the purposes of this section,"</w:t>
      </w:r>
      <w:r>
        <w:rPr>
          <w:i/>
        </w:rPr>
        <w:t xml:space="preserve"> and that </w:t>
      </w:r>
      <w:r>
        <w:rPr>
          <w:i/>
        </w:rPr>
        <w:t>"no amount payable to the member or to any survivor, beneficiary, or estate of the member shall be reduced by reason of any such deferral or application."</w:t>
      </w:r>
      <w:r>
        <w:rPr>
          <w:i/>
        </w:rPr>
        <w:t xml:space="preserve"> So the two provisions do not read as a contradiction on the face of the bill. Subsection F is what makes the wait lawful, and what it preserves is her money and not her time. The wait itself is the exposure.  The provision has been repaired repeatedly and the memo should say so. The old deadline ran from the final qualifying retirement date and could fall years out; the first payment is now made whole from the effective date of retirement; the member's allowance is no longer withheld while a disability application of hers is pending; the determination can no longer take effect inside her own reconsideration period; and the Board's own delay in acting on a reconsideration request can no longer extend the tolling it would otherwise earn. </w:t>
      </w:r>
      <w:r>
        <w:rPr>
          <w:b/>
        </w:rPr>
        <w:t>The window survives the repairs</w:t>
      </w:r>
      <w:r>
        <w:rPr>
          <w:i/>
        </w:rPr>
        <w:t>, and that is what belongs in front of a committee.</w:t>
      </w:r>
    </w:p>
    <w:p>
      <w:r>
        <w:rPr>
          <w:b/>
        </w:rPr>
        <w:t>Citation to carry</w:t>
      </w:r>
      <w:r>
        <w:t xml:space="preserve"> — reproduced from MOO-205 §2.4, and it travels with the text everywhere:</w:t>
      </w:r>
    </w:p>
    <w:p>
      <w:pPr>
        <w:ind w:left="504"/>
      </w:pPr>
      <w:r>
        <w:rPr>
          <w:i/>
        </w:rPr>
        <w:t xml:space="preserve">§ 51.1-142.4 G 2, G 4, subsection F, </w:t>
      </w:r>
      <w:r>
        <w:rPr>
          <w:b/>
        </w:rPr>
        <w:t>subdivision M 2, and the final interpretation paragraph of subsection A</w:t>
      </w:r>
      <w:r>
        <w:rPr>
          <w:i/>
        </w:rPr>
        <w:t xml:space="preserve">, bill text </w:t>
      </w:r>
      <w:r>
        <w:rPr>
          <w:b/>
        </w:rPr>
        <w:t>store revision 68</w:t>
      </w:r>
      <w:r>
        <w:rPr>
          <w:i/>
        </w:rPr>
        <w:t xml:space="preserve"> (12 October 2026); </w:t>
      </w:r>
      <w:r>
        <w:rPr>
          <w:i/>
        </w:rPr>
        <w:t>MOO-82</w:t>
      </w:r>
      <w:r>
        <w:rPr>
          <w:i/>
        </w:rPr>
        <w:t xml:space="preserve"> findings m-2 and M-1, via MOO-90 and </w:t>
      </w:r>
      <w:r>
        <w:rPr>
          <w:i/>
        </w:rPr>
        <w:t>MOO-133</w:t>
      </w:r>
      <w:r>
        <w:rPr>
          <w:i/>
        </w:rPr>
        <w:t xml:space="preserve">; the figure and its condition are the Policy Director's answer at </w:t>
      </w:r>
      <w:r>
        <w:rPr>
          <w:i/>
        </w:rPr>
        <w:t>MOO-140</w:t>
      </w:r>
      <w:r>
        <w:rPr>
          <w:i/>
        </w:rPr>
        <w:t xml:space="preserve"> §4, as approved for store revision 68 at </w:t>
      </w:r>
      <w:r>
        <w:rPr>
          <w:i/>
        </w:rPr>
        <w:t>MOO-205</w:t>
      </w:r>
      <w:r>
        <w:rPr>
          <w:i/>
        </w:rPr>
        <w:t xml:space="preserve">; the disability carve-out is the Director's item-46 answer and is </w:t>
      </w:r>
      <w:r>
        <w:rPr>
          <w:b/>
        </w:rPr>
        <w:t>permissive</w:t>
      </w:r>
      <w:r>
        <w:rPr>
          <w:i/>
        </w:rPr>
        <w:t xml:space="preserve"> — write </w:t>
      </w:r>
      <w:r>
        <w:rPr>
          <w:i/>
        </w:rPr>
        <w:t>the bar does not apply</w:t>
      </w:r>
      <w:r>
        <w:rPr>
          <w:i/>
        </w:rPr>
        <w:t xml:space="preserve">, never </w:t>
      </w:r>
      <w:r>
        <w:rPr>
          <w:i/>
        </w:rPr>
        <w:t>the Board must pay</w:t>
      </w:r>
      <w:r>
        <w:rPr>
          <w:i/>
        </w:rPr>
        <w:t xml:space="preserve">; the unbounded never-notice case is §7 item 100, </w:t>
      </w:r>
      <w:r>
        <w:rPr>
          <w:b/>
        </w:rPr>
        <w:t>open</w:t>
      </w:r>
      <w:r>
        <w:rPr>
          <w:i/>
        </w:rPr>
        <w:t>.</w:t>
      </w:r>
    </w:p>
    <w:p>
      <w:r>
        <w:rPr>
          <w:b/>
        </w:rPr>
        <w:t>Footnote to the figure</w:t>
      </w:r>
      <w:r>
        <w:t xml:space="preserve"> — the MOO-164 caveat, reproduced from MOO-205 §2.6. It goes as the footnote to the sentence carrying the 120, or as the sentence immediately after it, and it travels until MOO-164 lands:</w:t>
      </w:r>
    </w:p>
    <w:p>
      <w:pPr>
        <w:ind w:left="504"/>
      </w:pPr>
      <w:r>
        <w:rPr>
          <w:i/>
        </w:rPr>
        <w:t>Periods stated here are read off the bill text at store revision 68 of 12 October 2026. The clock convention in subdivision G 2 is under decision on MOO-164; the figure is anchored to a date the Board does not choose and will not move, but the condition attached to it may change when that decision lands.</w:t>
      </w:r>
    </w:p>
    <w:p>
      <w:pPr>
        <w:pStyle w:val="Heading3"/>
      </w:pPr>
      <w:r>
        <w:t>1.2 Every quotation checked against the bill, character for character</w:t>
      </w:r>
    </w:p>
    <w:p>
      <w:r>
        <w:t xml:space="preserve">The whole of the Director's correction at MOO-205 §2.3 was a quotation defect, so I checked the quotations rather than assuming them. Source: </w:t>
      </w:r>
      <w:r>
        <w:rPr>
          <w:rFonts w:ascii="Consolas" w:hAnsi="Consolas"/>
        </w:rPr>
        <w:t>bill-text-s8</w:t>
      </w:r>
      <w:r>
        <w:t xml:space="preserve"> on </w:t>
      </w:r>
      <w:r>
        <w:t>MOO-42</w:t>
      </w:r>
      <w:r>
        <w:t xml:space="preserve">, document revision </w:t>
      </w:r>
      <w:r>
        <w:rPr>
          <w:rFonts w:ascii="Consolas" w:hAnsi="Consolas"/>
        </w:rPr>
        <w:t>db67d2bb-9cb2-4476-99e1-8281e689d066</w:t>
      </w:r>
      <w:r>
        <w:t xml:space="preserve"> — the same revision MOO-205 §0 names, whose byline reads </w:t>
      </w:r>
      <w:r>
        <w:rPr>
          <w:i/>
        </w:rPr>
        <w:t>"store revision 68 · 12 October 2026."</w:t>
      </w:r>
      <w:r>
        <w:t xml:space="preserve"> Exact substring counts over the whole 449,196 characters:</w:t>
      </w:r>
    </w:p>
    <w:tbl>
      <w:tblPr>
        <w:tblStyle w:val="TableGrid"/>
        <w:tblW w:type="auto" w:w="0"/>
        <w:tblLook w:firstColumn="1" w:firstRow="1" w:lastColumn="0" w:lastRow="0" w:noHBand="0" w:noVBand="1" w:val="04A0"/>
      </w:tblPr>
      <w:tblGrid>
        <w:gridCol w:w="4320"/>
        <w:gridCol w:w="4320"/>
      </w:tblGrid>
      <w:tr>
        <w:tc>
          <w:tcPr>
            <w:tcW w:type="dxa" w:w="4320"/>
          </w:tcPr>
          <w:p>
            <w:r>
              <w:rPr>
                <w:b/>
              </w:rPr>
              <w:t>String as printed in the approved text</w:t>
            </w:r>
          </w:p>
        </w:tc>
        <w:tc>
          <w:tcPr>
            <w:tcW w:type="dxa" w:w="4320"/>
          </w:tcPr>
          <w:p>
            <w:r>
              <w:rPr>
                <w:b/>
              </w:rPr>
              <w:t>Occurrences in the bill</w:t>
            </w:r>
          </w:p>
        </w:tc>
      </w:tr>
      <w:tr>
        <w:tc>
          <w:tcPr>
            <w:tcW w:type="dxa" w:w="4320"/>
          </w:tcPr>
          <w:p>
            <w:r>
              <w:rPr>
                <w:i/>
              </w:rPr>
              <w:t>no amount shall be collected, offset, or withheld from any member, retiree, or beneficiary on that account</w:t>
            </w:r>
          </w:p>
        </w:tc>
        <w:tc>
          <w:tcPr>
            <w:tcW w:type="dxa" w:w="4320"/>
          </w:tcPr>
          <w:p>
            <w:r>
              <w:rPr>
                <w:b/>
              </w:rPr>
              <w:t>1</w:t>
            </w:r>
          </w:p>
        </w:tc>
      </w:tr>
      <w:tr>
        <w:tc>
          <w:tcPr>
            <w:tcW w:type="dxa" w:w="4320"/>
          </w:tcPr>
          <w:p>
            <w:r>
              <w:rPr>
                <w:i/>
              </w:rPr>
              <w:t>Nothing required or permitted by subdivision G 2</w:t>
            </w:r>
          </w:p>
        </w:tc>
        <w:tc>
          <w:tcPr>
            <w:tcW w:type="dxa" w:w="4320"/>
          </w:tcPr>
          <w:p>
            <w:r>
              <w:rPr>
                <w:b/>
              </w:rPr>
              <w:t>1</w:t>
            </w:r>
          </w:p>
        </w:tc>
      </w:tr>
      <w:tr>
        <w:tc>
          <w:tcPr>
            <w:tcW w:type="dxa" w:w="4320"/>
          </w:tcPr>
          <w:p>
            <w:r>
              <w:rPr>
                <w:i/>
              </w:rPr>
              <w:t>including any deferral of payment of a retirement allowance that subdivision G 2 requires until a determination under that subdivision takes effect</w:t>
            </w:r>
          </w:p>
        </w:tc>
        <w:tc>
          <w:tcPr>
            <w:tcW w:type="dxa" w:w="4320"/>
          </w:tcPr>
          <w:p>
            <w:r>
              <w:rPr>
                <w:b/>
              </w:rPr>
              <w:t>1</w:t>
            </w:r>
          </w:p>
        </w:tc>
      </w:tr>
      <w:tr>
        <w:tc>
          <w:tcPr>
            <w:tcW w:type="dxa" w:w="4320"/>
          </w:tcPr>
          <w:p>
            <w:r>
              <w:rPr>
                <w:i/>
              </w:rPr>
              <w:t>is a collection, offset, or withholding for the purposes of this section</w:t>
            </w:r>
          </w:p>
        </w:tc>
        <w:tc>
          <w:tcPr>
            <w:tcW w:type="dxa" w:w="4320"/>
          </w:tcPr>
          <w:p>
            <w:r>
              <w:rPr>
                <w:b/>
              </w:rPr>
              <w:t>1</w:t>
            </w:r>
          </w:p>
        </w:tc>
      </w:tr>
      <w:tr>
        <w:tc>
          <w:tcPr>
            <w:tcW w:type="dxa" w:w="4320"/>
          </w:tcPr>
          <w:p>
            <w:r>
              <w:rPr>
                <w:i/>
              </w:rPr>
              <w:t>no amount payable to the member or to any survivor, beneficiary, or estate of the member shall be reduced by reason of any such deferral or application</w:t>
            </w:r>
          </w:p>
        </w:tc>
        <w:tc>
          <w:tcPr>
            <w:tcW w:type="dxa" w:w="4320"/>
          </w:tcPr>
          <w:p>
            <w:r>
              <w:rPr>
                <w:b/>
              </w:rPr>
              <w:t>1</w:t>
            </w:r>
          </w:p>
        </w:tc>
      </w:tr>
      <w:tr>
        <w:tc>
          <w:tcPr>
            <w:tcW w:type="dxa" w:w="4320"/>
          </w:tcPr>
          <w:p>
            <w:r>
              <w:rPr>
                <w:b/>
              </w:rPr>
              <w:t>the struck string</w:t>
            </w:r>
            <w:r>
              <w:t xml:space="preserve"> — </w:t>
            </w:r>
            <w:r>
              <w:rPr>
                <w:i/>
              </w:rPr>
              <w:t>is not a collection, offset, or withholding for the purposes of this section</w:t>
            </w:r>
          </w:p>
        </w:tc>
        <w:tc>
          <w:tcPr>
            <w:tcW w:type="dxa" w:w="4320"/>
          </w:tcPr>
          <w:p>
            <w:r>
              <w:rPr>
                <w:b/>
              </w:rPr>
              <w:t>0</w:t>
            </w:r>
          </w:p>
        </w:tc>
      </w:tr>
    </w:tbl>
    <w:p>
      <w:r>
        <w:t xml:space="preserve">So the approved text is quotable as printed, and </w:t>
      </w:r>
      <w:r>
        <w:rPr>
          <w:b/>
        </w:rPr>
        <w:t>MOO-202 §3.6 was not quotable</w:t>
      </w:r>
      <w:r>
        <w:t xml:space="preserve">. The </w:t>
      </w:r>
      <w:r>
        <w:rPr>
          <w:rFonts w:ascii="Consolas" w:hAnsi="Consolas"/>
        </w:rPr>
        <w:t>[n]othing</w:t>
      </w:r>
      <w:r>
        <w:t xml:space="preserve"> bracket is right too: the bill's sentence opens </w:t>
      </w:r>
      <w:r>
        <w:rPr>
          <w:i/>
        </w:rPr>
        <w:t>"Nothing required or permitted by subdivision G 2,"</w:t>
      </w:r>
      <w:r>
        <w:t xml:space="preserve"> so lowercasing the N inside brackets is the correct mid-sentence convention and not a silent change.</w:t>
      </w:r>
    </w:p>
    <w:p>
      <w:pPr>
        <w:pStyle w:val="Heading3"/>
      </w:pPr>
      <w:r>
        <w:t>1.3 Where the swap landed, and where it did not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Document</w:t>
            </w:r>
          </w:p>
        </w:tc>
        <w:tc>
          <w:tcPr>
            <w:tcW w:type="dxa" w:w="2880"/>
          </w:tcPr>
          <w:p>
            <w:r>
              <w:rPr>
                <w:b/>
              </w:rPr>
              <w:t>What changed</w:t>
            </w:r>
          </w:p>
        </w:tc>
        <w:tc>
          <w:tcPr>
            <w:tcW w:type="dxa" w:w="2880"/>
          </w:tcPr>
          <w:p>
            <w:r>
              <w:rPr>
                <w:b/>
              </w:rPr>
              <w:t>Dateline</w:t>
            </w:r>
          </w:p>
        </w:tc>
      </w:tr>
      <w:tr>
        <w:tc>
          <w:tcPr>
            <w:tcW w:type="dxa" w:w="2880"/>
          </w:tcPr>
          <w:p>
            <w:r>
              <w:rPr>
                <w:b/>
              </w:rPr>
              <w:t>This document, [`moo206-applied`](/MOO/issues/MOO-206#document-moo206-applied) §1</w:t>
            </w:r>
          </w:p>
        </w:tc>
        <w:tc>
          <w:tcPr>
            <w:tcW w:type="dxa" w:w="2880"/>
          </w:tcPr>
          <w:p>
            <w:r>
              <w:rPr>
                <w:b/>
              </w:rPr>
              <w:t>The C2 swap.</w:t>
            </w:r>
            <w:r>
              <w:t xml:space="preserve"> The approved §2.4 text is printed here with its citation line and its caveat. Any artifact printing C2 from today takes it from here</w:t>
            </w:r>
          </w:p>
        </w:tc>
        <w:tc>
          <w:tcPr>
            <w:tcW w:type="dxa" w:w="2880"/>
          </w:tcPr>
          <w:p>
            <w:r>
              <w:rPr>
                <w:b/>
              </w:rPr>
              <w:t>store revision 68</w:t>
            </w:r>
            <w:r>
              <w:t>, 12 October 2026</w:t>
            </w:r>
          </w:p>
        </w:tc>
      </w:tr>
      <w:tr>
        <w:tc>
          <w:tcPr>
            <w:tcW w:type="dxa" w:w="2880"/>
          </w:tcPr>
          <w:p>
            <w:r>
              <w:rPr>
                <w:b/>
              </w:rPr>
              <w:t>[`risk-section-carry-through-pass17`](/MOO/issues/MOO-160#document-risk-section-carry-through-pass17) §4</w:t>
            </w:r>
            <w:r>
              <w:t>, the zero-allowance-window rule</w:t>
            </w:r>
          </w:p>
        </w:tc>
        <w:tc>
          <w:tcPr>
            <w:tcW w:type="dxa" w:w="2880"/>
          </w:tcPr>
          <w:p>
            <w:r>
              <w:rPr>
                <w:b/>
              </w:rPr>
              <w:t>Pointer superseded, by §2 below.</w:t>
            </w:r>
            <w:r>
              <w:t xml:space="preserve"> It reads </w:t>
            </w:r>
            <w:r>
              <w:rPr>
                <w:i/>
              </w:rPr>
              <w:t>"C2 enters §8 in the replacement form at MOO-140 §4 … Use that text, not MOO-90's."</w:t>
            </w:r>
            <w:r>
              <w:t xml:space="preserve"> That instruction is now wrong for anything dated at 68</w:t>
            </w:r>
          </w:p>
        </w:tc>
        <w:tc>
          <w:tcPr>
            <w:tcW w:type="dxa" w:w="2880"/>
          </w:tcPr>
          <w:p>
            <w:r>
              <w:t>was store revision 47</w:t>
            </w:r>
          </w:p>
        </w:tc>
      </w:tr>
      <w:tr>
        <w:tc>
          <w:tcPr>
            <w:tcW w:type="dxa" w:w="2880"/>
          </w:tcPr>
          <w:p>
            <w:r>
              <w:rPr>
                <w:b/>
              </w:rPr>
              <w:t>[`c2-zero-allowance-answer`](/MOO/issues/MOO-140#document-c2-zero-allowance-answer) §4</w:t>
            </w:r>
          </w:p>
        </w:tc>
        <w:tc>
          <w:tcPr>
            <w:tcW w:type="dxa" w:w="2880"/>
          </w:tcPr>
          <w:p>
            <w:r>
              <w:rPr>
                <w:b/>
              </w:rPr>
              <w:t>Untouched, and still correct for what it is</w:t>
            </w:r>
            <w:r>
              <w:t xml:space="preserve"> — an answer verified at store revision 47. Not re-dated, not re-issued, as the Director directed</w:t>
            </w:r>
          </w:p>
        </w:tc>
        <w:tc>
          <w:tcPr>
            <w:tcW w:type="dxa" w:w="2880"/>
          </w:tcPr>
          <w:p>
            <w:r>
              <w:t>store revision 47</w:t>
            </w:r>
          </w:p>
        </w:tc>
      </w:tr>
      <w:tr>
        <w:tc>
          <w:tcPr>
            <w:tcW w:type="dxa" w:w="2880"/>
          </w:tcPr>
          <w:p>
            <w:r>
              <w:rPr>
                <w:b/>
              </w:rPr>
              <w:t>[`moo202-risk-items-restated`](/MOO/issues/MOO-202#document-moo202-risk-items-restated) §3.6</w:t>
            </w:r>
          </w:p>
        </w:tc>
        <w:tc>
          <w:tcPr>
            <w:tcW w:type="dxa" w:w="2880"/>
          </w:tcPr>
          <w:p>
            <w:r>
              <w:rPr>
                <w:b/>
              </w:rPr>
              <w:t>Not used, and not edited.</w:t>
            </w:r>
            <w:r>
              <w:t xml:space="preserve"> Its middle paragraph is the defective quotation. It is the Drafting Specialist's record of a restatement that was approved as corrected, and it stays as the record</w:t>
            </w:r>
          </w:p>
        </w:tc>
        <w:tc>
          <w:tcPr>
            <w:tcW w:type="dxa" w:w="2880"/>
          </w:tcPr>
          <w:p>
            <w:r>
              <w:t>—</w:t>
            </w:r>
          </w:p>
        </w:tc>
      </w:tr>
      <w:tr>
        <w:tc>
          <w:tcPr>
            <w:tcW w:type="dxa" w:w="2880"/>
          </w:tcPr>
          <w:p>
            <w:r>
              <w:rPr>
                <w:b/>
              </w:rPr>
              <w:t>The ten sponsor documents</w:t>
            </w:r>
          </w:p>
        </w:tc>
        <w:tc>
          <w:tcPr>
            <w:tcW w:type="dxa" w:w="2880"/>
          </w:tcPr>
          <w:p>
            <w:r>
              <w:rPr>
                <w:b/>
              </w:rPr>
              <w:t>No change, and none was possible — see §4.1.</w:t>
            </w:r>
            <w:r>
              <w:t xml:space="preserve"> None of them prints C2, or any figure for the zero-allowance window</w:t>
            </w:r>
          </w:p>
        </w:tc>
        <w:tc>
          <w:tcPr>
            <w:tcW w:type="dxa" w:w="2880"/>
          </w:tcPr>
          <w:p>
            <w:r>
              <w:rPr>
                <w:rFonts w:ascii="Consolas" w:hAnsi="Consolas"/>
              </w:rPr>
              <w:t>v2.0</w:t>
            </w:r>
            <w:r>
              <w:t>, frozen</w:t>
            </w:r>
          </w:p>
        </w:tc>
      </w:tr>
    </w:tbl>
    <w:p>
      <w:r>
        <w:rPr>
          <w:b/>
        </w:rPr>
        <w:t>One compliance statement worth having on the record.</w:t>
      </w:r>
      <w:r>
        <w:t xml:space="preserve"> The binding drafting rule — a figure for the window must carry </w:t>
      </w:r>
      <w:r>
        <w:rPr>
          <w:i/>
        </w:rPr>
        <w:t>"where the Board meets each of its own deadlines"</w:t>
      </w:r>
      <w:r>
        <w:t xml:space="preserve"> </w:t>
      </w:r>
      <w:r>
        <w:rPr>
          <w:b/>
        </w:rPr>
        <w:t>in the same sentence</w:t>
      </w:r>
      <w:r>
        <w:t xml:space="preserve"> — has </w:t>
      </w:r>
      <w:r>
        <w:rPr>
          <w:b/>
        </w:rPr>
        <w:t>no live site in any of the ten documents</w:t>
      </w:r>
      <w:r>
        <w:t xml:space="preserve">: no window figure appears in any of them. The only </w:t>
      </w:r>
      <w:r>
        <w:rPr>
          <w:rFonts w:ascii="Consolas" w:hAnsi="Consolas"/>
        </w:rPr>
        <w:t>120</w:t>
      </w:r>
      <w:r>
        <w:t xml:space="preserve"> outside the reproduced bill text in document 05 is a take-up percentage in </w:t>
      </w:r>
      <w:r>
        <w:rPr>
          <w:rFonts w:ascii="Consolas" w:hAnsi="Consolas"/>
        </w:rPr>
        <w:t>03-decision-memo.md</w:t>
      </w:r>
      <w:r>
        <w:t>. So no artifact prints the figure without its condition, and none is at risk of doing so until C2 is built into a risk section.</w:t>
      </w:r>
    </w:p>
    <w:p>
      <w:pPr>
        <w:pStyle w:val="Heading2"/>
      </w:pPr>
      <w:r>
        <w:t>2. The register pointer, as it now stands</w:t>
      </w:r>
    </w:p>
    <w:p>
      <w:r>
        <w:t xml:space="preserve">The standing rule in the carry-through register pointed C2 at MOO-140 §4. </w:t>
      </w:r>
      <w:r>
        <w:rPr>
          <w:b/>
        </w:rPr>
        <w:t>That pointer is superseded for anything dated at store revision 68.</w:t>
      </w:r>
      <w:r>
        <w:t xml:space="preserve"> The rule as it now reads, and this is the whole of it:</w:t>
      </w:r>
    </w:p>
    <w:p>
      <w:pPr>
        <w:ind w:left="504"/>
      </w:pPr>
      <w:r>
        <w:rPr>
          <w:b/>
        </w:rPr>
        <w:t>The zero-allowance window.</w:t>
      </w:r>
      <w:r>
        <w:rPr>
          <w:i/>
        </w:rPr>
        <w:t xml:space="preserve"> A figure for the window requires the words </w:t>
      </w:r>
      <w:r>
        <w:rPr>
          <w:i/>
        </w:rPr>
        <w:t>"where the Board meets each of its own deadlines"</w:t>
      </w:r>
      <w:r>
        <w:rPr>
          <w:i/>
        </w:rPr>
        <w:t xml:space="preserve"> </w:t>
      </w:r>
      <w:r>
        <w:rPr>
          <w:b/>
        </w:rPr>
        <w:t>in the same sentence as the figure</w:t>
      </w:r>
      <w:r>
        <w:rPr>
          <w:i/>
        </w:rPr>
        <w:t xml:space="preserve">. The figure is </w:t>
      </w:r>
      <w:r>
        <w:rPr>
          <w:b/>
        </w:rPr>
        <w:t>up to 120 days</w:t>
      </w:r>
      <w:r>
        <w:rPr>
          <w:i/>
        </w:rPr>
        <w:t xml:space="preserve">. The claim that the window applies to every member who fails to retire in a qualifying retirement is </w:t>
      </w:r>
      <w:r>
        <w:rPr>
          <w:b/>
        </w:rPr>
        <w:t>permanently barred</w:t>
      </w:r>
      <w:r>
        <w:rPr>
          <w:i/>
        </w:rPr>
        <w:t xml:space="preserve">. </w:t>
      </w:r>
      <w:r>
        <w:rPr>
          <w:b/>
        </w:rPr>
        <w:t>C2 enters the risk section in the text at [`moo206-applied`](/MOO/issues/MOO-206#document-moo206-applied) §1</w:t>
      </w:r>
      <w:r>
        <w:rPr>
          <w:i/>
        </w:rPr>
        <w:t xml:space="preserve">, with that section's citation line and the MOO-164 caveat — </w:t>
      </w:r>
      <w:r>
        <w:rPr>
          <w:b/>
        </w:rPr>
        <w:t>not</w:t>
      </w:r>
      <w:r>
        <w:rPr>
          <w:i/>
        </w:rPr>
        <w:t xml:space="preserve"> in MOO-140 §4's words, </w:t>
      </w:r>
      <w:r>
        <w:rPr>
          <w:b/>
        </w:rPr>
        <w:t>not</w:t>
      </w:r>
      <w:r>
        <w:rPr>
          <w:i/>
        </w:rPr>
        <w:t xml:space="preserve"> in MOO-90's, and </w:t>
      </w:r>
      <w:r>
        <w:rPr>
          <w:b/>
        </w:rPr>
        <w:t>not</w:t>
      </w:r>
      <w:r>
        <w:rPr>
          <w:i/>
        </w:rPr>
        <w:t xml:space="preserve"> in MOO-202 §3.6's. </w:t>
      </w:r>
      <w:r>
        <w:rPr>
          <w:b/>
        </w:rPr>
        <w:t>MOO-140 §4 verbatim remains correct for any artifact already dated at store revision 47; do not re-date it.</w:t>
      </w:r>
      <w:r>
        <w:rPr>
          <w:i/>
        </w:rPr>
        <w:t xml:space="preserve"> The forbidden combination stays forbidden: revision 47 words must never appear under a store revision 68 dateline. Item 46 is </w:t>
      </w:r>
      <w:r>
        <w:rPr>
          <w:b/>
        </w:rPr>
        <w:t>permissive</w:t>
      </w:r>
      <w:r>
        <w:rPr>
          <w:i/>
        </w:rPr>
        <w:t xml:space="preserve"> — write </w:t>
      </w:r>
      <w:r>
        <w:rPr>
          <w:i/>
        </w:rPr>
        <w:t>the bar does not apply</w:t>
      </w:r>
      <w:r>
        <w:rPr>
          <w:i/>
        </w:rPr>
        <w:t xml:space="preserve">, never </w:t>
      </w:r>
      <w:r>
        <w:rPr>
          <w:i/>
        </w:rPr>
        <w:t>the Board must pay</w:t>
      </w:r>
      <w:r>
        <w:rPr>
          <w:i/>
        </w:rPr>
        <w:t>.</w:t>
      </w:r>
    </w:p>
    <w:p>
      <w:r>
        <w:t>Authority: Policy Director, MOO-205 §§2.4, 2.5, 2.6 and §4, adopting MOO-202 §3.6 as corrected.</w:t>
      </w:r>
    </w:p>
    <w:p>
      <w:pPr>
        <w:pStyle w:val="Heading2"/>
      </w:pPr>
      <w:r>
        <w:t>3. The cohort phrase — the sweep, and the classification</w:t>
      </w:r>
    </w:p>
    <w:p>
      <w:pPr>
        <w:pStyle w:val="Heading3"/>
      </w:pPr>
      <w:r>
        <w:t>3.1 The rule, as amended, reproduced so there is one place to read it</w:t>
      </w:r>
    </w:p>
    <w:p>
      <w:r>
        <w:t>Source: Policy Director, MOO-205 §3.5. This is the whole of the register entry and it replaces the earlier one:</w:t>
      </w:r>
    </w:p>
    <w:p>
      <w:pPr>
        <w:ind w:left="504"/>
      </w:pPr>
      <w:r>
        <w:rPr>
          <w:b/>
        </w:rPr>
        <w:t>Cohort phrase.</w:t>
      </w:r>
      <w:r>
        <w:rPr>
          <w:i/>
        </w:rPr>
        <w:t xml:space="preserve"> Where a sentence names the cohort behind a figure, write verbatim: </w:t>
      </w:r>
      <w:r>
        <w:rPr>
          <w:i/>
        </w:rPr>
        <w:t>"the unreduced subdivision A 1 cohort, reached through § 51.1-153 A, B 2 or B 3."</w:t>
      </w:r>
      <w:r>
        <w:rPr>
          <w:i/>
        </w:rPr>
        <w:t xml:space="preserve"> Where a sentence describes the bill's admission test, write: </w:t>
      </w:r>
      <w:r>
        <w:rPr>
          <w:i/>
        </w:rPr>
        <w:t>"reached through § 51.1-153 A, B 2 or B 3, or, on an involuntary separation or a lawfully abolished office, through subsection A or C of § 51.1-155.1."</w:t>
      </w:r>
      <w:r>
        <w:rPr>
          <w:i/>
        </w:rPr>
        <w:t xml:space="preserve"> Do not write </w:t>
      </w:r>
      <w:r>
        <w:rPr>
          <w:i/>
        </w:rPr>
        <w:t>"only"</w:t>
      </w:r>
      <w:r>
        <w:rPr>
          <w:i/>
        </w:rPr>
        <w:t xml:space="preserve"> with either form, and do not name any further provision of § 51.1-155.1 or § 51.1-155.2 while §7 item 47 is open. Where the extended form stands beside a figure, add: </w:t>
      </w:r>
      <w:r>
        <w:rPr>
          <w:i/>
        </w:rPr>
        <w:t>"Neither of those two routes carries weight in the modelled distribution."</w:t>
      </w:r>
      <w:r>
        <w:rPr>
          <w:i/>
        </w:rPr>
        <w:t xml:space="preserve"> </w:t>
      </w:r>
      <w:r>
        <w:rPr>
          <w:b/>
        </w:rPr>
        <w:t>Banned, unchanged:</w:t>
      </w:r>
      <w:r>
        <w:rPr>
          <w:i/>
        </w:rPr>
        <w:t xml:space="preserve"> </w:t>
      </w:r>
      <w:r>
        <w:rPr>
          <w:i/>
        </w:rPr>
        <w:t>"the § 51.1-153 B normal-retirement cohort"</w:t>
      </w:r>
      <w:r>
        <w:rPr>
          <w:i/>
        </w:rPr>
        <w:t xml:space="preserve"> and </w:t>
      </w:r>
      <w:r>
        <w:rPr>
          <w:i/>
        </w:rPr>
        <w:t>"normal retirement"</w:t>
      </w:r>
      <w:r>
        <w:rPr>
          <w:i/>
        </w:rPr>
        <w:t xml:space="preserve"> as a short form, in body text, chart labels and slide titles alike.</w:t>
      </w:r>
    </w:p>
    <w:p>
      <w:r>
        <w:t xml:space="preserve">The </w:t>
      </w:r>
      <w:r>
        <w:rPr>
          <w:i/>
        </w:rPr>
        <w:t>"subdivision A 1"</w:t>
      </w:r>
      <w:r>
        <w:t xml:space="preserve"> in the verbatim phrase is </w:t>
      </w:r>
      <w:r>
        <w:rPr>
          <w:b/>
        </w:rPr>
        <w:t>§ 51.1-155 A 1</w:t>
      </w:r>
      <w:r>
        <w:t>, the allowance provision. That note is carried forward from the pass-17 register so nobody "corrects" it into a § 51.1-153 reference.</w:t>
      </w:r>
    </w:p>
    <w:p>
      <w:pPr>
        <w:pStyle w:val="Heading3"/>
      </w:pPr>
      <w:r>
        <w:t>3.2 What I swept</w:t>
      </w:r>
    </w:p>
    <w:p>
      <w:r>
        <w:t xml:space="preserve">Exact-substring search for </w:t>
      </w:r>
      <w:r>
        <w:rPr>
          <w:rFonts w:ascii="Consolas" w:hAnsi="Consolas"/>
        </w:rPr>
        <w:t>subdivision A 1 cohort</w:t>
      </w:r>
      <w:r>
        <w:t xml:space="preserve">, and separately for </w:t>
      </w:r>
      <w:r>
        <w:rPr>
          <w:rFonts w:ascii="Consolas" w:hAnsi="Consolas"/>
        </w:rPr>
        <w:t>51.1-153</w:t>
      </w:r>
      <w:r>
        <w:t xml:space="preserve">, </w:t>
      </w:r>
      <w:r>
        <w:rPr>
          <w:rFonts w:ascii="Consolas" w:hAnsi="Consolas"/>
        </w:rPr>
        <w:t>B 2 or B 3</w:t>
      </w:r>
      <w:r>
        <w:t xml:space="preserve">, </w:t>
      </w:r>
      <w:r>
        <w:rPr>
          <w:rFonts w:ascii="Consolas" w:hAnsi="Consolas"/>
        </w:rPr>
        <w:t>51.1-155.1</w:t>
      </w:r>
      <w:r>
        <w:t xml:space="preserve">, </w:t>
      </w:r>
      <w:r>
        <w:rPr>
          <w:rFonts w:ascii="Consolas" w:hAnsi="Consolas"/>
        </w:rPr>
        <w:t>normal retirement</w:t>
      </w:r>
      <w:r>
        <w:t xml:space="preserve"> and </w:t>
      </w:r>
      <w:r>
        <w:rPr>
          <w:rFonts w:ascii="Consolas" w:hAnsi="Consolas"/>
        </w:rPr>
        <w:t>normal-retirement cohort</w:t>
      </w:r>
      <w:r>
        <w:t>, over:</w:t>
      </w:r>
    </w:p>
    <w:p>
      <w:pPr>
        <w:pStyle w:val="ListBullet"/>
      </w:pPr>
      <w:r>
        <w:t xml:space="preserve">the ten sponsor documents in </w:t>
      </w:r>
      <w:r>
        <w:rPr>
          <w:rFonts w:ascii="Consolas" w:hAnsi="Consolas"/>
        </w:rPr>
        <w:t>v2.0/08-markdown-sources/</w:t>
      </w:r>
      <w:r>
        <w:t>;</w:t>
      </w:r>
    </w:p>
    <w:p>
      <w:pPr>
        <w:pStyle w:val="ListBullet"/>
      </w:pPr>
      <w:r>
        <w:t xml:space="preserve">the rest of the sponsor-facing surface — </w:t>
      </w:r>
      <w:r>
        <w:rPr>
          <w:rFonts w:ascii="Consolas" w:hAnsi="Consolas"/>
        </w:rPr>
        <w:t>01-sponsor-package-pdf/</w:t>
      </w:r>
      <w:r>
        <w:t xml:space="preserve">, </w:t>
      </w:r>
      <w:r>
        <w:rPr>
          <w:rFonts w:ascii="Consolas" w:hAnsi="Consolas"/>
        </w:rPr>
        <w:t>02-sponsor-package-docx/</w:t>
      </w:r>
      <w:r>
        <w:t>,</w:t>
      </w:r>
    </w:p>
    <w:p>
      <w:r>
        <w:rPr>
          <w:rFonts w:ascii="Consolas" w:hAnsi="Consolas"/>
        </w:rPr>
        <w:t>09-zip-bundles/</w:t>
      </w:r>
      <w:r>
        <w:t xml:space="preserve">, </w:t>
      </w:r>
      <w:r>
        <w:rPr>
          <w:rFonts w:ascii="Consolas" w:hAnsi="Consolas"/>
        </w:rPr>
        <w:t>04-charts/</w:t>
      </w:r>
      <w:r>
        <w:t xml:space="preserve"> including every chart label, </w:t>
      </w:r>
      <w:r>
        <w:rPr>
          <w:rFonts w:ascii="Consolas" w:hAnsi="Consolas"/>
        </w:rPr>
        <w:t>SPONSOR-PACKAGE-README.txt</w:t>
      </w:r>
      <w:r>
        <w:t xml:space="preserve"> and </w:t>
      </w:r>
      <w:r>
        <w:rPr>
          <w:rFonts w:ascii="Consolas" w:hAnsi="Consolas"/>
        </w:rPr>
        <w:t>VERSION.md</w:t>
      </w:r>
      <w:r>
        <w:t>;</w:t>
      </w:r>
    </w:p>
    <w:p>
      <w:pPr>
        <w:pStyle w:val="ListBullet"/>
      </w:pPr>
      <w:r>
        <w:t>the Lab's live register and decision documents that carry the phrase — MOO-90, MOO-111, MOO-133,</w:t>
      </w:r>
    </w:p>
    <w:p>
      <w:r>
        <w:t>MOO-160, MOO-172, MOO-202 and MOO-205.</w:t>
      </w:r>
    </w:p>
    <w:p>
      <w:pPr>
        <w:pStyle w:val="Heading3"/>
      </w:pPr>
      <w:r>
        <w:t>3.3 The classification, per document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Document</w:t>
            </w:r>
          </w:p>
        </w:tc>
        <w:tc>
          <w:tcPr>
            <w:tcW w:type="dxa" w:w="1440"/>
          </w:tcPr>
          <w:p>
            <w:r>
              <w:rPr>
                <w:b/>
              </w:rPr>
              <w:t>Hits of the phrase</w:t>
            </w:r>
          </w:p>
        </w:tc>
        <w:tc>
          <w:tcPr>
            <w:tcW w:type="dxa" w:w="1440"/>
          </w:tcPr>
          <w:p>
            <w:r>
              <w:rPr>
                <w:b/>
              </w:rPr>
              <w:t>Class 1</w:t>
            </w:r>
          </w:p>
        </w:tc>
        <w:tc>
          <w:tcPr>
            <w:tcW w:type="dxa" w:w="1440"/>
          </w:tcPr>
          <w:p>
            <w:r>
              <w:rPr>
                <w:b/>
              </w:rPr>
              <w:t>Class 2</w:t>
            </w:r>
          </w:p>
        </w:tc>
        <w:tc>
          <w:tcPr>
            <w:tcW w:type="dxa" w:w="1440"/>
          </w:tcPr>
          <w:p>
            <w:r>
              <w:rPr>
                <w:b/>
              </w:rPr>
              <w:t>Class 3</w:t>
            </w:r>
          </w:p>
        </w:tc>
        <w:tc>
          <w:tcPr>
            <w:tcW w:type="dxa" w:w="1440"/>
          </w:tcPr>
          <w:p>
            <w:r>
              <w:rPr>
                <w:b/>
              </w:rPr>
              <w:t>What the hit actually is</w:t>
            </w:r>
          </w:p>
        </w:tc>
      </w:tr>
      <w:tr>
        <w:tc>
          <w:tcPr>
            <w:tcW w:type="dxa" w:w="1440"/>
          </w:tcPr>
          <w:p>
            <w:r>
              <w:rPr>
                <w:rFonts w:ascii="Consolas" w:hAnsi="Consolas"/>
              </w:rPr>
              <w:t>00-cover-and-contents.md</w:t>
            </w:r>
          </w:p>
        </w:tc>
        <w:tc>
          <w:tcPr>
            <w:tcW w:type="dxa" w:w="1440"/>
          </w:tcPr>
          <w:p>
            <w:r>
              <w:t>0</w:t>
            </w:r>
          </w:p>
        </w:tc>
        <w:tc>
          <w:tcPr>
            <w:tcW w:type="dxa" w:w="1440"/>
          </w:tcPr>
          <w:p>
            <w:r>
              <w:t>0</w:t>
            </w:r>
          </w:p>
        </w:tc>
        <w:tc>
          <w:tcPr>
            <w:tcW w:type="dxa" w:w="1440"/>
          </w:tcPr>
          <w:p>
            <w:r>
              <w:t>0</w:t>
            </w:r>
          </w:p>
        </w:tc>
        <w:tc>
          <w:tcPr>
            <w:tcW w:type="dxa" w:w="1440"/>
          </w:tcPr>
          <w:p>
            <w:r>
              <w:t>0</w:t>
            </w:r>
          </w:p>
        </w:tc>
        <w:tc>
          <w:tcPr>
            <w:tcW w:type="dxa" w:w="1440"/>
          </w:tcPr>
          <w:p>
            <w:r>
              <w:t>—</w:t>
            </w:r>
          </w:p>
        </w:tc>
      </w:tr>
      <w:tr>
        <w:tc>
          <w:tcPr>
            <w:tcW w:type="dxa" w:w="1440"/>
          </w:tcPr>
          <w:p>
            <w:r>
              <w:rPr>
                <w:rFonts w:ascii="Consolas" w:hAnsi="Consolas"/>
              </w:rPr>
              <w:t>01-one-page-summary.md</w:t>
            </w:r>
          </w:p>
        </w:tc>
        <w:tc>
          <w:tcPr>
            <w:tcW w:type="dxa" w:w="1440"/>
          </w:tcPr>
          <w:p>
            <w:r>
              <w:t>0</w:t>
            </w:r>
          </w:p>
        </w:tc>
        <w:tc>
          <w:tcPr>
            <w:tcW w:type="dxa" w:w="1440"/>
          </w:tcPr>
          <w:p>
            <w:r>
              <w:t>0</w:t>
            </w:r>
          </w:p>
        </w:tc>
        <w:tc>
          <w:tcPr>
            <w:tcW w:type="dxa" w:w="1440"/>
          </w:tcPr>
          <w:p>
            <w:r>
              <w:t>0</w:t>
            </w:r>
          </w:p>
        </w:tc>
        <w:tc>
          <w:tcPr>
            <w:tcW w:type="dxa" w:w="1440"/>
          </w:tcPr>
          <w:p>
            <w:r>
              <w:t>0</w:t>
            </w:r>
          </w:p>
        </w:tc>
        <w:tc>
          <w:tcPr>
            <w:tcW w:type="dxa" w:w="1440"/>
          </w:tcPr>
          <w:p>
            <w:r>
              <w:t>—</w:t>
            </w:r>
          </w:p>
        </w:tc>
      </w:tr>
      <w:tr>
        <w:tc>
          <w:tcPr>
            <w:tcW w:type="dxa" w:w="1440"/>
          </w:tcPr>
          <w:p>
            <w:r>
              <w:rPr>
                <w:rFonts w:ascii="Consolas" w:hAnsi="Consolas"/>
              </w:rPr>
              <w:t>02-policy-brief.md</w:t>
            </w:r>
          </w:p>
        </w:tc>
        <w:tc>
          <w:tcPr>
            <w:tcW w:type="dxa" w:w="1440"/>
          </w:tcPr>
          <w:p>
            <w:r>
              <w:t>0</w:t>
            </w:r>
          </w:p>
        </w:tc>
        <w:tc>
          <w:tcPr>
            <w:tcW w:type="dxa" w:w="1440"/>
          </w:tcPr>
          <w:p>
            <w:r>
              <w:t>0</w:t>
            </w:r>
          </w:p>
        </w:tc>
        <w:tc>
          <w:tcPr>
            <w:tcW w:type="dxa" w:w="1440"/>
          </w:tcPr>
          <w:p>
            <w:r>
              <w:t>0</w:t>
            </w:r>
          </w:p>
        </w:tc>
        <w:tc>
          <w:tcPr>
            <w:tcW w:type="dxa" w:w="1440"/>
          </w:tcPr>
          <w:p>
            <w:r>
              <w:t>0</w:t>
            </w:r>
          </w:p>
        </w:tc>
        <w:tc>
          <w:tcPr>
            <w:tcW w:type="dxa" w:w="1440"/>
          </w:tcPr>
          <w:p>
            <w:r>
              <w:t>—</w:t>
            </w:r>
          </w:p>
        </w:tc>
      </w:tr>
      <w:tr>
        <w:tc>
          <w:tcPr>
            <w:tcW w:type="dxa" w:w="1440"/>
          </w:tcPr>
          <w:p>
            <w:r>
              <w:rPr>
                <w:rFonts w:ascii="Consolas" w:hAnsi="Consolas"/>
              </w:rPr>
              <w:t>03-decision-memo.md</w:t>
            </w:r>
          </w:p>
        </w:tc>
        <w:tc>
          <w:tcPr>
            <w:tcW w:type="dxa" w:w="1440"/>
          </w:tcPr>
          <w:p>
            <w:r>
              <w:t>0</w:t>
            </w:r>
          </w:p>
        </w:tc>
        <w:tc>
          <w:tcPr>
            <w:tcW w:type="dxa" w:w="1440"/>
          </w:tcPr>
          <w:p>
            <w:r>
              <w:t>0</w:t>
            </w:r>
          </w:p>
        </w:tc>
        <w:tc>
          <w:tcPr>
            <w:tcW w:type="dxa" w:w="1440"/>
          </w:tcPr>
          <w:p>
            <w:r>
              <w:t>0</w:t>
            </w:r>
          </w:p>
        </w:tc>
        <w:tc>
          <w:tcPr>
            <w:tcW w:type="dxa" w:w="1440"/>
          </w:tcPr>
          <w:p>
            <w:r>
              <w:t>0</w:t>
            </w:r>
          </w:p>
        </w:tc>
        <w:tc>
          <w:tcPr>
            <w:tcW w:type="dxa" w:w="1440"/>
          </w:tcPr>
          <w:p>
            <w:r>
              <w:t>—</w:t>
            </w:r>
          </w:p>
        </w:tc>
      </w:tr>
      <w:tr>
        <w:tc>
          <w:tcPr>
            <w:tcW w:type="dxa" w:w="1440"/>
          </w:tcPr>
          <w:p>
            <w:r>
              <w:rPr>
                <w:rFonts w:ascii="Consolas" w:hAnsi="Consolas"/>
              </w:rPr>
              <w:t>04-fiscal-analysis.md</w:t>
            </w:r>
          </w:p>
        </w:tc>
        <w:tc>
          <w:tcPr>
            <w:tcW w:type="dxa" w:w="1440"/>
          </w:tcPr>
          <w:p>
            <w:r>
              <w:t>0</w:t>
            </w:r>
          </w:p>
        </w:tc>
        <w:tc>
          <w:tcPr>
            <w:tcW w:type="dxa" w:w="1440"/>
          </w:tcPr>
          <w:p>
            <w:r>
              <w:t>0</w:t>
            </w:r>
          </w:p>
        </w:tc>
        <w:tc>
          <w:tcPr>
            <w:tcW w:type="dxa" w:w="1440"/>
          </w:tcPr>
          <w:p>
            <w:r>
              <w:t>0</w:t>
            </w:r>
          </w:p>
        </w:tc>
        <w:tc>
          <w:tcPr>
            <w:tcW w:type="dxa" w:w="1440"/>
          </w:tcPr>
          <w:p>
            <w:r>
              <w:t>0</w:t>
            </w:r>
          </w:p>
        </w:tc>
        <w:tc>
          <w:tcPr>
            <w:tcW w:type="dxa" w:w="1440"/>
          </w:tcPr>
          <w:p>
            <w:r>
              <w:t>—</w:t>
            </w:r>
          </w:p>
        </w:tc>
      </w:tr>
      <w:tr>
        <w:tc>
          <w:tcPr>
            <w:tcW w:type="dxa" w:w="1440"/>
          </w:tcPr>
          <w:p>
            <w:r>
              <w:rPr>
                <w:rFonts w:ascii="Consolas" w:hAnsi="Consolas"/>
              </w:rPr>
              <w:t>05-bill-drafting-request.md</w:t>
            </w:r>
          </w:p>
        </w:tc>
        <w:tc>
          <w:tcPr>
            <w:tcW w:type="dxa" w:w="1440"/>
          </w:tcPr>
          <w:p>
            <w:r>
              <w:t>0</w:t>
            </w:r>
          </w:p>
        </w:tc>
        <w:tc>
          <w:tcPr>
            <w:tcW w:type="dxa" w:w="1440"/>
          </w:tcPr>
          <w:p>
            <w:r>
              <w:t>0</w:t>
            </w:r>
          </w:p>
        </w:tc>
        <w:tc>
          <w:tcPr>
            <w:tcW w:type="dxa" w:w="1440"/>
          </w:tcPr>
          <w:p>
            <w:r>
              <w:t>0</w:t>
            </w:r>
          </w:p>
        </w:tc>
        <w:tc>
          <w:tcPr>
            <w:tcW w:type="dxa" w:w="1440"/>
          </w:tcPr>
          <w:p>
            <w:r>
              <w:t>0</w:t>
            </w:r>
          </w:p>
        </w:tc>
        <w:tc>
          <w:tcPr>
            <w:tcW w:type="dxa" w:w="1440"/>
          </w:tcPr>
          <w:p>
            <w:r>
              <w:t xml:space="preserve">Names the routes </w:t>
            </w:r>
            <w:r>
              <w:rPr>
                <w:b/>
              </w:rPr>
              <w:t>four times, in reproduced bill text</w:t>
            </w:r>
            <w:r>
              <w:t xml:space="preserve"> — see §3.4</w:t>
            </w:r>
          </w:p>
        </w:tc>
      </w:tr>
      <w:tr>
        <w:tc>
          <w:tcPr>
            <w:tcW w:type="dxa" w:w="1440"/>
          </w:tcPr>
          <w:p>
            <w:r>
              <w:rPr>
                <w:rFonts w:ascii="Consolas" w:hAnsi="Consolas"/>
              </w:rPr>
              <w:t>06-questions-and-answers.md</w:t>
            </w:r>
          </w:p>
        </w:tc>
        <w:tc>
          <w:tcPr>
            <w:tcW w:type="dxa" w:w="1440"/>
          </w:tcPr>
          <w:p>
            <w:r>
              <w:t>0</w:t>
            </w:r>
          </w:p>
        </w:tc>
        <w:tc>
          <w:tcPr>
            <w:tcW w:type="dxa" w:w="1440"/>
          </w:tcPr>
          <w:p>
            <w:r>
              <w:t>0</w:t>
            </w:r>
          </w:p>
        </w:tc>
        <w:tc>
          <w:tcPr>
            <w:tcW w:type="dxa" w:w="1440"/>
          </w:tcPr>
          <w:p>
            <w:r>
              <w:t>0</w:t>
            </w:r>
          </w:p>
        </w:tc>
        <w:tc>
          <w:tcPr>
            <w:tcW w:type="dxa" w:w="1440"/>
          </w:tcPr>
          <w:p>
            <w:r>
              <w:t>0</w:t>
            </w:r>
          </w:p>
        </w:tc>
        <w:tc>
          <w:tcPr>
            <w:tcW w:type="dxa" w:w="1440"/>
          </w:tcPr>
          <w:p>
            <w:r>
              <w:t>—</w:t>
            </w:r>
          </w:p>
        </w:tc>
      </w:tr>
      <w:tr>
        <w:tc>
          <w:tcPr>
            <w:tcW w:type="dxa" w:w="1440"/>
          </w:tcPr>
          <w:p>
            <w:r>
              <w:rPr>
                <w:rFonts w:ascii="Consolas" w:hAnsi="Consolas"/>
              </w:rPr>
              <w:t>07-risk-register.md</w:t>
            </w:r>
          </w:p>
        </w:tc>
        <w:tc>
          <w:tcPr>
            <w:tcW w:type="dxa" w:w="1440"/>
          </w:tcPr>
          <w:p>
            <w:r>
              <w:t>0</w:t>
            </w:r>
          </w:p>
        </w:tc>
        <w:tc>
          <w:tcPr>
            <w:tcW w:type="dxa" w:w="1440"/>
          </w:tcPr>
          <w:p>
            <w:r>
              <w:t>0</w:t>
            </w:r>
          </w:p>
        </w:tc>
        <w:tc>
          <w:tcPr>
            <w:tcW w:type="dxa" w:w="1440"/>
          </w:tcPr>
          <w:p>
            <w:r>
              <w:t>0</w:t>
            </w:r>
          </w:p>
        </w:tc>
        <w:tc>
          <w:tcPr>
            <w:tcW w:type="dxa" w:w="1440"/>
          </w:tcPr>
          <w:p>
            <w:r>
              <w:t>0</w:t>
            </w:r>
          </w:p>
        </w:tc>
        <w:tc>
          <w:tcPr>
            <w:tcW w:type="dxa" w:w="1440"/>
          </w:tcPr>
          <w:p>
            <w:r>
              <w:t>—</w:t>
            </w:r>
          </w:p>
        </w:tc>
      </w:tr>
      <w:tr>
        <w:tc>
          <w:tcPr>
            <w:tcW w:type="dxa" w:w="1440"/>
          </w:tcPr>
          <w:p>
            <w:r>
              <w:rPr>
                <w:rFonts w:ascii="Consolas" w:hAnsi="Consolas"/>
              </w:rPr>
              <w:t>08-source-appendix.md</w:t>
            </w:r>
          </w:p>
        </w:tc>
        <w:tc>
          <w:tcPr>
            <w:tcW w:type="dxa" w:w="1440"/>
          </w:tcPr>
          <w:p>
            <w:r>
              <w:t>0</w:t>
            </w:r>
          </w:p>
        </w:tc>
        <w:tc>
          <w:tcPr>
            <w:tcW w:type="dxa" w:w="1440"/>
          </w:tcPr>
          <w:p>
            <w:r>
              <w:t>0</w:t>
            </w:r>
          </w:p>
        </w:tc>
        <w:tc>
          <w:tcPr>
            <w:tcW w:type="dxa" w:w="1440"/>
          </w:tcPr>
          <w:p>
            <w:r>
              <w:t>0</w:t>
            </w:r>
          </w:p>
        </w:tc>
        <w:tc>
          <w:tcPr>
            <w:tcW w:type="dxa" w:w="1440"/>
          </w:tcPr>
          <w:p>
            <w:r>
              <w:t>0</w:t>
            </w:r>
          </w:p>
        </w:tc>
        <w:tc>
          <w:tcPr>
            <w:tcW w:type="dxa" w:w="1440"/>
          </w:tcPr>
          <w:p>
            <w:r>
              <w:t>—</w:t>
            </w:r>
          </w:p>
        </w:tc>
      </w:tr>
      <w:tr>
        <w:tc>
          <w:tcPr>
            <w:tcW w:type="dxa" w:w="1440"/>
          </w:tcPr>
          <w:p>
            <w:r>
              <w:rPr>
                <w:rFonts w:ascii="Consolas" w:hAnsi="Consolas"/>
              </w:rPr>
              <w:t>09-sponsor-and-advocacy-plan.md</w:t>
            </w:r>
          </w:p>
        </w:tc>
        <w:tc>
          <w:tcPr>
            <w:tcW w:type="dxa" w:w="1440"/>
          </w:tcPr>
          <w:p>
            <w:r>
              <w:t>0</w:t>
            </w:r>
          </w:p>
        </w:tc>
        <w:tc>
          <w:tcPr>
            <w:tcW w:type="dxa" w:w="1440"/>
          </w:tcPr>
          <w:p>
            <w:r>
              <w:t>0</w:t>
            </w:r>
          </w:p>
        </w:tc>
        <w:tc>
          <w:tcPr>
            <w:tcW w:type="dxa" w:w="1440"/>
          </w:tcPr>
          <w:p>
            <w:r>
              <w:t>0</w:t>
            </w:r>
          </w:p>
        </w:tc>
        <w:tc>
          <w:tcPr>
            <w:tcW w:type="dxa" w:w="1440"/>
          </w:tcPr>
          <w:p>
            <w:r>
              <w:t>0</w:t>
            </w:r>
          </w:p>
        </w:tc>
        <w:tc>
          <w:tcPr>
            <w:tcW w:type="dxa" w:w="1440"/>
          </w:tcPr>
          <w:p>
            <w:r>
              <w:t>—</w:t>
            </w:r>
          </w:p>
        </w:tc>
      </w:tr>
      <w:tr>
        <w:tc>
          <w:tcPr>
            <w:tcW w:type="dxa" w:w="1440"/>
          </w:tcPr>
          <w:p>
            <w:r>
              <w:t xml:space="preserve">PDF, DOCX, zip, charts, README, </w:t>
            </w:r>
            <w:r>
              <w:rPr>
                <w:rFonts w:ascii="Consolas" w:hAnsi="Consolas"/>
              </w:rPr>
              <w:t>VERSION.md</w:t>
            </w:r>
          </w:p>
        </w:tc>
        <w:tc>
          <w:tcPr>
            <w:tcW w:type="dxa" w:w="1440"/>
          </w:tcPr>
          <w:p>
            <w:r>
              <w:t>0</w:t>
            </w:r>
          </w:p>
        </w:tc>
        <w:tc>
          <w:tcPr>
            <w:tcW w:type="dxa" w:w="1440"/>
          </w:tcPr>
          <w:p>
            <w:r>
              <w:t>0</w:t>
            </w:r>
          </w:p>
        </w:tc>
        <w:tc>
          <w:tcPr>
            <w:tcW w:type="dxa" w:w="1440"/>
          </w:tcPr>
          <w:p>
            <w:r>
              <w:t>0</w:t>
            </w:r>
          </w:p>
        </w:tc>
        <w:tc>
          <w:tcPr>
            <w:tcW w:type="dxa" w:w="1440"/>
          </w:tcPr>
          <w:p>
            <w:r>
              <w:t>0</w:t>
            </w:r>
          </w:p>
        </w:tc>
        <w:tc>
          <w:tcPr>
            <w:tcW w:type="dxa" w:w="1440"/>
          </w:tcPr>
          <w:p>
            <w:r>
              <w:t>—</w:t>
            </w:r>
          </w:p>
        </w:tc>
      </w:tr>
      <w:tr>
        <w:tc>
          <w:tcPr>
            <w:tcW w:type="dxa" w:w="1440"/>
          </w:tcPr>
          <w:p>
            <w:r>
              <w:rPr>
                <w:rFonts w:ascii="Consolas" w:hAnsi="Consolas"/>
              </w:rPr>
              <w:t>risk-section-carry-through</w:t>
            </w:r>
            <w:r>
              <w:t xml:space="preserve"> (MOO-90), </w:t>
            </w:r>
            <w:r>
              <w:rPr>
                <w:i/>
              </w:rPr>
              <w:t>"Style rule — a phrase that is now banned"</w:t>
            </w:r>
          </w:p>
        </w:tc>
        <w:tc>
          <w:tcPr>
            <w:tcW w:type="dxa" w:w="1440"/>
          </w:tcPr>
          <w:p>
            <w:r>
              <w:t>1</w:t>
            </w:r>
          </w:p>
        </w:tc>
        <w:tc>
          <w:tcPr>
            <w:tcW w:type="dxa" w:w="1440"/>
          </w:tcPr>
          <w:p>
            <w:r>
              <w:t>—</w:t>
            </w:r>
          </w:p>
        </w:tc>
        <w:tc>
          <w:tcPr>
            <w:tcW w:type="dxa" w:w="1440"/>
          </w:tcPr>
          <w:p>
            <w:r>
              <w:t>—</w:t>
            </w:r>
          </w:p>
        </w:tc>
        <w:tc>
          <w:tcPr>
            <w:tcW w:type="dxa" w:w="1440"/>
          </w:tcPr>
          <w:p>
            <w:r>
              <w:t>—</w:t>
            </w:r>
          </w:p>
        </w:tc>
        <w:tc>
          <w:tcPr>
            <w:tcW w:type="dxa" w:w="1440"/>
          </w:tcPr>
          <w:p>
            <w:r>
              <w:rPr>
                <w:b/>
              </w:rPr>
              <w:t>The register stating the rule.</w:t>
            </w:r>
            <w:r>
              <w:t xml:space="preserve"> Not a use</w:t>
            </w:r>
          </w:p>
        </w:tc>
      </w:tr>
      <w:tr>
        <w:tc>
          <w:tcPr>
            <w:tcW w:type="dxa" w:w="1440"/>
          </w:tcPr>
          <w:p>
            <w:r>
              <w:rPr>
                <w:rFonts w:ascii="Consolas" w:hAnsi="Consolas"/>
              </w:rPr>
              <w:t>risk-section-carry-through-pass10</w:t>
            </w:r>
            <w:r>
              <w:t xml:space="preserve"> (MOO-111), </w:t>
            </w:r>
            <w:r>
              <w:rPr>
                <w:i/>
              </w:rPr>
              <w:t>"Style rule — the banned phrase, reaffirmed"</w:t>
            </w:r>
          </w:p>
        </w:tc>
        <w:tc>
          <w:tcPr>
            <w:tcW w:type="dxa" w:w="1440"/>
          </w:tcPr>
          <w:p>
            <w:r>
              <w:t>1</w:t>
            </w:r>
          </w:p>
        </w:tc>
        <w:tc>
          <w:tcPr>
            <w:tcW w:type="dxa" w:w="1440"/>
          </w:tcPr>
          <w:p>
            <w:r>
              <w:t>—</w:t>
            </w:r>
          </w:p>
        </w:tc>
        <w:tc>
          <w:tcPr>
            <w:tcW w:type="dxa" w:w="1440"/>
          </w:tcPr>
          <w:p>
            <w:r>
              <w:t>—</w:t>
            </w:r>
          </w:p>
        </w:tc>
        <w:tc>
          <w:tcPr>
            <w:tcW w:type="dxa" w:w="1440"/>
          </w:tcPr>
          <w:p>
            <w:r>
              <w:t>—</w:t>
            </w:r>
          </w:p>
        </w:tc>
        <w:tc>
          <w:tcPr>
            <w:tcW w:type="dxa" w:w="1440"/>
          </w:tcPr>
          <w:p>
            <w:r>
              <w:t>The register stating the rule</w:t>
            </w:r>
          </w:p>
        </w:tc>
      </w:tr>
      <w:tr>
        <w:tc>
          <w:tcPr>
            <w:tcW w:type="dxa" w:w="1440"/>
          </w:tcPr>
          <w:p>
            <w:r>
              <w:rPr>
                <w:rFonts w:ascii="Consolas" w:hAnsi="Consolas"/>
              </w:rPr>
              <w:t>risk-section-carry-through-pass12</w:t>
            </w:r>
            <w:r>
              <w:t xml:space="preserve"> (MOO-133), </w:t>
            </w:r>
            <w:r>
              <w:rPr>
                <w:i/>
              </w:rPr>
              <w:t>"Banned, for the third time"</w:t>
            </w:r>
          </w:p>
        </w:tc>
        <w:tc>
          <w:tcPr>
            <w:tcW w:type="dxa" w:w="1440"/>
          </w:tcPr>
          <w:p>
            <w:r>
              <w:t>1</w:t>
            </w:r>
          </w:p>
        </w:tc>
        <w:tc>
          <w:tcPr>
            <w:tcW w:type="dxa" w:w="1440"/>
          </w:tcPr>
          <w:p>
            <w:r>
              <w:t>—</w:t>
            </w:r>
          </w:p>
        </w:tc>
        <w:tc>
          <w:tcPr>
            <w:tcW w:type="dxa" w:w="1440"/>
          </w:tcPr>
          <w:p>
            <w:r>
              <w:t>—</w:t>
            </w:r>
          </w:p>
        </w:tc>
        <w:tc>
          <w:tcPr>
            <w:tcW w:type="dxa" w:w="1440"/>
          </w:tcPr>
          <w:p>
            <w:r>
              <w:t>—</w:t>
            </w:r>
          </w:p>
        </w:tc>
        <w:tc>
          <w:tcPr>
            <w:tcW w:type="dxa" w:w="1440"/>
          </w:tcPr>
          <w:p>
            <w:r>
              <w:t>The register stating the rule</w:t>
            </w:r>
          </w:p>
        </w:tc>
      </w:tr>
      <w:tr>
        <w:tc>
          <w:tcPr>
            <w:tcW w:type="dxa" w:w="1440"/>
          </w:tcPr>
          <w:p>
            <w:r>
              <w:rPr>
                <w:rFonts w:ascii="Consolas" w:hAnsi="Consolas"/>
              </w:rPr>
              <w:t>risk-section-carry-through-pass17</w:t>
            </w:r>
            <w:r>
              <w:t xml:space="preserve"> (MOO-160) §4, </w:t>
            </w:r>
            <w:r>
              <w:rPr>
                <w:i/>
              </w:rPr>
              <w:t>"Banned, for the fourth time"</w:t>
            </w:r>
          </w:p>
        </w:tc>
        <w:tc>
          <w:tcPr>
            <w:tcW w:type="dxa" w:w="1440"/>
          </w:tcPr>
          <w:p>
            <w:r>
              <w:t>1</w:t>
            </w:r>
          </w:p>
        </w:tc>
        <w:tc>
          <w:tcPr>
            <w:tcW w:type="dxa" w:w="1440"/>
          </w:tcPr>
          <w:p>
            <w:r>
              <w:t>—</w:t>
            </w:r>
          </w:p>
        </w:tc>
        <w:tc>
          <w:tcPr>
            <w:tcW w:type="dxa" w:w="1440"/>
          </w:tcPr>
          <w:p>
            <w:r>
              <w:t>—</w:t>
            </w:r>
          </w:p>
        </w:tc>
        <w:tc>
          <w:tcPr>
            <w:tcW w:type="dxa" w:w="1440"/>
          </w:tcPr>
          <w:p>
            <w:r>
              <w:t>—</w:t>
            </w:r>
          </w:p>
        </w:tc>
        <w:tc>
          <w:tcPr>
            <w:tcW w:type="dxa" w:w="1440"/>
          </w:tcPr>
          <w:p>
            <w:r>
              <w:t>The register stating the rule</w:t>
            </w:r>
          </w:p>
        </w:tc>
      </w:tr>
      <w:tr>
        <w:tc>
          <w:tcPr>
            <w:tcW w:type="dxa" w:w="1440"/>
          </w:tcPr>
          <w:p>
            <w:r>
              <w:rPr>
                <w:rFonts w:ascii="Consolas" w:hAnsi="Consolas"/>
              </w:rPr>
              <w:t>moo172-risk-items</w:t>
            </w:r>
            <w:r>
              <w:t xml:space="preserve"> (MOO-172), </w:t>
            </w:r>
            <w:r>
              <w:rPr>
                <w:i/>
              </w:rPr>
              <w:t>"Still binding from earlier passes"</w:t>
            </w:r>
          </w:p>
        </w:tc>
        <w:tc>
          <w:tcPr>
            <w:tcW w:type="dxa" w:w="1440"/>
          </w:tcPr>
          <w:p>
            <w:r>
              <w:t>1</w:t>
            </w:r>
          </w:p>
        </w:tc>
        <w:tc>
          <w:tcPr>
            <w:tcW w:type="dxa" w:w="1440"/>
          </w:tcPr>
          <w:p>
            <w:r>
              <w:t>—</w:t>
            </w:r>
          </w:p>
        </w:tc>
        <w:tc>
          <w:tcPr>
            <w:tcW w:type="dxa" w:w="1440"/>
          </w:tcPr>
          <w:p>
            <w:r>
              <w:t>—</w:t>
            </w:r>
          </w:p>
        </w:tc>
        <w:tc>
          <w:tcPr>
            <w:tcW w:type="dxa" w:w="1440"/>
          </w:tcPr>
          <w:p>
            <w:r>
              <w:t>—</w:t>
            </w:r>
          </w:p>
        </w:tc>
        <w:tc>
          <w:tcPr>
            <w:tcW w:type="dxa" w:w="1440"/>
          </w:tcPr>
          <w:p>
            <w:r>
              <w:t>The register, carried forward in a list of standing rules</w:t>
            </w:r>
          </w:p>
        </w:tc>
      </w:tr>
      <w:tr>
        <w:tc>
          <w:tcPr>
            <w:tcW w:type="dxa" w:w="1440"/>
          </w:tcPr>
          <w:p>
            <w:r>
              <w:rPr>
                <w:rFonts w:ascii="Consolas" w:hAnsi="Consolas"/>
              </w:rPr>
              <w:t>moo202-risk-items-restated</w:t>
            </w:r>
            <w:r>
              <w:t xml:space="preserve"> (MOO-202) §5.1</w:t>
            </w:r>
          </w:p>
        </w:tc>
        <w:tc>
          <w:tcPr>
            <w:tcW w:type="dxa" w:w="1440"/>
          </w:tcPr>
          <w:p>
            <w:r>
              <w:t>1</w:t>
            </w:r>
          </w:p>
        </w:tc>
        <w:tc>
          <w:tcPr>
            <w:tcW w:type="dxa" w:w="1440"/>
          </w:tcPr>
          <w:p>
            <w:r>
              <w:t>—</w:t>
            </w:r>
          </w:p>
        </w:tc>
        <w:tc>
          <w:tcPr>
            <w:tcW w:type="dxa" w:w="1440"/>
          </w:tcPr>
          <w:p>
            <w:r>
              <w:t>—</w:t>
            </w:r>
          </w:p>
        </w:tc>
        <w:tc>
          <w:tcPr>
            <w:tcW w:type="dxa" w:w="1440"/>
          </w:tcPr>
          <w:p>
            <w:r>
              <w:t>—</w:t>
            </w:r>
          </w:p>
        </w:tc>
        <w:tc>
          <w:tcPr>
            <w:tcW w:type="dxa" w:w="1440"/>
          </w:tcPr>
          <w:p>
            <w:r>
              <w:t>The register, re-confirmed at store revision 68</w:t>
            </w:r>
          </w:p>
        </w:tc>
      </w:tr>
      <w:tr>
        <w:tc>
          <w:tcPr>
            <w:tcW w:type="dxa" w:w="1440"/>
          </w:tcPr>
          <w:p>
            <w:r>
              <w:rPr>
                <w:rFonts w:ascii="Consolas" w:hAnsi="Consolas"/>
              </w:rPr>
              <w:t>moo205-decisions</w:t>
            </w:r>
            <w:r>
              <w:t xml:space="preserve"> (MOO-205) §§3.1, 3.5</w:t>
            </w:r>
          </w:p>
        </w:tc>
        <w:tc>
          <w:tcPr>
            <w:tcW w:type="dxa" w:w="1440"/>
          </w:tcPr>
          <w:p>
            <w:r>
              <w:t>2</w:t>
            </w:r>
          </w:p>
        </w:tc>
        <w:tc>
          <w:tcPr>
            <w:tcW w:type="dxa" w:w="1440"/>
          </w:tcPr>
          <w:p>
            <w:r>
              <w:t>—</w:t>
            </w:r>
          </w:p>
        </w:tc>
        <w:tc>
          <w:tcPr>
            <w:tcW w:type="dxa" w:w="1440"/>
          </w:tcPr>
          <w:p>
            <w:r>
              <w:t>—</w:t>
            </w:r>
          </w:p>
        </w:tc>
        <w:tc>
          <w:tcPr>
            <w:tcW w:type="dxa" w:w="1440"/>
          </w:tcPr>
          <w:p>
            <w:r>
              <w:t>—</w:t>
            </w:r>
          </w:p>
        </w:tc>
        <w:tc>
          <w:tcPr>
            <w:tcW w:type="dxa" w:w="1440"/>
          </w:tcPr>
          <w:p>
            <w:r>
              <w:t xml:space="preserve">The register, as amended. </w:t>
            </w:r>
            <w:r>
              <w:rPr>
                <w:b/>
              </w:rPr>
              <w:t>This is the live one</w:t>
            </w:r>
          </w:p>
        </w:tc>
      </w:tr>
      <w:tr>
        <w:tc>
          <w:tcPr>
            <w:tcW w:type="dxa" w:w="1440"/>
          </w:tcPr>
          <w:p>
            <w:r>
              <w:rPr>
                <w:b/>
              </w:rPr>
              <w:t>Totals — uses</w:t>
            </w:r>
          </w:p>
        </w:tc>
        <w:tc>
          <w:tcPr>
            <w:tcW w:type="dxa" w:w="1440"/>
          </w:tcPr>
          <w:p>
            <w:r>
              <w:rPr>
                <w:b/>
              </w:rPr>
              <w:t>0</w:t>
            </w:r>
          </w:p>
        </w:tc>
        <w:tc>
          <w:tcPr>
            <w:tcW w:type="dxa" w:w="1440"/>
          </w:tcPr>
          <w:p>
            <w:r>
              <w:rPr>
                <w:b/>
              </w:rPr>
              <w:t>0</w:t>
            </w:r>
          </w:p>
        </w:tc>
        <w:tc>
          <w:tcPr>
            <w:tcW w:type="dxa" w:w="1440"/>
          </w:tcPr>
          <w:p>
            <w:r>
              <w:rPr>
                <w:b/>
              </w:rPr>
              <w:t>0</w:t>
            </w:r>
          </w:p>
        </w:tc>
        <w:tc>
          <w:tcPr>
            <w:tcW w:type="dxa" w:w="1440"/>
          </w:tcPr>
          <w:p>
            <w:r>
              <w:rPr>
                <w:b/>
              </w:rPr>
              <w:t>0</w:t>
            </w:r>
          </w:p>
        </w:tc>
        <w:tc>
          <w:tcPr>
            <w:tcW w:type="dxa" w:w="1440"/>
          </w:tcPr>
          <w:p>
            <w:r>
              <w:rPr>
                <w:b/>
              </w:rPr>
              <w:t>No sentence split, because there was none to split</w:t>
            </w:r>
          </w:p>
        </w:tc>
      </w:tr>
    </w:tbl>
    <w:p>
      <w:r>
        <w:rPr>
          <w:b/>
        </w:rPr>
        <w:t>The phrase has not been swept into any artifact yet.</w:t>
      </w:r>
      <w:r>
        <w:t xml:space="preserve"> Every one of the eight occurrences in the Lab's records is the register </w:t>
      </w:r>
      <w:r>
        <w:rPr>
          <w:b/>
        </w:rPr>
        <w:t>mandating</w:t>
      </w:r>
      <w:r>
        <w:t xml:space="preserve"> the phrase; none is a sentence that uses it. So the extension adopted at MOO-205 §3.2 has </w:t>
      </w:r>
      <w:r>
        <w:rPr>
          <w:b/>
        </w:rPr>
        <w:t>no live site to be applied to</w:t>
      </w:r>
      <w:r>
        <w:t xml:space="preserve">, and the two limits at §3.4 — no </w:t>
      </w:r>
      <w:r>
        <w:rPr>
          <w:i/>
        </w:rPr>
        <w:t>"only"</w:t>
      </w:r>
      <w:r>
        <w:t xml:space="preserve">, no § 51.1-155.1 B or § 51.1-155.2 A, and the </w:t>
      </w:r>
      <w:r>
        <w:rPr>
          <w:i/>
        </w:rPr>
        <w:t>"[n]either of those two routes carries weight in the modelled distribution"</w:t>
      </w:r>
      <w:r>
        <w:t xml:space="preserve"> sentence beside a figure — have nothing yet to bind. They are recorded in §3.1 above and bind the moment the first such sentence is written.</w:t>
      </w:r>
    </w:p>
    <w:p>
      <w:r>
        <w:rPr>
          <w:b/>
        </w:rPr>
        <w:t>The banned phrase is still absent.</w:t>
      </w:r>
      <w:r>
        <w:t xml:space="preserve"> Zero occurrences of </w:t>
      </w:r>
      <w:r>
        <w:rPr>
          <w:i/>
        </w:rPr>
        <w:t>"the § 51.1-153 B normal-retirement cohort"</w:t>
      </w:r>
      <w:r>
        <w:t xml:space="preserve"> across all ten documents and the whole sponsor-facing surface, and </w:t>
      </w:r>
      <w:r>
        <w:rPr>
          <w:i/>
        </w:rPr>
        <w:t>"normal retirement"</w:t>
      </w:r>
      <w:r>
        <w:t xml:space="preserve"> appears nowhere as a short form. That is the sweep result MOO-202 §5.3 endorsed, re-run today and unchanged.</w:t>
      </w:r>
    </w:p>
    <w:p>
      <w:pPr>
        <w:pStyle w:val="Heading3"/>
      </w:pPr>
      <w:r>
        <w:t>3.4 The one place in the ten documents that names the routes — and it is already right</w:t>
      </w:r>
    </w:p>
    <w:p>
      <w:r>
        <w:rPr>
          <w:rFonts w:ascii="Consolas" w:hAnsi="Consolas"/>
        </w:rPr>
        <w:t>05-bill-drafting-request.md</w:t>
      </w:r>
      <w:r>
        <w:t xml:space="preserve"> reproduces the bill's own definitions of </w:t>
      </w:r>
      <w:r>
        <w:rPr>
          <w:i/>
        </w:rPr>
        <w:t>"qualifying retirement"</w:t>
      </w:r>
      <w:r>
        <w:t xml:space="preserve"> (line 196) and </w:t>
      </w:r>
      <w:r>
        <w:rPr>
          <w:i/>
        </w:rPr>
        <w:t>"unreduced retirement eligibility date"</w:t>
      </w:r>
      <w:r>
        <w:t xml:space="preserve"> (line 202). Both read </w:t>
      </w:r>
      <w:r>
        <w:rPr>
          <w:i/>
        </w:rPr>
        <w:t>"under § 51.1-153, or under subsection A or C of § 51.1-155.1,"</w:t>
      </w:r>
      <w:r>
        <w:t xml:space="preserve"> and the second carries the bill's own confining sentence — </w:t>
      </w:r>
      <w:r>
        <w:rPr>
          <w:i/>
        </w:rPr>
        <w:t>"the member has incurred an involuntary separation, or the member's office has been lawfully abolished, as the case may be."</w:t>
      </w:r>
      <w:r>
        <w:t xml:space="preserve"> </w:t>
      </w:r>
      <w:r>
        <w:rPr>
          <w:b/>
        </w:rPr>
        <w:t>I verified both reproduced definitions against store revision 68: each matches character for character.</w:t>
      </w:r>
    </w:p>
    <w:p>
      <w:r>
        <w:rPr>
          <w:b/>
        </w:rPr>
        <w:t>Classification: neither class 1 nor class 2, because this is the bill speaking and not us describing it.</w:t>
      </w:r>
      <w:r>
        <w:t xml:space="preserve"> Reproduced statutory text takes no editorial form, and the extension would be meaningless here — the routes are already named, by the provision itself, which is exactly why the extension is right for sentences that describe the test. </w:t>
      </w:r>
      <w:r>
        <w:rPr>
          <w:b/>
        </w:rPr>
        <w:t>Nothing to do, and nothing was done.</w:t>
      </w:r>
    </w:p>
    <w:p>
      <w:r>
        <w:t xml:space="preserve">One nearby sentence reviewed and left alone: </w:t>
      </w:r>
      <w:r>
        <w:rPr>
          <w:rFonts w:ascii="Consolas" w:hAnsi="Consolas"/>
        </w:rPr>
        <w:t>05-bill-drafting-request.md</w:t>
      </w:r>
      <w:r>
        <w:t xml:space="preserve"> line 292, a drafting question for counsel about whether clause (vi) forecloses a broad reading </w:t>
      </w:r>
      <w:r>
        <w:rPr>
          <w:i/>
        </w:rPr>
        <w:t>"against the live text of § 51.1-153."</w:t>
      </w:r>
      <w:r>
        <w:t xml:space="preserve"> It contains no hit of the phrase and it asks a question rather than describing the admission test, so the §3.3 rule does not reach it. Recorded here rather than silently skipped.</w:t>
      </w:r>
    </w:p>
    <w:p>
      <w:pPr>
        <w:pStyle w:val="Heading2"/>
      </w:pPr>
      <w:r>
        <w:t>4. What I did not do, and why — four flags, none of them a guess</w:t>
      </w:r>
    </w:p>
    <w:p>
      <w:pPr>
        <w:pStyle w:val="Heading3"/>
      </w:pPr>
      <w:r>
        <w:t xml:space="preserve">4.1 The ten documents cannot take either edit in place. </w:t>
      </w:r>
      <w:r>
        <w:rPr>
          <w:rFonts w:ascii="Consolas" w:hAnsi="Consolas"/>
        </w:rPr>
        <w:t>v2.0</w:t>
      </w:r>
      <w:r>
        <w:t xml:space="preserve"> is frozen, and </w:t>
      </w:r>
      <w:r>
        <w:rPr>
          <w:rFonts w:ascii="Consolas" w:hAnsi="Consolas"/>
        </w:rPr>
        <w:t>v2.1</w:t>
      </w:r>
      <w:r>
        <w:t xml:space="preserve"> is not commissioned. </w:t>
      </w:r>
      <w:r>
        <w:rPr>
          <w:b/>
        </w:rPr>
        <w:t>This one is the Policy Director's.</w:t>
      </w:r>
    </w:p>
    <w:p>
      <w:r>
        <w:t xml:space="preserve">Rule 1 of the file-output convention freezes a version folder </w:t>
      </w:r>
      <w:r>
        <w:rPr>
          <w:b/>
        </w:rPr>
        <w:t>once `VERSION.md` exists in it</w:t>
      </w:r>
      <w:r>
        <w:t xml:space="preserve">. </w:t>
      </w:r>
      <w:r>
        <w:rPr>
          <w:rFonts w:ascii="Consolas" w:hAnsi="Consolas"/>
        </w:rPr>
        <w:t>v2.0/VERSION.md</w:t>
      </w:r>
      <w:r>
        <w:t xml:space="preserve"> was written on 12 October 2026, the </w:t>
      </w:r>
      <w:r>
        <w:rPr>
          <w:rFonts w:ascii="Consolas" w:hAnsi="Consolas"/>
        </w:rPr>
        <w:t>VERSIONS.md</w:t>
      </w:r>
      <w:r>
        <w:t xml:space="preserve"> row is in, and </w:t>
      </w:r>
      <w:r>
        <w:rPr>
          <w:rFonts w:ascii="Consolas" w:hAnsi="Consolas"/>
        </w:rPr>
        <w:t>CURRENT</w:t>
      </w:r>
      <w:r>
        <w:t xml:space="preserve"> is a symlink to </w:t>
      </w:r>
      <w:r>
        <w:rPr>
          <w:rFonts w:ascii="Consolas" w:hAnsi="Consolas"/>
        </w:rPr>
        <w:t>v2.0</w:t>
      </w:r>
      <w:r>
        <w:t xml:space="preserve">. So the folder is published-and-frozen, and </w:t>
      </w:r>
      <w:r>
        <w:rPr>
          <w:b/>
        </w:rPr>
        <w:t>editing the ten documents in place would break the convention in the one direction it exists to prevent</w:t>
      </w:r>
      <w:r>
        <w:t xml:space="preserve">: a reader who quotes </w:t>
      </w:r>
      <w:r>
        <w:rPr>
          <w:rFonts w:ascii="Consolas" w:hAnsi="Consolas"/>
        </w:rPr>
        <w:t>v2.0</w:t>
      </w:r>
      <w:r>
        <w:t xml:space="preserve"> today and quotes it again next week would get two different documents under one version label.</w:t>
      </w:r>
    </w:p>
    <w:p>
      <w:r>
        <w:rPr>
          <w:rFonts w:ascii="Consolas" w:hAnsi="Consolas"/>
        </w:rPr>
        <w:t>VERSIONS.md</w:t>
      </w:r>
      <w:r>
        <w:t xml:space="preserve"> already lists </w:t>
      </w:r>
      <w:r>
        <w:rPr>
          <w:b/>
        </w:rPr>
        <w:t>`v2.1` as "not cut, and not yet commissioned as a folder"</w:t>
      </w:r>
      <w:r>
        <w:t xml:space="preserve">, carrying the two Fiscal items delegated as </w:t>
      </w:r>
      <w:r>
        <w:t>MOO-199</w:t>
      </w:r>
      <w:r>
        <w:t xml:space="preserve">. </w:t>
      </w:r>
      <w:r>
        <w:rPr>
          <w:b/>
        </w:rPr>
        <w:t>Both of today's edits are the same shape as those</w:t>
      </w:r>
      <w:r>
        <w:t xml:space="preserve"> — they move printed text, not a recommendation — and they travel naturally in the same pass:</w:t>
      </w:r>
    </w:p>
    <w:tbl>
      <w:tblPr>
        <w:tblStyle w:val="TableGrid"/>
        <w:tblW w:type="auto" w:w="0"/>
        <w:tblLook w:firstColumn="1" w:firstRow="1" w:lastColumn="0" w:lastRow="0" w:noHBand="0" w:noVBand="1" w:val="04A0"/>
      </w:tblPr>
      <w:tblGrid>
        <w:gridCol w:w="4320"/>
        <w:gridCol w:w="4320"/>
      </w:tblGrid>
      <w:tr>
        <w:tc>
          <w:tcPr>
            <w:tcW w:type="dxa" w:w="4320"/>
          </w:tcPr>
          <w:p>
            <w:r>
              <w:rPr>
                <w:b/>
              </w:rPr>
              <w:t xml:space="preserve">Edit held for </w:t>
            </w:r>
            <w:r>
              <w:rPr>
                <w:rFonts w:ascii="Consolas" w:hAnsi="Consolas"/>
                <w:b/>
              </w:rPr>
              <w:t>v2.1</w:t>
            </w:r>
          </w:p>
        </w:tc>
        <w:tc>
          <w:tcPr>
            <w:tcW w:type="dxa" w:w="4320"/>
          </w:tcPr>
          <w:p>
            <w:r>
              <w:rPr>
                <w:b/>
              </w:rPr>
              <w:t>What it needs</w:t>
            </w:r>
          </w:p>
        </w:tc>
      </w:tr>
      <w:tr>
        <w:tc>
          <w:tcPr>
            <w:tcW w:type="dxa" w:w="4320"/>
          </w:tcPr>
          <w:p>
            <w:r>
              <w:rPr>
                <w:b/>
              </w:rPr>
              <w:t>C2 into the risk section</w:t>
            </w:r>
            <w:r>
              <w:t>, in the §1 text with its citation line and its MOO-164 caveat</w:t>
            </w:r>
          </w:p>
        </w:tc>
        <w:tc>
          <w:tcPr>
            <w:tcW w:type="dxa" w:w="4320"/>
          </w:tcPr>
          <w:p>
            <w:r>
              <w:t xml:space="preserve">The ten documents' risk register is the </w:t>
            </w:r>
            <w:r>
              <w:rPr>
                <w:b/>
              </w:rPr>
              <w:t>R-series</w:t>
            </w:r>
            <w:r>
              <w:t xml:space="preserve"> (R1–R11, R-A to R-G). The C-series must-appear items — </w:t>
            </w:r>
            <w:r>
              <w:rPr>
                <w:b/>
              </w:rPr>
              <w:t>C1, C2, C4, C5, C6, C12, C13, C14, C15, C16, C17, C18</w:t>
            </w:r>
            <w:r>
              <w:t xml:space="preserve"> — are </w:t>
            </w:r>
            <w:r>
              <w:rPr>
                <w:b/>
              </w:rPr>
              <w:t>in no artifact at all</w:t>
            </w:r>
            <w:r>
              <w:t xml:space="preserve"> yet. Building C2 in means building §8 of the memo, which is a build, not a line edit</w:t>
            </w:r>
          </w:p>
        </w:tc>
      </w:tr>
      <w:tr>
        <w:tc>
          <w:tcPr>
            <w:tcW w:type="dxa" w:w="4320"/>
          </w:tcPr>
          <w:p>
            <w:r>
              <w:rPr>
                <w:b/>
              </w:rPr>
              <w:t>The verbatim phrase into every class-1 site</w:t>
            </w:r>
            <w:r>
              <w:t>, and the extended form into every class-2 site</w:t>
            </w:r>
          </w:p>
        </w:tc>
        <w:tc>
          <w:tcPr>
            <w:tcW w:type="dxa" w:w="4320"/>
          </w:tcPr>
          <w:p>
            <w:r>
              <w:t xml:space="preserve">The ten documents name the cohort in their own words — </w:t>
            </w:r>
            <w:r>
              <w:rPr>
                <w:i/>
              </w:rPr>
              <w:t>"the bill's cohort"</w:t>
            </w:r>
            <w:r>
              <w:t xml:space="preserve">, </w:t>
            </w:r>
            <w:r>
              <w:rPr>
                <w:i/>
              </w:rPr>
              <w:t>"the bill's own narrower cohort"</w:t>
            </w:r>
            <w:r>
              <w:t xml:space="preserve">, </w:t>
            </w:r>
            <w:r>
              <w:rPr>
                <w:i/>
              </w:rPr>
              <w:t>"the full A + B cohort"</w:t>
            </w:r>
            <w:r>
              <w:t xml:space="preserve">. The word </w:t>
            </w:r>
            <w:r>
              <w:rPr>
                <w:i/>
              </w:rPr>
              <w:t>"cohort"</w:t>
            </w:r>
            <w:r>
              <w:t xml:space="preserve"> occurs </w:t>
            </w:r>
            <w:r>
              <w:rPr>
                <w:b/>
              </w:rPr>
              <w:t>87 times</w:t>
            </w:r>
            <w:r>
              <w:t xml:space="preserve"> across the ten, and </w:t>
            </w:r>
            <w:r>
              <w:rPr>
                <w:b/>
              </w:rPr>
              <w:t>I have not classified those 87</w:t>
            </w:r>
            <w:r>
              <w:t>: many are not class-1 sites at all (</w:t>
            </w:r>
            <w:r>
              <w:rPr>
                <w:i/>
              </w:rPr>
              <w:t>"a defined cohort"</w:t>
            </w:r>
            <w:r>
              <w:t xml:space="preserve"> of another state's members, </w:t>
            </w:r>
            <w:r>
              <w:rPr>
                <w:i/>
              </w:rPr>
              <w:t>"the superseded cohort"</w:t>
            </w:r>
            <w:r>
              <w:t xml:space="preserve">, </w:t>
            </w:r>
            <w:r>
              <w:rPr>
                <w:i/>
              </w:rPr>
              <w:t>"cohort construction"</w:t>
            </w:r>
            <w:r>
              <w:t>), and the §3.3 rule is keyed to hits of the phrase, which is what I was asked to classify. Deciding which of the 87 must carry the mandated phrase is the insertion pass itself, and it is an editorial pass across all ten, then PDF, DOCX and zip rebuilds and a 30-artifact byte comparison</w:t>
            </w:r>
          </w:p>
        </w:tc>
      </w:tr>
    </w:tbl>
    <w:p>
      <w:r>
        <w:rPr>
          <w:b/>
        </w:rPr>
        <w:t>I am not starting a `v2.1` folder on my own initiative, and I am not editing a frozen one.</w:t>
      </w:r>
      <w:r>
        <w:t xml:space="preserve"> Say the word and both edits go in one pass with the MOO-199 items, on the same basis, with the usual exact-match assertions and the recommendation-sentence re-hash.</w:t>
      </w:r>
    </w:p>
    <w:p>
      <w:pPr>
        <w:pStyle w:val="Heading3"/>
      </w:pPr>
      <w:r>
        <w:t>4.2 The C-series items are not in any artifact, so "the C2 swap" is a register swap today</w:t>
      </w:r>
    </w:p>
    <w:p>
      <w:r>
        <w:t xml:space="preserve">Stated plainly because the per-document list would otherwise read as thinner than the work. </w:t>
      </w:r>
      <w:r>
        <w:rPr>
          <w:b/>
        </w:rPr>
        <w:t>There was no artifact text to replace.</w:t>
      </w:r>
      <w:r>
        <w:t xml:space="preserve"> What the swap actually did is make §1 above the authority any build reads C2 from, and retire the MOO-140 §4 pointer for anything dated at 68. That is the whole of what could be applied, and it is applied.</w:t>
      </w:r>
    </w:p>
    <w:p>
      <w:pPr>
        <w:pStyle w:val="Heading3"/>
      </w:pPr>
      <w:r>
        <w:t>4.3 MOO-205 §0 points at the wrong subsection for its own approved text</w:t>
      </w:r>
    </w:p>
    <w:p>
      <w:r>
        <w:t xml:space="preserve">§0 item 1 reads </w:t>
      </w:r>
      <w:r>
        <w:rPr>
          <w:i/>
        </w:rPr>
        <w:t xml:space="preserve">"§2.3 gives the replacement paragraph and </w:t>
      </w:r>
      <w:r>
        <w:rPr>
          <w:i/>
        </w:rPr>
        <w:t>§2.5</w:t>
      </w:r>
      <w:r>
        <w:rPr>
          <w:i/>
        </w:rPr>
        <w:t xml:space="preserve"> prints the whole approved text."</w:t>
      </w:r>
      <w:r>
        <w:t xml:space="preserve"> </w:t>
      </w:r>
      <w:r>
        <w:rPr>
          <w:b/>
        </w:rPr>
        <w:t>The approved text is at §2.4</w:t>
      </w:r>
      <w:r>
        <w:t xml:space="preserve">; §2.5 is the dateline rule. The MOO-206 description says §2.4 three times, so the intent is not in doubt and </w:t>
      </w:r>
      <w:r>
        <w:rPr>
          <w:b/>
        </w:rPr>
        <w:t>I took §2.4</w:t>
      </w:r>
      <w:r>
        <w:t>. Flagged because the document will be read by people who did not read the task description, and a committee document that mis-points at itself invites exactly one question.</w:t>
      </w:r>
    </w:p>
    <w:p>
      <w:pPr>
        <w:pStyle w:val="Heading3"/>
      </w:pPr>
      <w:r>
        <w:t xml:space="preserve">4.4 </w:t>
      </w:r>
      <w:r>
        <w:rPr>
          <w:rFonts w:ascii="Consolas" w:hAnsi="Consolas"/>
        </w:rPr>
        <w:t>05-bill-drafting-request.md</w:t>
      </w:r>
      <w:r>
        <w:t xml:space="preserve"> labels its reproduced bill text "store revision 76", and no such revision exists</w:t>
      </w:r>
    </w:p>
    <w:p>
      <w:r>
        <w:t xml:space="preserve">The document's own note reads </w:t>
      </w:r>
      <w:r>
        <w:rPr>
          <w:i/>
        </w:rPr>
        <w:t xml:space="preserve">"verbatim from the drafting team's working bill text at </w:t>
      </w:r>
      <w:r>
        <w:rPr>
          <w:i/>
        </w:rPr>
        <w:t>store revision 76</w:t>
      </w:r>
      <w:r>
        <w:rPr>
          <w:i/>
        </w:rPr>
        <w:t>."</w:t>
      </w:r>
      <w:r>
        <w:t xml:space="preserve"> The bill is at </w:t>
      </w:r>
      <w:r>
        <w:rPr>
          <w:b/>
        </w:rPr>
        <w:t>store revision 68</w:t>
      </w:r>
      <w:r>
        <w:t xml:space="preserve">, and its revision history runs 67 → 68 with no 76 anywhere. The likely cause is benign — </w:t>
      </w:r>
      <w:r>
        <w:rPr>
          <w:rFonts w:ascii="Consolas" w:hAnsi="Consolas"/>
        </w:rPr>
        <w:t>bill-text-s8</w:t>
      </w:r>
      <w:r>
        <w:t xml:space="preserve"> has </w:t>
      </w:r>
      <w:r>
        <w:rPr>
          <w:b/>
        </w:rPr>
        <w:t>87 Paperclip document revisions</w:t>
      </w:r>
      <w:r>
        <w:t>, and a transcriber reading the document-revision counter rather than the store-revision byline would have got a number in that range.</w:t>
      </w:r>
    </w:p>
    <w:p>
      <w:r>
        <w:rPr>
          <w:b/>
        </w:rPr>
        <w:t>The text is not stale</w:t>
      </w:r>
      <w:r>
        <w:t xml:space="preserve"> — I checked both reproduced definitions against store revision 68 and they match character for character. </w:t>
      </w:r>
      <w:r>
        <w:rPr>
          <w:b/>
        </w:rPr>
        <w:t>The label is wrong, not the text.</w:t>
      </w:r>
      <w:r>
        <w:t xml:space="preserve"> But </w:t>
      </w:r>
      <w:r>
        <w:rPr>
          <w:i/>
        </w:rPr>
        <w:t>"store revision 76"</w:t>
      </w:r>
      <w:r>
        <w:t xml:space="preserve"> is a citation a witness cannot follow, which is the same defect class as the subsection F quotation the Director struck. </w:t>
      </w:r>
      <w:r>
        <w:rPr>
          <w:b/>
        </w:rPr>
        <w:t>Correcting it is a label change in document 05 and belongs in the §4.1 pass.</w:t>
      </w:r>
      <w:r>
        <w:t xml:space="preserve"> I have not guessed which number the transcriber meant.</w:t>
      </w:r>
    </w:p>
    <w:p>
      <w:pPr>
        <w:pStyle w:val="Heading2"/>
      </w:pPr>
      <w:r>
        <w:t>5. Standing caveat</w:t>
      </w:r>
    </w:p>
    <w:p>
      <w:r>
        <w:rPr>
          <w:b/>
        </w:rPr>
        <w:t>Internal working draft material.</w:t>
      </w:r>
      <w:r>
        <w:t xml:space="preserve"> This document reproduces working bill text, so the caveat travels with it. This is </w:t>
      </w:r>
      <w:r>
        <w:rPr>
          <w:b/>
        </w:rPr>
        <w:t>not</w:t>
      </w:r>
      <w:r>
        <w:t xml:space="preserve"> a Division of Legislative Services bill, it has </w:t>
      </w:r>
      <w:r>
        <w:rPr>
          <w:b/>
        </w:rPr>
        <w:t>not</w:t>
      </w:r>
      <w:r>
        <w:t xml:space="preserve"> been reviewed or cleared by counsel or by DLS, and nothing here is an opinion that any provision is legally sufficient for introduction. Only DLS drafts official Virginia bills. Every figure, period and reading above is pre-decisional and internal, nothing here is cleared for external use, and release is the Policy Director's decision.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