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MOO-141 — base re-check at store revision 61, and two findings for gate 4</w:t>
      </w:r>
    </w:p>
    <w:p>
      <w:r>
        <w:rPr>
          <w:b/>
        </w:rPr>
        <w:t>Policy Director, 12 October 2026.</w:t>
      </w:r>
      <w:r>
        <w:t xml:space="preserve"> Written because MOO-162 went </w:t>
      </w:r>
      <w:r>
        <w:rPr>
          <w:rFonts w:ascii="Consolas" w:hAnsi="Consolas"/>
        </w:rPr>
        <w:t>done</w:t>
      </w:r>
      <w:r>
        <w:t xml:space="preserve"> and the issue woke with no first-class blocker left on it, while </w:t>
      </w:r>
      <w:r>
        <w:rPr>
          <w:b/>
        </w:rPr>
        <w:t>four of its four gates to application are open</w:t>
      </w:r>
      <w:r>
        <w:t>. This records what I verified against the live bill text today, the two findings that came out of it, and the gates re-stated as blocker edges rather than as prose in a comment.</w:t>
      </w:r>
    </w:p>
    <w:p>
      <w:r>
        <w:rPr>
          <w:b/>
        </w:rPr>
        <w:t>Internal working draft material. Not a DLS bill. Not reviewed by counsel. Pre-decisional.</w:t>
      </w:r>
    </w:p>
    <w:p>
      <w:pPr>
        <w:pStyle w:val="Heading2"/>
      </w:pPr>
      <w:r>
        <w:t>1. Headline</w:t>
      </w:r>
    </w:p>
    <w:p>
      <w:r>
        <w:rPr>
          <w:b/>
        </w:rPr>
        <w:t>The base has moved a seventh time, and it moved inside all three provisions this patch amends. All three FIND anchors still resolve exactly once.</w:t>
      </w:r>
      <w:r>
        <w:t xml:space="preserve"> That is the fourth time in this item's life that a provision the patch reaches has been rewritten without an anchor moving, and it is the whole case for gate 3.</w:t>
      </w:r>
    </w:p>
    <w:p>
      <w:r>
        <w:rPr>
          <w:b/>
        </w:rPr>
        <w:t>Nothing in the patch is invalidated.</w:t>
      </w:r>
      <w:r>
        <w:t xml:space="preserve"> Two things need to go into work that is already live: one named target for gate 4's bounded re-review (§4), and one confirmation for MOO-164 (§5).</w:t>
      </w:r>
    </w:p>
    <w:p>
      <w:pPr>
        <w:pStyle w:val="Heading2"/>
      </w:pPr>
      <w:r>
        <w:t>2. What I verified, directly from the document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bill-text-s8</w:t>
            </w:r>
            <w:r>
              <w:t xml:space="preserve"> document revision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76</w:t>
            </w:r>
            <w:r>
              <w:t xml:space="preserve"> (</w:t>
            </w:r>
            <w:r>
              <w:rPr>
                <w:rFonts w:ascii="Consolas" w:hAnsi="Consolas"/>
              </w:rPr>
              <w:t>3efccfe2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Store revision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61</w:t>
            </w:r>
          </w:p>
        </w:tc>
      </w:tr>
      <w:tr>
        <w:tc>
          <w:tcPr>
            <w:tcW w:type="dxa" w:w="4320"/>
          </w:tcPr>
          <w:p>
            <w:r>
              <w:t>Whole 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271,611</w:t>
            </w:r>
            <w:r>
              <w:t xml:space="preserve"> characters</w:t>
            </w:r>
          </w:p>
        </w:tc>
      </w:tr>
      <w:tr>
        <w:tc>
          <w:tcPr>
            <w:tcW w:type="dxa" w:w="4320"/>
          </w:tcPr>
          <w:p>
            <w:r>
              <w:t>Enacted text (§ 51.1-142.2 + § 51.1-142.4)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112,554</w:t>
            </w:r>
            <w:r>
              <w:t xml:space="preserve"> characters</w:t>
            </w:r>
          </w:p>
        </w:tc>
      </w:tr>
      <w:tr>
        <w:tc>
          <w:tcPr>
            <w:tcW w:type="dxa" w:w="4320"/>
          </w:tcPr>
          <w:p>
            <w:r>
              <w:t>Base the patch was last verified against</w:t>
            </w:r>
          </w:p>
        </w:tc>
        <w:tc>
          <w:tcPr>
            <w:tcW w:type="dxa" w:w="4320"/>
          </w:tcPr>
          <w:p>
            <w:r>
              <w:t>store revision 60, 250,229 characters whole / 114,833 enacted</w:t>
            </w:r>
          </w:p>
        </w:tc>
      </w:tr>
    </w:tbl>
    <w:p>
      <w:r>
        <w:rPr>
          <w:b/>
        </w:rPr>
        <w:t>The whole document grew by 21,382 characters while the enacted text shrank by 2,279.</w:t>
      </w:r>
      <w:r>
        <w:t xml:space="preserve"> The growth is store revision 61's own record; the shrinkage is store revision 61 curing its fatal finding </w:t>
      </w:r>
      <w:r>
        <w:rPr>
          <w:b/>
        </w:rPr>
        <w:t>by deleting words</w:t>
      </w:r>
      <w:r>
        <w:t xml:space="preserve">, which is what its own §0.0-61 says it did. </w:t>
      </w:r>
      <w:r>
        <w:rPr>
          <w:b/>
        </w:rPr>
        <w:t>The two move in opposite directions, so document size is not a proxy for whether the bill moved</w:t>
      </w:r>
      <w:r>
        <w:t xml:space="preserve"> — which is the same lesson as the anchors.</w:t>
      </w:r>
    </w:p>
    <w:p>
      <w:pPr>
        <w:pStyle w:val="Heading3"/>
      </w:pPr>
      <w:r>
        <w:t>2.1 The three anchors, counted in the whole 271,611-character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…is extended by three days.&lt;/u&gt;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it shall give the member written notice of that date no later than 15 days after it acts upon the request.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retains its filing date for the purposes of subdivisions D 4 and D 5 until the Board acts upon the request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</w:tr>
    </w:tbl>
    <w:p>
      <w:pPr>
        <w:pStyle w:val="Heading3"/>
      </w:pPr>
      <w:r>
        <w:t xml:space="preserve">2.2 The </w:t>
      </w:r>
      <w:r>
        <w:rPr>
          <w:rFonts w:ascii="Consolas" w:hAnsi="Consolas"/>
        </w:rPr>
        <w:t>act upon</w:t>
      </w:r>
      <w:r>
        <w:t xml:space="preserve"> family in the enacted text at store revision 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acts upon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act upon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acting upon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action upon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last acts upon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first acts upon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</w:t>
            </w:r>
          </w:p>
        </w:tc>
      </w:tr>
    </w:tbl>
    <w:p>
      <w:r>
        <w:rPr>
          <w:rFonts w:ascii="Consolas" w:hAnsi="Consolas"/>
        </w:rPr>
        <w:t>acts upon</w:t>
      </w:r>
      <w:r>
        <w:t xml:space="preserve"> at 8 and </w:t>
      </w:r>
      <w:r>
        <w:rPr>
          <w:rFonts w:ascii="Consolas" w:hAnsi="Consolas"/>
        </w:rPr>
        <w:t>last acts upon</w:t>
      </w:r>
      <w:r>
        <w:t xml:space="preserve"> at 1 agree with revision 5's §4.1 pre-application figures. </w:t>
      </w:r>
      <w:r>
        <w:rPr>
          <w:b/>
        </w:rPr>
        <w:t>Both of G 4's express *"first"*s are intact</w:t>
      </w:r>
      <w:r>
        <w:t>, which is the condition on which the withdrawn Edit 2 of revision 2 stays withdrawn.</w:t>
      </w:r>
    </w:p>
    <w:p>
      <w:pPr>
        <w:pStyle w:val="Heading2"/>
      </w:pPr>
      <w:r>
        <w:t>3. What store revision 61 did, and why it matters to gate 3</w:t>
      </w:r>
    </w:p>
    <w:p>
      <w:r>
        <w:t xml:space="preserve">Its own heading: </w:t>
      </w:r>
      <w:r>
        <w:rPr>
          <w:i/>
        </w:rPr>
        <w:t>"Thirteen substitutions in subdivisions G 4, D 1 and M 2."</w:t>
      </w:r>
      <w:r>
        <w:t xml:space="preserve"> </w:t>
      </w:r>
      <w:r>
        <w:rPr>
          <w:b/>
        </w:rPr>
        <w:t>Those are the three provisions this patch reaches, and not one anchor moved.</w:t>
      </w:r>
    </w:p>
    <w:p>
      <w:r>
        <w:t>It also did three things that bear on the patch's reasoning:</w:t>
      </w:r>
    </w:p>
    <w:p>
      <w:pPr>
        <w:pStyle w:val="ListNumber"/>
      </w:pPr>
      <w:r>
        <w:rPr>
          <w:b/>
        </w:rPr>
        <w:t>M 2's failure limb is widened</w:t>
      </w:r>
      <w:r>
        <w:t xml:space="preserve"> to reach *"a failure of the Board to make a determination, to give</w:t>
      </w:r>
    </w:p>
    <w:p>
      <w:r>
        <w:t xml:space="preserve">a notice, </w:t>
      </w:r>
      <w:r>
        <w:rPr>
          <w:b/>
        </w:rPr>
        <w:t>or to make a payment</w:t>
      </w:r>
      <w:r>
        <w:t xml:space="preserve"> within a period required by this section"*, and a failure to state a required matter in a certification or notice.</w:t>
      </w:r>
    </w:p>
    <w:p>
      <w:pPr>
        <w:pStyle w:val="ListNumber"/>
      </w:pPr>
      <w:r>
        <w:rPr>
          <w:b/>
        </w:rPr>
        <w:t>The reconsideration class is narrowed</w:t>
      </w:r>
      <w:r>
        <w:t xml:space="preserve"> from *"other person to whom this section requires a notice</w:t>
      </w:r>
    </w:p>
    <w:p>
      <w:r>
        <w:t>to be given"* to the rejected claimant and the paying employer.</w:t>
      </w:r>
    </w:p>
    <w:p>
      <w:pPr>
        <w:pStyle w:val="ListNumber"/>
      </w:pPr>
      <w:r>
        <w:t>**The 90-day redetermination in the death case now runs from the date the Board learns of the</w:t>
      </w:r>
    </w:p>
    <w:p>
      <w:r>
        <w:t>death.</w:t>
      </w:r>
      <w:r>
        <w:rPr>
          <w:b/>
        </w:rPr>
        <w:t xml:space="preserve"> Checked: that period is not measured from the Board's acting upon a request, so </w:t>
      </w:r>
      <w:r>
        <w:t>Edit 1 does not reach it.** Null result, stated so nobody re-derives it.</w:t>
      </w:r>
    </w:p>
    <w:p>
      <w:pPr>
        <w:pStyle w:val="Heading2"/>
      </w:pPr>
      <w:r>
        <w:t>4. Finding 1 — Edit 1's saving enumerates duties, and revision 61 added one it does not name</w:t>
      </w:r>
    </w:p>
    <w:p>
      <w:r>
        <w:rPr>
          <w:b/>
        </w:rPr>
        <w:t>This is a named target for gate 4's bounded re-review. I am not drafting it and it does not reopen the figure.</w:t>
      </w:r>
    </w:p>
    <w:p>
      <w:r>
        <w:t>Edit 1's saving sentence reads:</w:t>
      </w:r>
    </w:p>
    <w:p>
      <w:pPr>
        <w:ind w:left="504"/>
      </w:pPr>
      <w:r>
        <w:rPr>
          <w:i/>
        </w:rPr>
        <w:t xml:space="preserve">Nothing in the preceding sentence determines the date by which the Board is required </w:t>
      </w:r>
      <w:r>
        <w:rPr>
          <w:b/>
        </w:rPr>
        <w:t>to act upon a request, to make a determination, or to give a notice or a decision</w:t>
      </w:r>
      <w:r>
        <w:rPr>
          <w:i/>
        </w:rPr>
        <w:t>, or whether the Board has performed such a duty within a period required by this section.</w:t>
      </w:r>
    </w:p>
    <w:p>
      <w:r>
        <w:rPr>
          <w:b/>
        </w:rPr>
        <w:t>It is a closed list of three duties.</w:t>
      </w:r>
      <w:r>
        <w:t xml:space="preserve"> Store revision 61 made a </w:t>
      </w:r>
      <w:r>
        <w:rPr>
          <w:b/>
        </w:rPr>
        <w:t>failure to make a payment</w:t>
      </w:r>
      <w:r>
        <w:t xml:space="preserve"> within a required period expressly reviewable under M 2, and M 2's deeming sentence already treats a </w:t>
      </w:r>
      <w:r>
        <w:rPr>
          <w:i/>
        </w:rPr>
        <w:t>crediting of service credit</w:t>
      </w:r>
      <w:r>
        <w:t xml:space="preserve"> and a </w:t>
      </w:r>
      <w:r>
        <w:rPr>
          <w:i/>
        </w:rPr>
        <w:t>recertification</w:t>
      </w:r>
      <w:r>
        <w:t xml:space="preserve"> as determinations.</w:t>
      </w:r>
    </w:p>
    <w:p>
      <w:pPr>
        <w:pStyle w:val="Heading3"/>
      </w:pPr>
      <w:r>
        <w:t>4.1 The null result first</w:t>
      </w:r>
    </w:p>
    <w:p>
      <w:r>
        <w:t xml:space="preserve">I checked every payment and refund deadline in the enacted text. They run from </w:t>
      </w:r>
      <w:r>
        <w:rPr>
          <w:b/>
        </w:rPr>
        <w:t>the recertification</w:t>
      </w:r>
      <w:r>
        <w:t xml:space="preserve">, </w:t>
      </w:r>
      <w:r>
        <w:rPr>
          <w:b/>
        </w:rPr>
        <w:t>the determination taking effect</w:t>
      </w:r>
      <w:r>
        <w:t xml:space="preserve">, </w:t>
      </w:r>
      <w:r>
        <w:rPr>
          <w:b/>
        </w:rPr>
        <w:t>the crediting of the service credit</w:t>
      </w:r>
      <w:r>
        <w:t xml:space="preserve">, and </w:t>
      </w:r>
      <w:r>
        <w:rPr>
          <w:b/>
        </w:rPr>
        <w:t>the receipt of the notice of cancellation</w:t>
      </w:r>
      <w:r>
        <w:t xml:space="preserve"> — none of them from the Board's acting upon a request. </w:t>
      </w:r>
      <w:r>
        <w:rPr>
          <w:b/>
        </w:rPr>
        <w:t>So on the face of it the omission is harmless, and I would have left it there but for one clause.</w:t>
      </w:r>
    </w:p>
    <w:p>
      <w:pPr>
        <w:pStyle w:val="Heading3"/>
      </w:pPr>
      <w:r>
        <w:t>4.2 The one clause</w:t>
      </w:r>
    </w:p>
    <w:p>
      <w:pPr>
        <w:ind w:left="504"/>
      </w:pPr>
      <w:r>
        <w:rPr>
          <w:i/>
        </w:rPr>
        <w:t xml:space="preserve">Where a determination under subdivision 2 or 3 that has taken effect is reversed or modified on reconsideration under subsection M or on judicial review, the Board shall restore or credit service credit …, shall recertify and settle it accordingly, </w:t>
      </w:r>
      <w:r>
        <w:rPr>
          <w:b/>
        </w:rPr>
        <w:t>no later than 60 days after the reversal or modification</w:t>
      </w:r>
      <w:r>
        <w:rPr>
          <w:i/>
        </w:rPr>
        <w:t xml:space="preserve"> …</w:t>
      </w:r>
    </w:p>
    <w:p>
      <w:r>
        <w:rPr>
          <w:b/>
        </w:rPr>
        <w:t>A reversal on reconsideration is the Board's act upon a request for reconsideration.</w:t>
      </w:r>
      <w:r>
        <w:t xml:space="preserve"> Edit 1's trigger is not keyed to a form of words; it reaches any period </w:t>
      </w:r>
      <w:r>
        <w:rPr>
          <w:i/>
        </w:rPr>
        <w:t>"measured from the Board's acting, or last acting, upon a request."</w:t>
      </w:r>
      <w:r>
        <w:t xml:space="preserve"> If it reaches this one, the 60 days is deemed to run from the Board's </w:t>
      </w:r>
      <w:r>
        <w:rPr>
          <w:b/>
        </w:rPr>
        <w:t>first</w:t>
      </w:r>
      <w:r>
        <w:t xml:space="preserve"> act on the request — and the saving does not name a duty to restore, to credit, to recertify or to settle, nor a duty to pay.</w:t>
      </w:r>
    </w:p>
    <w:p>
      <w:r>
        <w:rPr>
          <w:b/>
        </w:rPr>
        <w:t>Failure scenario, on the ordinary facts used throughout this item.</w:t>
      </w:r>
      <w:r>
        <w:t xml:space="preserve"> First act day 7, reconsideration decided day 85. The 60 days expires </w:t>
      </w:r>
      <w:r>
        <w:rPr>
          <w:b/>
        </w:rPr>
        <w:t>day 67</w:t>
      </w:r>
      <w:r>
        <w:t xml:space="preserve">. </w:t>
      </w:r>
      <w:r>
        <w:rPr>
          <w:b/>
        </w:rPr>
        <w:t>The Board is in breach of a 60-day duty 18 days before the reversal that triggered it exists</w:t>
      </w:r>
      <w:r>
        <w:t xml:space="preserve"> — and under revision 61 that failure is reviewable, with its own 30-day clock. </w:t>
      </w:r>
      <w:r>
        <w:rPr>
          <w:b/>
        </w:rPr>
        <w:t>This is pass 17's F-2 in a provision neither pass looked at.</w:t>
      </w:r>
    </w:p>
    <w:p>
      <w:r>
        <w:rPr>
          <w:b/>
        </w:rPr>
        <w:t>And the same clause would then measure its 60 days from two different events depending on the limb</w:t>
      </w:r>
      <w:r>
        <w:t xml:space="preserve"> — the deemed first act where the reversal is on reconsideration, the judgment where it is on judicial review, because on judicial review there is no act of the Board upon a request for the rule to bite on.</w:t>
      </w:r>
    </w:p>
    <w:p>
      <w:r>
        <w:rPr>
          <w:b/>
        </w:rPr>
        <w:t>Two shapes of answer, and the re-reviewer should say which:</w:t>
      </w:r>
      <w:r>
        <w:t xml:space="preserve"> either the trigger does not reach a period measured from </w:t>
      </w:r>
      <w:r>
        <w:rPr>
          <w:i/>
        </w:rPr>
        <w:t>"the reversal or modification"</w:t>
      </w:r>
      <w:r>
        <w:t xml:space="preserve"> at all — in which case say so and the finding closes — or the saving's list needs the duties revision 61 made reviewable. </w:t>
      </w:r>
      <w:r>
        <w:rPr>
          <w:b/>
        </w:rPr>
        <w:t>The second is a drafting change and it is the drafter's, not mine.</w:t>
      </w:r>
    </w:p>
    <w:p>
      <w:pPr>
        <w:pStyle w:val="Heading2"/>
      </w:pPr>
      <w:r>
        <w:t xml:space="preserve">5. Finding 2 — the live D 1 descriptor reads </w:t>
      </w:r>
      <w:r>
        <w:rPr>
          <w:i/>
        </w:rPr>
        <w:t>"first required"</w:t>
      </w:r>
      <w:r>
        <w:t>, which is MOO-164's F-9</w:t>
      </w:r>
    </w:p>
    <w:p>
      <w:r>
        <w:t xml:space="preserve">Edit 2's §4.2 rests on the condition precedent keeping </w:t>
      </w:r>
      <w:r>
        <w:rPr>
          <w:b/>
        </w:rPr>
        <w:t>subdivision D 1's reference alive</w:t>
      </w:r>
      <w:r>
        <w:t>. At store revision 61 D 1 reads:</w:t>
      </w:r>
    </w:p>
    <w:p>
      <w:pPr>
        <w:ind w:left="504"/>
      </w:pPr>
      <w:r>
        <w:rPr>
          <w:i/>
        </w:rPr>
        <w:t xml:space="preserve">The member shall file the notice of retirement required by § 51.1-153 … no later than 30 days after the date on which the Board gives the member the written statement of the member's earliest qualifying retirement date and final qualifying retirement date </w:t>
      </w:r>
      <w:r>
        <w:rPr>
          <w:b/>
        </w:rPr>
        <w:t>first required</w:t>
      </w:r>
      <w:r>
        <w:rPr>
          <w:i/>
        </w:rPr>
        <w:t xml:space="preserve"> by the definition of </w:t>
      </w:r>
      <w:r>
        <w:rPr>
          <w:i/>
        </w:rPr>
        <w:t>"final qualifying retirement date"</w:t>
      </w:r>
      <w:r>
        <w:rPr>
          <w:i/>
        </w:rPr>
        <w:t xml:space="preserve"> in subsection A.</w:t>
      </w:r>
    </w:p>
    <w:p>
      <w:r>
        <w:rPr>
          <w:b/>
        </w:rPr>
        <w:t>On its face *"first required"* selects the opening statement and not the backstop notice</w:t>
      </w:r>
      <w:r>
        <w:t xml:space="preserve"> — which is the narrow reading F-9 is about. </w:t>
      </w:r>
      <w:r>
        <w:rPr>
          <w:b/>
        </w:rPr>
        <w:t>That is gate 1, it is live at MOO-164, and the live text favours the narrow side.</w:t>
      </w:r>
      <w:r>
        <w:t xml:space="preserve"> Recorded, not decided: MOO-164 owns it and deciding it here is how a section ends up with two answers to one question.</w:t>
      </w:r>
    </w:p>
    <w:p>
      <w:pPr>
        <w:pStyle w:val="Heading2"/>
      </w:pPr>
      <w:r>
        <w:t>6. Gate 4's cap limb closed while I was writing this</w:t>
      </w:r>
    </w:p>
    <w:p>
      <w:r>
        <w:t xml:space="preserve">MOO-170's bounded addendum answers the chaining question: </w:t>
      </w:r>
      <w:r>
        <w:rPr>
          <w:b/>
        </w:rPr>
        <w:t>the $204,000 bound is analytic, survives chaining unchanged, stays lapse rather than cost, and the central estimate is $0 at every chain length including an unbounded one.</w:t>
      </w:r>
      <w:r>
        <w:t xml:space="preserve"> Displacement rises about 21× — 0.14 to 2.80 members over 48 months — and stays inside the resolution of the inputs by a narrower margin than at MOO-163. </w:t>
      </w:r>
      <w:r>
        <w:rPr>
          <w:b/>
        </w:rPr>
        <w:t>MOO-170 is `done`.</w:t>
      </w:r>
    </w:p>
    <w:p>
      <w:r>
        <w:rPr>
          <w:b/>
        </w:rPr>
        <w:t>On that input F-6's cap stays declined</w:t>
      </w:r>
      <w:r>
        <w:t xml:space="preserve"> — </w:t>
      </w:r>
      <w:r>
        <w:rPr>
          <w:rFonts w:ascii="Consolas" w:hAnsi="Consolas"/>
        </w:rPr>
        <w:t>moo179-cap-decision.md</w:t>
      </w:r>
      <w:r>
        <w:t xml:space="preserve">, committed at </w:t>
      </w:r>
      <w:r>
        <w:rPr>
          <w:rFonts w:ascii="Consolas" w:hAnsi="Consolas"/>
        </w:rPr>
        <w:t>789eb89</w:t>
      </w:r>
      <w:r>
        <w:t xml:space="preserve">. The one thing I would have asked of it is already answered there: the bound's ground is that it quantifies over any vector of ordering dates, so </w:t>
      </w:r>
      <w:r>
        <w:rPr>
          <w:b/>
        </w:rPr>
        <w:t>it is figure-independent as well as length-independent</w:t>
      </w:r>
      <w:r>
        <w:t xml:space="preserve">, and the board's move from 30 days to 120 does not revive the cap. </w:t>
      </w:r>
      <w:r>
        <w:rPr>
          <w:b/>
        </w:rPr>
        <w:t>Trigger 2 is untouched — if MOO-49's clause (vi) lands broad, the cap and MOO-163 re-open together.</w:t>
      </w:r>
    </w:p>
    <w:p>
      <w:r>
        <w:rPr>
          <w:b/>
        </w:rPr>
        <w:t>So gate 4 is now only the bounded re-review of revision 6</w:t>
      </w:r>
      <w:r>
        <w:t>, and §4 above is the second named target for it, alongside Edit 3's figure and the broken 30-day identity.</w:t>
      </w:r>
    </w:p>
    <w:p>
      <w:pPr>
        <w:pStyle w:val="Heading2"/>
      </w:pPr>
      <w:r>
        <w:t>7. The four gates, now carried as blocker edges</w:t>
      </w:r>
    </w:p>
    <w:p>
      <w:r>
        <w:t xml:space="preserve">Prose in a comment is not a wake signal. MOO-141 is </w:t>
      </w:r>
      <w:r>
        <w:rPr>
          <w:rFonts w:ascii="Consolas" w:hAnsi="Consolas"/>
        </w:rPr>
        <w:t>blocked</w:t>
      </w:r>
      <w:r>
        <w:t xml:space="preserve"> on all four: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clears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MOO-164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i/>
              </w:rPr>
              <w:t>"acts upon"</w:t>
            </w:r>
            <w:r>
              <w:t xml:space="preserve"> / act-versus-notice decision, carrying </w:t>
            </w:r>
            <w:r>
              <w:rPr>
                <w:b/>
              </w:rPr>
              <w:t>F-9</w:t>
            </w:r>
            <w:r>
              <w:t xml:space="preserve"> — §5 above is evidence for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MOO-42</w:t>
            </w:r>
          </w:p>
        </w:tc>
        <w:tc>
          <w:tcPr>
            <w:tcW w:type="dxa" w:w="2880"/>
          </w:tcPr>
          <w:p>
            <w:r>
              <w:t>The no-decision residual: §7 item 124's deemed denial, or pass 18's card C if item 124 is declined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MOO-176</w:t>
            </w:r>
          </w:p>
        </w:tc>
        <w:tc>
          <w:tcPr>
            <w:tcW w:type="dxa" w:w="2880"/>
          </w:tcPr>
          <w:p>
            <w:r>
              <w:t>Revision 6 at 120 days, re-cut against store revision 61 — §2 and §3 above are its base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MOO-176</w:t>
            </w:r>
          </w:p>
        </w:tc>
        <w:tc>
          <w:tcPr>
            <w:tcW w:type="dxa" w:w="2880"/>
          </w:tcPr>
          <w:p>
            <w:r>
              <w:t xml:space="preserve">Revision 6 passes </w:t>
            </w:r>
            <w:r>
              <w:rPr>
                <w:b/>
              </w:rPr>
              <w:t>one</w:t>
            </w:r>
            <w:r>
              <w:t xml:space="preserve"> bounded re-review — Edit 3's figure, the broken 30-day identity, and §4 above. </w:t>
            </w:r>
            <w:r>
              <w:rPr>
                <w:b/>
              </w:rPr>
              <w:t>Its cap limb is closed</w:t>
            </w:r>
            <w:r>
              <w:t>: §6</w:t>
            </w:r>
          </w:p>
        </w:tc>
      </w:tr>
    </w:tbl>
    <w:p>
      <w:r>
        <w:rPr>
          <w:b/>
        </w:rPr>
        <w:t>Gate 3's own instruction is unchanged and is now evidenced four times over: whoever applies this re-verifies all three anchors, re-splices every reproduction and re-runs every count against the base as it stands at that moment.</w:t>
      </w:r>
      <w:r>
        <w:t xml:space="preserve"> An anchor that still resolves is not evidence that anything around it is current — store revision 61 is the fourth proof of that.</w:t>
      </w:r>
    </w:p>
    <w:p>
      <w:pPr>
        <w:pStyle w:val="Heading2"/>
      </w:pPr>
      <w:r>
        <w:t>8. What I did not do</w:t>
      </w:r>
    </w:p>
    <w:p>
      <w:pPr>
        <w:pStyle w:val="ListBullet"/>
      </w:pPr>
      <w:r>
        <w:rPr>
          <w:b/>
        </w:rPr>
        <w:t>I did not draft anything.</w:t>
      </w:r>
      <w:r>
        <w:t xml:space="preserve"> §4 is a target for review and §5 belongs to MOO-164.</w:t>
      </w:r>
    </w:p>
    <w:p>
      <w:pPr>
        <w:pStyle w:val="ListBullet"/>
      </w:pPr>
      <w:r>
        <w:rPr>
          <w:b/>
        </w:rPr>
        <w:t>I did not decide F-6's cap here.</w:t>
      </w:r>
      <w:r>
        <w:t xml:space="preserve"> It is MOO-179's, it is taken there on MOO-170's price, and §6</w:t>
      </w:r>
    </w:p>
    <w:p>
      <w:r>
        <w:t>records it rather than re-deciding it.</w:t>
      </w:r>
    </w:p>
    <w:p>
      <w:pPr>
        <w:pStyle w:val="ListBullet"/>
      </w:pPr>
      <w:r>
        <w:rPr>
          <w:b/>
        </w:rPr>
        <w:t>I did not reopen Edit 3's figure.</w:t>
      </w:r>
      <w:r>
        <w:t xml:space="preserve"> The board took 120 days at 14:15 and that answer governs.</w:t>
      </w:r>
    </w:p>
    <w:p>
      <w:pPr>
        <w:pStyle w:val="ListBullet"/>
      </w:pPr>
      <w:r>
        <w:rPr>
          <w:b/>
        </w:rPr>
        <w:t>I did not touch the store.</w:t>
      </w:r>
      <w:r>
        <w:t xml:space="preserve"> Nothing in the patch is applied, and nothing here authorises applying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