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Decision on F-6's cap on Edit 3's 120-day retention — declined, on the chaining price</w:t>
      </w:r>
    </w:p>
    <w:p>
      <w:r>
        <w:rPr>
          <w:b/>
        </w:rPr>
        <w:t>Policy Director, 12 October 2026. One decision, taken on one input, now landed.</w:t>
      </w:r>
      <w:r>
        <w:t xml:space="preserve"> Pass 18's F-6 cap on Edit 3's subdivision D 4 / D 5 filing-date retention was declined at </w:t>
      </w:r>
      <w:r>
        <w:t>MOO-162</w:t>
      </w:r>
      <w:r>
        <w:t xml:space="preserve"> §3.4 on </w:t>
      </w:r>
      <w:r>
        <w:t>MOO-163</w:t>
      </w:r>
      <w:r>
        <w:t xml:space="preserve">'s released price, and moved from declined-and-dormant to </w:t>
      </w:r>
      <w:r>
        <w:rPr>
          <w:b/>
        </w:rPr>
        <w:t>declined-and-paired</w:t>
      </w:r>
      <w:r>
        <w:t xml:space="preserve"> at §8.3 when the board lengthened the retention from 30 days to 120 (14:15, 12 October 2026). The decision was held on trigger 1 — the chaining limb MOO-163 did not price. </w:t>
      </w:r>
      <w:r>
        <w:rPr>
          <w:b/>
        </w:rPr>
        <w:t>[MOO-170](/MOO/issues/MOO-170) has answered. This document takes the decision.</w:t>
      </w:r>
    </w:p>
    <w:p>
      <w:r>
        <w:rPr>
          <w:b/>
        </w:rPr>
        <w:t>This document amends MOO-162 §3.4 and §8.3 and travels with them.</w:t>
      </w:r>
      <w:r>
        <w:t xml:space="preserve"> MOO-162 is closed, so that disposition is not rewritten here. Whoever reads the cap question reads both.</w:t>
      </w:r>
    </w:p>
    <w:p>
      <w:r>
        <w:rPr>
          <w:b/>
        </w:rPr>
        <w:t>Internal working draft material. Not a Division of Legislative Services bill. Not reviewed by counsel. Pre-decisional and internal.</w:t>
      </w:r>
    </w:p>
    <w:p>
      <w:pPr>
        <w:pStyle w:val="Heading2"/>
      </w:pPr>
      <w:r>
        <w:t>1. The decision</w:t>
      </w:r>
    </w:p>
    <w:p>
      <w:r>
        <w:rPr>
          <w:b/>
        </w:rPr>
        <w:t>The cap stays out. Trigger 1 did not fire.</w:t>
      </w:r>
    </w:p>
    <w:tbl>
      <w:tblPr>
        <w:tblStyle w:val="TableGrid"/>
        <w:tblW w:type="auto" w:w="0"/>
        <w:tblLook w:firstColumn="1" w:firstRow="1" w:lastColumn="0" w:lastRow="0" w:noHBand="0" w:noVBand="1" w:val="04A0"/>
      </w:tblPr>
      <w:tblGrid>
        <w:gridCol w:w="4320"/>
        <w:gridCol w:w="4320"/>
      </w:tblGrid>
      <w:tr>
        <w:tc>
          <w:tcPr>
            <w:tcW w:type="dxa" w:w="4320"/>
          </w:tcPr>
          <w:p>
            <w:r>
              <w:rPr>
                <w:b/>
              </w:rPr>
              <w:t>Question put at MOO-179</w:t>
            </w:r>
          </w:p>
        </w:tc>
        <w:tc>
          <w:tcPr>
            <w:tcW w:type="dxa" w:w="4320"/>
          </w:tcPr>
          <w:p>
            <w:r>
              <w:rPr>
                <w:b/>
              </w:rPr>
              <w:t>Decision</w:t>
            </w:r>
          </w:p>
        </w:tc>
      </w:tr>
      <w:tr>
        <w:tc>
          <w:tcPr>
            <w:tcW w:type="dxa" w:w="4320"/>
          </w:tcPr>
          <w:p>
            <w:r>
              <w:rPr>
                <w:b/>
              </w:rPr>
              <w:t>1. Take the cap, or leave it declined, at 120 days per request?</w:t>
            </w:r>
          </w:p>
        </w:tc>
        <w:tc>
          <w:tcPr>
            <w:tcW w:type="dxa" w:w="4320"/>
          </w:tcPr>
          <w:p>
            <w:r>
              <w:rPr>
                <w:b/>
              </w:rPr>
              <w:t>Leave it declined.</w:t>
            </w:r>
            <w:r>
              <w:t xml:space="preserve"> The chaining price does not move the MOO-163 finding the decline rests on.</w:t>
            </w:r>
          </w:p>
        </w:tc>
      </w:tr>
      <w:tr>
        <w:tc>
          <w:tcPr>
            <w:tcW w:type="dxa" w:w="4320"/>
          </w:tcPr>
          <w:p>
            <w:r>
              <w:rPr>
                <w:b/>
              </w:rPr>
              <w:t>2. If taken, in what form?</w:t>
            </w:r>
          </w:p>
        </w:tc>
        <w:tc>
          <w:tcPr>
            <w:tcW w:type="dxa" w:w="4320"/>
          </w:tcPr>
          <w:p>
            <w:r>
              <w:rPr>
                <w:b/>
              </w:rPr>
              <w:t>Not taken, so no form goes in.</w:t>
            </w:r>
            <w:r>
              <w:t xml:space="preserve"> The candidate text stays held at </w:t>
            </w:r>
            <w:r>
              <w:t>MOO-176</w:t>
            </w:r>
            <w:r>
              <w:t xml:space="preserve"> §9 and is </w:t>
            </w:r>
            <w:r>
              <w:rPr>
                <w:b/>
              </w:rPr>
              <w:t>not</w:t>
            </w:r>
            <w:r>
              <w:t xml:space="preserve"> drafted into operative text. §3 below records which limb survives if the cap is ever revived, so the next person does not restart this.</w:t>
            </w:r>
          </w:p>
        </w:tc>
      </w:tr>
      <w:tr>
        <w:tc>
          <w:tcPr>
            <w:tcW w:type="dxa" w:w="4320"/>
          </w:tcPr>
          <w:p>
            <w:r>
              <w:rPr>
                <w:b/>
              </w:rPr>
              <w:t>3. Is the chain material in the number of requests or in the days per request?</w:t>
            </w:r>
          </w:p>
        </w:tc>
        <w:tc>
          <w:tcPr>
            <w:tcW w:type="dxa" w:w="4320"/>
          </w:tcPr>
          <w:p>
            <w:r>
              <w:rPr>
                <w:b/>
              </w:rPr>
              <w:t>Neither, in dollars. In members, only in the number of requests.</w:t>
            </w:r>
            <w:r>
              <w:t xml:space="preserve"> Days per request — the clause (ii) dimension — is disposed of by construction. §2.3.</w:t>
            </w:r>
          </w:p>
        </w:tc>
      </w:tr>
    </w:tbl>
    <w:p>
      <w:r>
        <w:rPr>
          <w:b/>
        </w:rPr>
        <w:t>What does not move.</w:t>
      </w:r>
      <w:r>
        <w:t xml:space="preserve"> The board's 120-day figure, MOO-163's released price, MOO-162 §0.2's call, and Edits 1 and 2. Nothing here reopens any of them. </w:t>
      </w:r>
      <w:r>
        <w:rPr>
          <w:b/>
        </w:rPr>
        <w:t>[MOO-176](/MOO/issues/MOO-176) cuts revision 6 at 120 days and is unaffected except that its §9 ask is now narrowed</w:t>
      </w:r>
      <w:r>
        <w:t xml:space="preserve"> — §4.</w:t>
      </w:r>
    </w:p>
    <w:p>
      <w:r>
        <w:rPr>
          <w:b/>
        </w:rPr>
        <w:t>Trigger 2 is untouched and still live.</w:t>
      </w:r>
      <w:r>
        <w:t xml:space="preserve"> If </w:t>
      </w:r>
      <w:r>
        <w:t>MOO-49</w:t>
      </w:r>
      <w:r>
        <w:t xml:space="preserve">'s clause (vi) lands broad, the cap </w:t>
      </w:r>
      <w:r>
        <w:rPr>
          <w:b/>
        </w:rPr>
        <w:t>and</w:t>
      </w:r>
      <w:r>
        <w:t xml:space="preserve"> MOO-163 re-open together, in every scenario. §5.</w:t>
      </w:r>
    </w:p>
    <w:p>
      <w:pPr>
        <w:pStyle w:val="Heading2"/>
      </w:pPr>
      <w:r>
        <w:t>2. Why — the chaining price, and the one figure that did move</w:t>
      </w:r>
    </w:p>
    <w:p>
      <w:pPr>
        <w:pStyle w:val="Heading3"/>
      </w:pPr>
      <w:r>
        <w:t>2.1 The decline's premise survives the chain, and it survives it analytically</w:t>
      </w:r>
    </w:p>
    <w:p>
      <w:r>
        <w:rPr>
          <w:b/>
        </w:rPr>
        <w:t>The reason the cap was declined was never the length of the retention. It was that there is no money-rationed queue to cap.</w:t>
      </w:r>
      <w:r>
        <w:t xml:space="preserve"> At the central estimate D 2's $3,000,000 ceiling does not bind — </w:t>
      </w:r>
      <w:r>
        <w:rPr>
          <w:b/>
        </w:rPr>
        <w:t>67.4% utilisation</w:t>
      </w:r>
      <w:r>
        <w:t xml:space="preserve"> — so every election the bill admits is funded whatever the order, and queue position decides nothing for anyone.</w:t>
      </w:r>
    </w:p>
    <w:p>
      <w:r>
        <w:rPr>
          <w:b/>
        </w:rPr>
        <w:t>MOO-170 shows the chain does not reach that.</w:t>
      </w:r>
      <w:r>
        <w:t xml:space="preserve"> Three findings carry it, and the first two are derivations rather than draws:</w:t>
      </w:r>
    </w:p>
    <w:p>
      <w:pPr>
        <w:pStyle w:val="ListBullet"/>
      </w:pPr>
      <w:r>
        <w:rPr>
          <w:b/>
        </w:rPr>
        <w:t>The $204,000 high-take-up bound is unchanged, and there is no chain length in it.</w:t>
      </w:r>
      <w:r>
        <w:t xml:space="preserve"> The bound is the</w:t>
      </w:r>
    </w:p>
    <w:p>
      <w:r>
        <w:t xml:space="preserve">cap-fill residual argument and it already quantified over </w:t>
      </w:r>
      <w:r>
        <w:rPr>
          <w:i/>
        </w:rPr>
        <w:t>any</w:t>
      </w:r>
      <w:r>
        <w:t xml:space="preserve"> ordering of a fixed cohort against the fixed pool. A chain of any length — including an unbounded one — is only another ordering. The sweep's largest observed cell is </w:t>
      </w:r>
      <w:r>
        <w:rPr>
          <w:b/>
        </w:rPr>
        <w:t>$332, 0.163% of the bound</w:t>
      </w:r>
      <w:r>
        <w:t>: agreement, and falsifiable.</w:t>
      </w:r>
    </w:p>
    <w:p>
      <w:pPr>
        <w:pStyle w:val="ListBullet"/>
      </w:pPr>
      <w:r>
        <w:rPr>
          <w:b/>
        </w:rPr>
        <w:t>It is still lapse, not cost.</w:t>
      </w:r>
      <w:r>
        <w:t xml:space="preserve"> D 2's $3.00M is a self-executing ceiling, not an appropriation.</w:t>
      </w:r>
    </w:p>
    <w:p>
      <w:r>
        <w:t xml:space="preserve">Reordering changes which reservations fill it, never how much is authorised. The appropriation line stays </w:t>
      </w:r>
      <w:r>
        <w:rPr>
          <w:b/>
        </w:rPr>
        <w:t>$0 exactly</w:t>
      </w:r>
      <w:r>
        <w:t>.</w:t>
      </w:r>
    </w:p>
    <w:p>
      <w:pPr>
        <w:pStyle w:val="ListBullet"/>
      </w:pPr>
      <w:r>
        <w:rPr>
          <w:b/>
        </w:rPr>
        <w:t>A chain cannot add demand.</w:t>
      </w:r>
      <w:r>
        <w:t xml:space="preserve"> It is the same member filing again about the same election. So chain</w:t>
      </w:r>
    </w:p>
    <w:p>
      <w:r>
        <w:t xml:space="preserve">length is not a second route to the cap binding. </w:t>
      </w:r>
      <w:r>
        <w:rPr>
          <w:b/>
        </w:rPr>
        <w:t>The cap binds on cohort size, and cohort size is decided upstream at MOO-49's clause (vi) — not here.</w:t>
      </w:r>
    </w:p>
    <w:p>
      <w:r>
        <w:rPr>
          <w:b/>
        </w:rPr>
        <w:t>That is trigger 1, answered in the negative, on the limb the board just widened.</w:t>
      </w:r>
      <w:r>
        <w:t xml:space="preserve"> The 120-day figure was in the model as the live case, with 30 days kept as a sensitivity.</w:t>
      </w:r>
    </w:p>
    <w:p>
      <w:pPr>
        <w:pStyle w:val="Heading3"/>
      </w:pPr>
      <w:r>
        <w:t>2.2 The one thing that moved, stated at full strength</w:t>
      </w:r>
    </w:p>
    <w:p>
      <w:r>
        <w:rPr>
          <w:b/>
        </w:rPr>
        <w:t>The displacement count rises, and it rises a lot: 0.14 → 2.80 members mean over the 48-month pilot, roughly 21×, with 11 members in the worst draw.</w:t>
      </w:r>
      <w:r>
        <w:t xml:space="preserve"> MOO-170 did not bury that behind the word "fraction" and I am not going to either. </w:t>
      </w:r>
      <w:r>
        <w:rPr>
          <w:b/>
        </w:rPr>
        <w:t>It is the only quantity chaining changes, and it is the strongest fact against the decision I am taking.</w:t>
      </w:r>
      <w:r>
        <w:t xml:space="preserve"> Four things answer it.</w:t>
      </w:r>
    </w:p>
    <w:p>
      <w:r>
        <w:rPr>
          <w:b/>
        </w:rPr>
        <w:t>First, it is a count of members who move, not of members who lose — and on the branch that matters the mover gains.</w:t>
      </w:r>
      <w:r>
        <w:t xml:space="preserve"> The three construction branches rise for opposite reasons:</w:t>
      </w:r>
    </w:p>
    <w:p>
      <w:pPr>
        <w:pStyle w:val="ListBullet"/>
      </w:pPr>
      <w:r>
        <w:rPr>
          <w:b/>
        </w:rPr>
        <w:t>`removed`</w:t>
      </w:r>
      <w:r>
        <w:t xml:space="preserve"> — the chain </w:t>
      </w:r>
      <w:r>
        <w:rPr>
          <w:b/>
        </w:rPr>
        <w:t>funds</w:t>
      </w:r>
      <w:r>
        <w:t xml:space="preserve"> the reconsideration applicant: her retention now outlasts pool</w:t>
      </w:r>
    </w:p>
    <w:p>
      <w:r>
        <w:t xml:space="preserve">exhaustion, so she is no longer dropped. The 2.80 is </w:t>
      </w:r>
      <w:r>
        <w:rPr>
          <w:b/>
        </w:rPr>
        <w:t>her gain</w:t>
      </w:r>
      <w:r>
        <w:t>, and the members who move against her are those behind her in a queue that was already going to exhaust.</w:t>
      </w:r>
    </w:p>
    <w:p>
      <w:pPr>
        <w:pStyle w:val="ListBullet"/>
      </w:pPr>
      <w:r>
        <w:rPr>
          <w:b/>
        </w:rPr>
        <w:t>`back_of_queue_asis`</w:t>
      </w:r>
      <w:r>
        <w:t xml:space="preserve"> — the chain displaces </w:t>
      </w:r>
      <w:r>
        <w:rPr>
          <w:b/>
        </w:rPr>
        <w:t>her</w:t>
      </w:r>
      <w:r>
        <w:t>. MOO-170 names this the artefact branch: at long</w:t>
      </w:r>
    </w:p>
    <w:p>
      <w:r>
        <w:t>chain lengths it relegates a member who never actually lost the retained date.</w:t>
      </w:r>
    </w:p>
    <w:p>
      <w:pPr>
        <w:pStyle w:val="ListBullet"/>
      </w:pPr>
      <w:r>
        <w:rPr>
          <w:b/>
        </w:rPr>
        <w:t>`back_of_queue_gated`</w:t>
      </w:r>
      <w:r>
        <w:t>, the faithful generalisation — **flat at 0.00 at every chain length including</w:t>
      </w:r>
    </w:p>
    <w:p>
      <w:r>
        <w:t>unbounded.**</w:t>
      </w:r>
    </w:p>
    <w:p>
      <w:r>
        <w:rPr>
          <w:b/>
        </w:rPr>
        <w:t>Second, and this is what decides it: the cap would reverse the board's own decision in substance.</w:t>
      </w:r>
      <w:r>
        <w:t xml:space="preserve"> On the branch where a third party bears a cost — </w:t>
      </w:r>
      <w:r>
        <w:rPr>
          <w:rFonts w:ascii="Consolas" w:hAnsi="Consolas"/>
        </w:rPr>
        <w:t>removed</w:t>
      </w:r>
      <w:r>
        <w:t xml:space="preserve"> — what the chain does is keep the reconsideration applicant's filing date alive long enough to be funded. </w:t>
      </w:r>
      <w:r>
        <w:rPr>
          <w:b/>
        </w:rPr>
        <w:t>That is precisely the protection the board bought at 14:15 when it chose 120 days over 30.</w:t>
      </w:r>
      <w:r>
        <w:t xml:space="preserve"> A cap that cuts the chain takes it back from the same member, by the same mechanism, without the board being asked. </w:t>
      </w:r>
      <w:r>
        <w:rPr>
          <w:b/>
        </w:rPr>
        <w:t>I will not do that on a quantity that is $0 at the central estimate.</w:t>
      </w:r>
    </w:p>
    <w:p>
      <w:r>
        <w:rPr>
          <w:b/>
        </w:rPr>
        <w:t>Third, the figure is still inside the resolution of the count it sits in.</w:t>
      </w:r>
      <w:r>
        <w:t xml:space="preserve"> The participant count is known only as "18, range 9 to 30" — a band 21 members wide. The high cell's cohort is 35, and 2.80 is </w:t>
      </w:r>
      <w:r>
        <w:rPr>
          <w:b/>
        </w:rPr>
        <w:t>8.0%</w:t>
      </w:r>
      <w:r>
        <w:t xml:space="preserve"> of it. The high cell is itself an upper bound (MOO-71 §3). So: 2.80 members </w:t>
      </w:r>
      <w:r>
        <w:rPr>
          <w:b/>
        </w:rPr>
        <w:t>on the worst branch of the worst cell, against a count known to roughly ±9 members.</w:t>
      </w:r>
      <w:r>
        <w:t xml:space="preserve"> Narrower than at MOO-163, and I record it as narrower.</w:t>
      </w:r>
    </w:p>
    <w:p>
      <w:r>
        <w:rPr>
          <w:b/>
        </w:rPr>
        <w:t>Fourth, the loss is of priority, not of the purchase.</w:t>
      </w:r>
      <w:r>
        <w:t xml:space="preserve"> MOO-162 §3.4 stands: </w:t>
      </w:r>
      <w:r>
        <w:rPr>
          <w:b/>
        </w:rPr>
        <w:t>D 5 preserves every subsection B standard-cost right.</w:t>
      </w:r>
      <w:r>
        <w:t xml:space="preserve"> The displaced waiting-list applicant that MOO-125 maps as cost-bearer loses queue position, not the right to purchase.</w:t>
      </w:r>
    </w:p>
    <w:p>
      <w:pPr>
        <w:pStyle w:val="Heading3"/>
      </w:pPr>
      <w:r>
        <w:t>2.3 Question 3 — the dimension, and why it matters for the text</w:t>
      </w:r>
    </w:p>
    <w:p>
      <w:r>
        <w:rPr>
          <w:b/>
        </w:rPr>
        <w:t>Days per request is disposed of by construction.</w:t>
      </w:r>
      <w:r>
        <w:t xml:space="preserve"> MOO-170 re-ran the saturated cell at the 33-day, 40-day and 120-day link and got </w:t>
      </w:r>
      <w:r>
        <w:rPr>
          <w:b/>
        </w:rPr>
        <w:t>identical</w:t>
      </w:r>
      <w:r>
        <w:t xml:space="preserve"> results — flips 2.57 / 2.56 / 0.00 by branch, the same dollars — because the horizon-filling chain and the unbounded limit do not use the link length at all. </w:t>
      </w:r>
      <w:r>
        <w:rPr>
          <w:b/>
        </w:rPr>
        <w:t>Link length decides only how fast the chain saturates, not what it saturates at.</w:t>
      </w:r>
      <w:r>
        <w:t xml:space="preserve"> So the clause (ii) dimension — aggregate days — has </w:t>
      </w:r>
      <w:r>
        <w:rPr>
          <w:b/>
        </w:rPr>
        <w:t>no fiscal warrant whatsoever</w:t>
      </w:r>
      <w:r>
        <w:t>, at any figure.</w:t>
      </w:r>
    </w:p>
    <w:p>
      <w:r>
        <w:rPr>
          <w:b/>
        </w:rPr>
        <w:t>Number of requests is the only dimension in which anything moves</w:t>
      </w:r>
      <w:r>
        <w:t xml:space="preserve">, and only in members, not dollars: the count climbs monotonically with k and saturates around k = 44, where the chain fills the pilot. </w:t>
      </w:r>
      <w:r>
        <w:rPr>
          <w:b/>
        </w:rPr>
        <w:t>So if the cap ever revives, the live limb is clause (i) and the dead limb is clause (ii).</w:t>
      </w:r>
      <w:r>
        <w:t xml:space="preserve"> §3.</w:t>
      </w:r>
    </w:p>
    <w:p>
      <w:r>
        <w:rPr>
          <w:b/>
        </w:rPr>
        <w:t>Honest statement of the limit.</w:t>
      </w:r>
      <w:r>
        <w:t xml:space="preserve"> The long-chain </w:t>
      </w:r>
      <w:r>
        <w:rPr>
          <w:i/>
        </w:rPr>
        <w:t>dollar</w:t>
      </w:r>
      <w:r>
        <w:t xml:space="preserve"> deltas are not resolved: every one of the 12 seed-test cells sits inside its own 95% Monte Carlo interval and the seed-to-seed swing reaches $421, larger than half the printed deltas. </w:t>
      </w:r>
      <w:r>
        <w:rPr>
          <w:b/>
        </w:rPr>
        <w:t>This decision therefore does not rest on them.</w:t>
      </w:r>
      <w:r>
        <w:t xml:space="preserve"> It rests on the analytic bound, which uses none of the draws, and on the member counts, which are one-sided by construction and not seed artefacts.</w:t>
      </w:r>
    </w:p>
    <w:p>
      <w:pPr>
        <w:pStyle w:val="Heading2"/>
      </w:pPr>
      <w:r>
        <w:t>3. The form question, answered for the record and not enacted</w:t>
      </w:r>
    </w:p>
    <w:p>
      <w:r>
        <w:rPr>
          <w:b/>
        </w:rPr>
        <w:t>Nothing goes into the operative text.</w:t>
      </w:r>
      <w:r>
        <w:t xml:space="preserve"> But MOO-179's question 2 was asked so the answer exists when the cap next comes up, and the chaining dimension now settles it. Pass 18's text was:</w:t>
      </w:r>
    </w:p>
    <w:p>
      <w:pPr>
        <w:ind w:left="504"/>
      </w:pPr>
      <w:r>
        <w:rPr>
          <w:i/>
        </w:rPr>
        <w:t>…, except that (i) no second or subsequent request for reconsideration of the same determination continues the retention and (ii) the aggregate of all retention under this sentence shall not exceed 120 days.</w:t>
      </w:r>
    </w:p>
    <w:p>
      <w:r>
        <w:rPr>
          <w:b/>
        </w:rPr>
        <w:t>On the board's figure, clause (ii) is dead either way it is read.</w:t>
      </w:r>
      <w:r>
        <w:t xml:space="preserve"> At 120 days per request the first request exhausts a 120-day aggregate by itself. So:</w:t>
      </w:r>
    </w:p>
    <w:p>
      <w:pPr>
        <w:pStyle w:val="ListBullet"/>
      </w:pPr>
      <w:r>
        <w:t xml:space="preserve">read </w:t>
      </w:r>
      <w:r>
        <w:rPr>
          <w:b/>
        </w:rPr>
        <w:t>outside</w:t>
      </w:r>
      <w:r>
        <w:t xml:space="preserve"> pendency, clause (ii) bites only on the second request — which is exactly and only what</w:t>
      </w:r>
    </w:p>
    <w:p>
      <w:r>
        <w:t xml:space="preserve">clause (i) does, in more words and with a number that invites the other reading. </w:t>
      </w:r>
      <w:r>
        <w:rPr>
          <w:b/>
        </w:rPr>
        <w:t>Surplusage, and the worse-drafted of the two.</w:t>
      </w:r>
    </w:p>
    <w:p>
      <w:pPr>
        <w:pStyle w:val="ListBullet"/>
      </w:pPr>
      <w:r>
        <w:t xml:space="preserve">read </w:t>
      </w:r>
      <w:r>
        <w:rPr>
          <w:b/>
        </w:rPr>
        <w:t>inside</w:t>
      </w:r>
      <w:r>
        <w:t xml:space="preserve"> pendency, the aggregate reaches into the pendency period and **claws back part of the 120</w:t>
      </w:r>
    </w:p>
    <w:p>
      <w:r>
        <w:t>days the board has just granted.** That is not a cap on chaining; it is a reduction of the board's figure, taken without a card.</w:t>
      </w:r>
    </w:p>
    <w:p>
      <w:r>
        <w:rPr>
          <w:b/>
        </w:rPr>
        <w:t>So the smallest form that survives the collision is clause (i) alone</w:t>
      </w:r>
      <w:r>
        <w:t xml:space="preserve">, and it is also the only limb with a dimension the price can speak to (§2.3). </w:t>
      </w:r>
      <w:r>
        <w:rPr>
          <w:b/>
        </w:rPr>
        <w:t>If the cap is ever revived, clause (ii) at 120 days does not come with it.</w:t>
      </w:r>
      <w:r>
        <w:t xml:space="preserve"> A different aggregate — a multiple of 120 — would be a new figure, and a new figure is a board card, not a drafter's or my own re-pitch.</w:t>
      </w:r>
    </w:p>
    <w:p>
      <w:r>
        <w:rPr>
          <w:b/>
        </w:rPr>
        <w:t>This is a policy-side conclusion on a textual question the drafter owns.</w:t>
      </w:r>
      <w:r>
        <w:t xml:space="preserve"> </w:t>
      </w:r>
      <w:r>
        <w:t>MOO-176</w:t>
      </w:r>
      <w:r>
        <w:t xml:space="preserve"> §9 answers the collision on the text. </w:t>
      </w:r>
      <w:r>
        <w:rPr>
          <w:b/>
        </w:rPr>
        <w:t>If their answer contradicts this, theirs is the reading of the text and I take it in</w:t>
      </w:r>
      <w:r>
        <w:t xml:space="preserve"> — the cap is declined either way, so nothing operative turns on the difference today.</w:t>
      </w:r>
    </w:p>
    <w:p>
      <w:pPr>
        <w:pStyle w:val="Heading2"/>
      </w:pPr>
      <w:r>
        <w:t>4. What this changes for work in flight</w:t>
      </w:r>
    </w:p>
    <w:p>
      <w:pPr>
        <w:pStyle w:val="ListBullet"/>
      </w:pPr>
      <w:r>
        <w:rPr>
          <w:b/>
        </w:rPr>
        <w:t>[MOO-176](/MOO/issues/MOO-176) — Drafting Specialist.</w:t>
      </w:r>
      <w:r>
        <w:t xml:space="preserve"> Revision 6 is unaffected. **§9's ask is</w:t>
      </w:r>
    </w:p>
    <w:p>
      <w:r>
        <w:t>narrowed, not withdrawn:</w:t>
      </w:r>
      <w:r>
        <w:rPr>
          <w:b/>
        </w:rPr>
        <w:t xml:space="preserve"> hold the candidate text, and hold it as </w:t>
      </w:r>
      <w:r>
        <w:t>clause (i) only*</w:t>
      </w:r>
      <w:r>
        <w:rPr>
          <w:i/>
        </w:rPr>
        <w:t xml:space="preserve">. Do not draft clause (ii), and do not put either limb in the operative text. The §2 items — the deliberate divergence, the day 37 to day 127 window, and what carries Edit 3 now the </w:t>
      </w:r>
      <w:r>
        <w:t>Forst* identity does not — are unchanged and remain the heart of that cut.</w:t>
      </w:r>
    </w:p>
    <w:p>
      <w:pPr>
        <w:pStyle w:val="ListBullet"/>
      </w:pPr>
      <w:r>
        <w:rPr>
          <w:b/>
        </w:rPr>
        <w:t>Gate 4 — the bounded re-review.</w:t>
      </w:r>
      <w:r>
        <w:t xml:space="preserve"> MOO-162 §8.4's fourth gate is now fully specified, because the cap</w:t>
      </w:r>
    </w:p>
    <w:p>
      <w:r>
        <w:t xml:space="preserve">is the last of its three items to settle. </w:t>
      </w:r>
      <w:r>
        <w:rPr>
          <w:b/>
        </w:rPr>
        <w:t>It is commissioned as one pass once MOO-176 reports</w:t>
      </w:r>
      <w:r>
        <w:t xml:space="preserve">, and it covers Edit 3's figure at 120 days, the broken 30-day </w:t>
      </w:r>
      <w:r>
        <w:rPr>
          <w:i/>
        </w:rPr>
        <w:t>Forst</w:t>
      </w:r>
      <w:r>
        <w:t xml:space="preserve"> identity (MOO-162 §8.2), and </w:t>
      </w:r>
      <w:r>
        <w:rPr>
          <w:b/>
        </w:rPr>
        <w:t>the cap's absence</w:t>
      </w:r>
      <w:r>
        <w:t xml:space="preserve"> — that the declined cap leaves no dangling cross-reference, and that §9's held text is marked as held. One pass, so the reviewer sees the final shape once.</w:t>
      </w:r>
    </w:p>
    <w:p>
      <w:pPr>
        <w:pStyle w:val="ListBullet"/>
      </w:pPr>
      <w:r>
        <w:rPr>
          <w:b/>
        </w:rPr>
        <w:t>[MOO-177](/MOO/issues/MOO-177) — Editor.</w:t>
      </w:r>
      <w:r>
        <w:t xml:space="preserve"> The risk register needs </w:t>
      </w:r>
      <w:r>
        <w:rPr>
          <w:b/>
        </w:rPr>
        <w:t>no new cap entry</w:t>
      </w:r>
      <w:r>
        <w:t>. The register</w:t>
      </w:r>
    </w:p>
    <w:p>
      <w:r>
        <w:t>line, if one is wanted, is the §6 sentence below.</w:t>
      </w:r>
    </w:p>
    <w:p>
      <w:pPr>
        <w:pStyle w:val="ListBullet"/>
      </w:pPr>
      <w:r>
        <w:rPr>
          <w:b/>
        </w:rPr>
        <w:t>[MOO-163](/MOO/issues/MOO-163) and [MOO-170](/MOO/issues/MOO-170).</w:t>
      </w:r>
      <w:r>
        <w:t xml:space="preserve"> Both released and both stand.</w:t>
      </w:r>
    </w:p>
    <w:p>
      <w:r>
        <w:t>Neither is re-run.</w:t>
      </w:r>
    </w:p>
    <w:p>
      <w:pPr>
        <w:pStyle w:val="Heading2"/>
      </w:pPr>
      <w:r>
        <w:t>5. Trigger 2, carried forward unchanged</w:t>
      </w:r>
    </w:p>
    <w:p>
      <w:r>
        <w:rPr>
          <w:b/>
        </w:rPr>
        <w:t>[MOO-49](/MOO/issues/MOO-49)'s clause (vi) reading is now the only live trigger, and MOO-170 sharpened why.</w:t>
      </w:r>
      <w:r>
        <w:t xml:space="preserve"> Broad gives roughly 130 members and </w:t>
      </w:r>
      <w:r>
        <w:rPr>
          <w:b/>
        </w:rPr>
        <w:t>the cap binds in every scenario</w:t>
      </w:r>
      <w:r>
        <w:t xml:space="preserve">; the queue becomes real and queue position starts deciding outcomes. </w:t>
      </w:r>
      <w:r>
        <w:rPr>
          <w:b/>
        </w:rPr>
        <w:t>A 10% move in the cohort count moves the answer more than a 10× move in chain length does.</w:t>
      </w:r>
      <w:r>
        <w:t xml:space="preserve"> If clause (vi) lands broad, </w:t>
      </w:r>
      <w:r>
        <w:rPr>
          <w:b/>
        </w:rPr>
        <w:t>this decision and MOO-163 re-open together</w:t>
      </w:r>
      <w:r>
        <w:t>, and the member counts in §2.2 stop being inside the resolution of anything.</w:t>
      </w:r>
    </w:p>
    <w:p>
      <w:r>
        <w:rPr>
          <w:b/>
        </w:rPr>
        <w:t>Recorded here so it does not have to be rediscovered.</w:t>
      </w:r>
      <w:r>
        <w:t xml:space="preserve"> There is no second trigger behind it: chaining is spent, and it is spent as a negative.</w:t>
      </w:r>
    </w:p>
    <w:p>
      <w:pPr>
        <w:pStyle w:val="Heading2"/>
      </w:pPr>
      <w:r>
        <w:t>6. For the Editor and the memo, one sentence</w:t>
      </w:r>
    </w:p>
    <w:p>
      <w:pPr>
        <w:ind w:left="504"/>
      </w:pPr>
      <w:r>
        <w:rPr>
          <w:i/>
        </w:rPr>
        <w:t>A cap on the chain of filing-date retentions is not drafted into the bill: serial requests for reconsideration cannot add demand, only reorder it, so the chain leaves the appropriation line at $0 at the central estimate and the high-take-up effect inside the same $204,000 lapse bound at any chain length, and the one quantity it does move — roughly 2.8 members of queue position over the 48-month pilot, on the upper-bound cohort — is a reordering of priority that leaves every standard-cost purchase right intact.</w:t>
      </w:r>
    </w:p>
    <w:p>
      <w:r>
        <w:rPr>
          <w:b/>
        </w:rPr>
        <w:t>Internal working draft material. Not a DLS bill. Not reviewed by counsel. Pre-decisional.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