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Annex — Virginia Law Officers (VaLORS) pre-score</w:t>
      </w:r>
    </w:p>
    <w:p>
      <w:r>
        <w:rPr>
          <w:i/>
          <w:color w:val="555555"/>
          <w:sz w:val="19"/>
        </w:rPr>
        <w:t>A priced amendment held in reserve · Policy Director · MOO-100 · 12 October 2026 · internal, pre-decisional</w:t>
      </w:r>
    </w:p>
    <w:p>
      <w:r>
        <w:rPr>
          <w:b/>
        </w:rPr>
        <w:t>Status: reserve document. Not part of the bill, not part of the fiscal note, not for circulation.</w:t>
      </w:r>
      <w:r>
        <w:t xml:space="preserve"> The board decided on 12 October 2026 to exclude the State Police Officers', Virginia Law Officers' and Judicial Retirement Systems from the pilot, expressly in the bill text. On 12 October 2026 the board further decided to price a VaLORS amendment now, before it is offered on the floor, rather than after. This annex is that price. It is produced so that the answer to “what would it cost to add law officers?” is a number we already hold, not a number the other side supplies.</w:t>
      </w:r>
    </w:p>
    <w:p>
      <w:r>
        <w:t>Built on the same method as V2-fiscal-model, from the same source of record, with the same three dials at the same settings. Only the plan changes. Figures are computed by the same code, so this annex and the model cannot drift apart.</w:t>
      </w:r>
    </w:p>
    <w:p>
      <w:pPr>
        <w:jc w:val="left"/>
      </w:pPr>
      <w:r>
        <w:rPr>
          <w:color w:val="BBBBBB"/>
        </w:rPr>
        <w:t>______________________________________________________________________________________</w:t>
      </w:r>
    </w:p>
    <w:p>
      <w:pPr>
        <w:pStyle w:val="Heading1"/>
      </w:pPr>
      <w:r>
        <w:t>0. The answer in four lines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p>
        </w:tc>
        <w:tc>
          <w:tcPr>
            <w:tcW w:type="dxa" w:w="2412"/>
          </w:tcPr>
          <w:p>
            <w:r>
              <w:rPr>
                <w:b/>
                <w:sz w:val="19"/>
              </w:rPr>
            </w:r>
            <w:r>
              <w:rPr>
                <w:b/>
                <w:sz w:val="19"/>
              </w:rPr>
              <w:t>Low</w:t>
            </w:r>
          </w:p>
        </w:tc>
        <w:tc>
          <w:tcPr>
            <w:tcW w:type="dxa" w:w="2412"/>
          </w:tcPr>
          <w:p>
            <w:r>
              <w:rPr>
                <w:b/>
                <w:sz w:val="19"/>
              </w:rPr>
            </w:r>
            <w:r>
              <w:rPr>
                <w:b/>
                <w:sz w:val="19"/>
              </w:rPr>
              <w:t>Mid</w:t>
            </w:r>
          </w:p>
        </w:tc>
        <w:tc>
          <w:tcPr>
            <w:tcW w:type="dxa" w:w="2412"/>
          </w:tcPr>
          <w:p>
            <w:r>
              <w:rPr>
                <w:b/>
                <w:sz w:val="19"/>
              </w:rPr>
            </w:r>
            <w:r>
              <w:rPr>
                <w:b/>
                <w:sz w:val="19"/>
              </w:rPr>
              <w:t>High</w:t>
            </w:r>
          </w:p>
        </w:tc>
      </w:tr>
      <w:tr>
        <w:tc>
          <w:tcPr>
            <w:tcW w:type="dxa" w:w="2412"/>
          </w:tcPr>
          <w:p>
            <w:r>
              <w:rPr>
                <w:sz w:val="19"/>
              </w:rPr>
            </w:r>
            <w:r>
              <w:rPr>
                <w:sz w:val="19"/>
              </w:rPr>
              <w:t>VaLORS participants added over the four-year pilot</w:t>
            </w:r>
          </w:p>
        </w:tc>
        <w:tc>
          <w:tcPr>
            <w:tcW w:type="dxa" w:w="2412"/>
          </w:tcPr>
          <w:p>
            <w:r>
              <w:rPr>
                <w:sz w:val="19"/>
              </w:rPr>
            </w:r>
            <w:r>
              <w:rPr>
                <w:sz w:val="19"/>
              </w:rPr>
              <w:t>0.6</w:t>
            </w:r>
          </w:p>
        </w:tc>
        <w:tc>
          <w:tcPr>
            <w:tcW w:type="dxa" w:w="2412"/>
          </w:tcPr>
          <w:p>
            <w:r>
              <w:rPr>
                <w:sz w:val="19"/>
              </w:rPr>
            </w:r>
            <w:r>
              <w:rPr>
                <w:b/>
                <w:sz w:val="19"/>
              </w:rPr>
              <w:t>2.8</w:t>
            </w:r>
          </w:p>
        </w:tc>
        <w:tc>
          <w:tcPr>
            <w:tcW w:type="dxa" w:w="2412"/>
          </w:tcPr>
          <w:p>
            <w:r>
              <w:rPr>
                <w:sz w:val="19"/>
              </w:rPr>
            </w:r>
            <w:r>
              <w:rPr>
                <w:sz w:val="19"/>
              </w:rPr>
              <w:t>9.5</w:t>
            </w:r>
          </w:p>
        </w:tc>
      </w:tr>
      <w:tr>
        <w:tc>
          <w:tcPr>
            <w:tcW w:type="dxa" w:w="2412"/>
          </w:tcPr>
          <w:p>
            <w:r>
              <w:rPr>
                <w:sz w:val="19"/>
              </w:rPr>
            </w:r>
            <w:r>
              <w:rPr>
                <w:sz w:val="19"/>
              </w:rPr>
              <w:t>Member payments into the trust fund</w:t>
            </w:r>
          </w:p>
        </w:tc>
        <w:tc>
          <w:tcPr>
            <w:tcW w:type="dxa" w:w="2412"/>
          </w:tcPr>
          <w:p>
            <w:r>
              <w:rPr>
                <w:sz w:val="19"/>
              </w:rPr>
            </w:r>
            <w:r>
              <w:rPr>
                <w:sz w:val="19"/>
              </w:rPr>
              <w:t>$11,315</w:t>
            </w:r>
          </w:p>
        </w:tc>
        <w:tc>
          <w:tcPr>
            <w:tcW w:type="dxa" w:w="2412"/>
          </w:tcPr>
          <w:p>
            <w:r>
              <w:rPr>
                <w:sz w:val="19"/>
              </w:rPr>
            </w:r>
            <w:r>
              <w:rPr>
                <w:b/>
                <w:sz w:val="19"/>
              </w:rPr>
              <w:t>$51,726</w:t>
            </w:r>
          </w:p>
        </w:tc>
        <w:tc>
          <w:tcPr>
            <w:tcW w:type="dxa" w:w="2412"/>
          </w:tcPr>
          <w:p>
            <w:r>
              <w:rPr>
                <w:sz w:val="19"/>
              </w:rPr>
            </w:r>
            <w:r>
              <w:rPr>
                <w:sz w:val="19"/>
              </w:rPr>
              <w:t>$175,113</w:t>
            </w:r>
          </w:p>
        </w:tc>
      </w:tr>
      <w:tr>
        <w:tc>
          <w:tcPr>
            <w:tcW w:type="dxa" w:w="2412"/>
          </w:tcPr>
          <w:p>
            <w:r>
              <w:rPr>
                <w:sz w:val="19"/>
              </w:rPr>
            </w:r>
            <w:r>
              <w:rPr>
                <w:sz w:val="19"/>
              </w:rPr>
              <w:t>Trust-fund subsidy at k = 2.0</w:t>
            </w:r>
          </w:p>
        </w:tc>
        <w:tc>
          <w:tcPr>
            <w:tcW w:type="dxa" w:w="2412"/>
          </w:tcPr>
          <w:p>
            <w:r>
              <w:rPr>
                <w:sz w:val="19"/>
              </w:rPr>
            </w:r>
            <w:r>
              <w:rPr>
                <w:sz w:val="19"/>
              </w:rPr>
              <w:t>$11,315</w:t>
            </w:r>
          </w:p>
        </w:tc>
        <w:tc>
          <w:tcPr>
            <w:tcW w:type="dxa" w:w="2412"/>
          </w:tcPr>
          <w:p>
            <w:r>
              <w:rPr>
                <w:sz w:val="19"/>
              </w:rPr>
            </w:r>
            <w:r>
              <w:rPr>
                <w:b/>
                <w:sz w:val="19"/>
              </w:rPr>
              <w:t>$51,726</w:t>
            </w:r>
          </w:p>
        </w:tc>
        <w:tc>
          <w:tcPr>
            <w:tcW w:type="dxa" w:w="2412"/>
          </w:tcPr>
          <w:p>
            <w:r>
              <w:rPr>
                <w:sz w:val="19"/>
              </w:rPr>
            </w:r>
            <w:r>
              <w:rPr>
                <w:sz w:val="19"/>
              </w:rPr>
              <w:t>$175,113</w:t>
            </w:r>
          </w:p>
        </w:tc>
      </w:tr>
      <w:tr>
        <w:tc>
          <w:tcPr>
            <w:tcW w:type="dxa" w:w="2412"/>
          </w:tcPr>
          <w:p>
            <w:r>
              <w:rPr>
                <w:sz w:val="19"/>
              </w:rPr>
            </w:r>
            <w:r>
              <w:rPr>
                <w:sz w:val="19"/>
              </w:rPr>
              <w:t>Increase over the bill as scoped — participants</w:t>
            </w:r>
          </w:p>
        </w:tc>
        <w:tc>
          <w:tcPr>
            <w:tcW w:type="dxa" w:w="2412"/>
          </w:tcPr>
          <w:p>
            <w:r>
              <w:rPr>
                <w:sz w:val="19"/>
              </w:rPr>
            </w:r>
            <w:r>
              <w:rPr>
                <w:sz w:val="19"/>
              </w:rPr>
              <w:t>+3.5%</w:t>
            </w:r>
          </w:p>
        </w:tc>
        <w:tc>
          <w:tcPr>
            <w:tcW w:type="dxa" w:w="2412"/>
          </w:tcPr>
          <w:p>
            <w:r>
              <w:rPr>
                <w:sz w:val="19"/>
              </w:rPr>
            </w:r>
            <w:r>
              <w:rPr>
                <w:b/>
                <w:sz w:val="19"/>
              </w:rPr>
              <w:t>+6.7%</w:t>
            </w:r>
          </w:p>
        </w:tc>
        <w:tc>
          <w:tcPr>
            <w:tcW w:type="dxa" w:w="2412"/>
          </w:tcPr>
          <w:p>
            <w:r>
              <w:rPr>
                <w:sz w:val="19"/>
              </w:rPr>
            </w:r>
            <w:r>
              <w:rPr>
                <w:sz w:val="19"/>
              </w:rPr>
              <w:t>+10.9%</w:t>
            </w:r>
          </w:p>
        </w:tc>
      </w:tr>
      <w:tr>
        <w:tc>
          <w:tcPr>
            <w:tcW w:type="dxa" w:w="2412"/>
          </w:tcPr>
          <w:p>
            <w:r>
              <w:rPr>
                <w:sz w:val="19"/>
              </w:rPr>
            </w:r>
            <w:r>
              <w:rPr>
                <w:sz w:val="19"/>
              </w:rPr>
              <w:t>Increase over the bill as scoped — member payments</w:t>
            </w:r>
          </w:p>
        </w:tc>
        <w:tc>
          <w:tcPr>
            <w:tcW w:type="dxa" w:w="2412"/>
          </w:tcPr>
          <w:p>
            <w:r>
              <w:rPr>
                <w:sz w:val="19"/>
              </w:rPr>
            </w:r>
            <w:r>
              <w:rPr>
                <w:sz w:val="19"/>
              </w:rPr>
              <w:t>+4.9%</w:t>
            </w:r>
          </w:p>
        </w:tc>
        <w:tc>
          <w:tcPr>
            <w:tcW w:type="dxa" w:w="2412"/>
          </w:tcPr>
          <w:p>
            <w:r>
              <w:rPr>
                <w:sz w:val="19"/>
              </w:rPr>
            </w:r>
            <w:r>
              <w:rPr>
                <w:b/>
                <w:sz w:val="19"/>
              </w:rPr>
              <w:t>+9.3%</w:t>
            </w:r>
          </w:p>
        </w:tc>
        <w:tc>
          <w:tcPr>
            <w:tcW w:type="dxa" w:w="2412"/>
          </w:tcPr>
          <w:p>
            <w:r>
              <w:rPr>
                <w:sz w:val="19"/>
              </w:rPr>
            </w:r>
            <w:r>
              <w:rPr>
                <w:sz w:val="19"/>
              </w:rPr>
              <w:t>+15.1%</w:t>
            </w:r>
          </w:p>
        </w:tc>
      </w:tr>
    </w:tbl>
    <w:p/>
    <w:p>
      <w:r>
        <w:rPr>
          <w:b/>
        </w:rPr>
        <w:t>The amendment is small, and the reason is the plan's own eligibility rules, not our drafting.</w:t>
      </w:r>
      <w:r>
        <w:t xml:space="preserve"> VaLORS is a young, high-turnover workforce — average age 39.6, average total service 8.3 years — and its unreduced-retirement rules are age 60 with five years or age 50 with 25 years. Only 583 of 7,459 members (7.8%) sit in either pathway. The comparable figure for the State Employees plan is 8,650 of 28,994 (29.8%) — nearly four times the rate.</w:t>
      </w:r>
    </w:p>
    <w:p>
      <w:r>
        <w:rPr>
          <w:b/>
        </w:rPr>
        <w:t>So the sympathetic amendment is also an affordable one, and that is the single most useful sentence in this annex.</w:t>
      </w:r>
      <w:r>
        <w:t xml:space="preserve"> At mid take-up, adding 7,459 law officers to the pilot adds about 3 participants and about $51,726 of member payments over four years. We should be able to say that in a committee room without reaching for a calculator.</w:t>
      </w:r>
    </w:p>
    <w:p>
      <w:r>
        <w:t>What we cannot say is what it costs the trust fund, for the same reason we cannot say that for the bill as scoped: the actuarial-equivalent-to-approximate-normal-cost ratio, k, is unknown and only VRS can supply it. Everything below is expressed in member payments and in k.</w:t>
      </w:r>
    </w:p>
    <w:p>
      <w:pPr>
        <w:jc w:val="left"/>
      </w:pPr>
      <w:r>
        <w:rPr>
          <w:color w:val="BBBBBB"/>
        </w:rPr>
        <w:t>______________________________________________________________________________________</w:t>
      </w:r>
    </w:p>
    <w:p>
      <w:pPr>
        <w:pStyle w:val="Heading1"/>
      </w:pPr>
      <w:r>
        <w:t>1. Why VaLORS is structurally different from the plan we scoped</w:t>
      </w:r>
    </w:p>
    <w:p>
      <w:pPr>
        <w:pStyle w:val="Heading2"/>
      </w:pPr>
      <w:r>
        <w:t>1.1 There is no VaLORS Hybrid — the whole plan is in scope</w:t>
      </w:r>
    </w:p>
    <w:p>
      <w:r>
        <w:t xml:space="preserve">This is the finding that most changes how a VaLORS amendment should be read. Hazardous-duty positions are not eligible for the Hybrid Retirement Plan. A VaLORS member whose membership date is on or after 1 July 2010 is in </w:t>
      </w:r>
      <w:r>
        <w:rPr>
          <w:b/>
        </w:rPr>
        <w:t>Plan 2</w:t>
      </w:r>
      <w:r>
        <w:t>, even if the date is after 31 December 2013. So all 7,459 active VaLORS members are Plan 1 or Plan 2, and a bill naming Plan 1 and Plan 2 reaches every one of them.</w:t>
      </w:r>
    </w:p>
    <w:p>
      <w:r>
        <w:t xml:space="preserve">In the State Employees plan the Hybrid tier absorbs 52,280 of 81,274 members — 64% — and the Plan 1/Plan 2 denominator is only 28,994. </w:t>
      </w:r>
      <w:r>
        <w:rPr>
          <w:b/>
        </w:rPr>
        <w:t>A reader who assumes the same 36% in-scope fraction applies to VaLORS will understate the VaLORS denominator by about 2.8×.</w:t>
      </w:r>
      <w:r>
        <w:t xml:space="preserve"> It does not change the answer in section 0, because the binding constraint is eligibility and not tier, but it is the kind of error that gets made out loud.</w:t>
      </w:r>
    </w:p>
    <w:p>
      <w:r>
        <w:rPr>
          <w:b/>
          <w:sz w:val="20"/>
        </w:rPr>
        <w:t>Table 1 — plan-tier split, derived. Hazardous duty has no Hybrid tier, so one cut at 15.0 years of total service separates the tiers and it falls exactly on a published band boundary. No band has to be split.</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Tier</w:t>
            </w:r>
          </w:p>
        </w:tc>
        <w:tc>
          <w:tcPr>
            <w:tcW w:type="dxa" w:w="2412"/>
          </w:tcPr>
          <w:p>
            <w:r>
              <w:rPr>
                <w:b/>
                <w:sz w:val="19"/>
              </w:rPr>
            </w:r>
            <w:r>
              <w:rPr>
                <w:b/>
                <w:sz w:val="19"/>
              </w:rPr>
              <w:t>Members</w:t>
            </w:r>
          </w:p>
        </w:tc>
        <w:tc>
          <w:tcPr>
            <w:tcW w:type="dxa" w:w="2412"/>
          </w:tcPr>
          <w:p>
            <w:r>
              <w:rPr>
                <w:b/>
                <w:sz w:val="19"/>
              </w:rPr>
            </w:r>
            <w:r>
              <w:rPr>
                <w:b/>
                <w:sz w:val="19"/>
              </w:rPr>
              <w:t>Average salary</w:t>
            </w:r>
          </w:p>
        </w:tc>
        <w:tc>
          <w:tcPr>
            <w:tcW w:type="dxa" w:w="2412"/>
          </w:tcPr>
          <w:p>
            <w:r>
              <w:rPr>
                <w:b/>
                <w:sz w:val="19"/>
              </w:rPr>
            </w:r>
            <w:r>
              <w:rPr>
                <w:b/>
                <w:sz w:val="19"/>
              </w:rPr>
              <w:t>Basis</w:t>
            </w:r>
          </w:p>
        </w:tc>
      </w:tr>
      <w:tr>
        <w:tc>
          <w:tcPr>
            <w:tcW w:type="dxa" w:w="2412"/>
          </w:tcPr>
          <w:p>
            <w:r>
              <w:rPr>
                <w:sz w:val="19"/>
              </w:rPr>
            </w:r>
            <w:r>
              <w:rPr>
                <w:sz w:val="19"/>
              </w:rPr>
              <w:t>VaLORS Plan 1</w:t>
            </w:r>
          </w:p>
        </w:tc>
        <w:tc>
          <w:tcPr>
            <w:tcW w:type="dxa" w:w="2412"/>
          </w:tcPr>
          <w:p>
            <w:r>
              <w:rPr>
                <w:sz w:val="19"/>
              </w:rPr>
            </w:r>
            <w:r>
              <w:rPr>
                <w:sz w:val="19"/>
              </w:rPr>
              <w:t>1,384</w:t>
            </w:r>
          </w:p>
        </w:tc>
        <w:tc>
          <w:tcPr>
            <w:tcW w:type="dxa" w:w="2412"/>
          </w:tcPr>
          <w:p>
            <w:r>
              <w:rPr>
                <w:sz w:val="19"/>
              </w:rPr>
            </w:r>
            <w:r>
              <w:rPr>
                <w:sz w:val="19"/>
              </w:rPr>
              <w:t>$62,721</w:t>
            </w:r>
          </w:p>
        </w:tc>
        <w:tc>
          <w:tcPr>
            <w:tcW w:type="dxa" w:w="2412"/>
          </w:tcPr>
          <w:p>
            <w:r>
              <w:rPr>
                <w:sz w:val="19"/>
              </w:rPr>
            </w:r>
            <w:r>
              <w:rPr>
                <w:sz w:val="19"/>
              </w:rPr>
              <w:t>Hired before 1 July 2010 → total service ≥ 15.0 yr at 30 June 2025</w:t>
            </w:r>
          </w:p>
        </w:tc>
      </w:tr>
      <w:tr>
        <w:tc>
          <w:tcPr>
            <w:tcW w:type="dxa" w:w="2412"/>
          </w:tcPr>
          <w:p>
            <w:r>
              <w:rPr>
                <w:sz w:val="19"/>
              </w:rPr>
            </w:r>
            <w:r>
              <w:rPr>
                <w:sz w:val="19"/>
              </w:rPr>
              <w:t>VaLORS Plan 2</w:t>
            </w:r>
          </w:p>
        </w:tc>
        <w:tc>
          <w:tcPr>
            <w:tcW w:type="dxa" w:w="2412"/>
          </w:tcPr>
          <w:p>
            <w:r>
              <w:rPr>
                <w:sz w:val="19"/>
              </w:rPr>
            </w:r>
            <w:r>
              <w:rPr>
                <w:sz w:val="19"/>
              </w:rPr>
              <w:t>6,075</w:t>
            </w:r>
          </w:p>
        </w:tc>
        <w:tc>
          <w:tcPr>
            <w:tcW w:type="dxa" w:w="2412"/>
          </w:tcPr>
          <w:p>
            <w:r>
              <w:rPr>
                <w:sz w:val="19"/>
              </w:rPr>
            </w:r>
            <w:r>
              <w:rPr>
                <w:sz w:val="19"/>
              </w:rPr>
              <w:t>$56,938</w:t>
            </w:r>
          </w:p>
        </w:tc>
        <w:tc>
          <w:tcPr>
            <w:tcW w:type="dxa" w:w="2412"/>
          </w:tcPr>
          <w:p>
            <w:r>
              <w:rPr>
                <w:sz w:val="19"/>
              </w:rPr>
            </w:r>
            <w:r>
              <w:rPr>
                <w:sz w:val="19"/>
              </w:rPr>
              <w:t>Everyone else. No Hybrid tier exists for hazardous duty</w:t>
            </w:r>
          </w:p>
        </w:tc>
      </w:tr>
      <w:tr>
        <w:tc>
          <w:tcPr>
            <w:tcW w:type="dxa" w:w="2412"/>
          </w:tcPr>
          <w:p>
            <w:r>
              <w:rPr>
                <w:sz w:val="19"/>
              </w:rPr>
            </w:r>
            <w:r>
              <w:rPr>
                <w:sz w:val="19"/>
              </w:rPr>
              <w:t>Total — the whole plan is in scope</w:t>
            </w:r>
          </w:p>
        </w:tc>
        <w:tc>
          <w:tcPr>
            <w:tcW w:type="dxa" w:w="2412"/>
          </w:tcPr>
          <w:p>
            <w:r>
              <w:rPr>
                <w:sz w:val="19"/>
              </w:rPr>
            </w:r>
            <w:r>
              <w:rPr>
                <w:b/>
                <w:sz w:val="19"/>
              </w:rPr>
              <w:t>7,459</w:t>
            </w:r>
          </w:p>
        </w:tc>
        <w:tc>
          <w:tcPr>
            <w:tcW w:type="dxa" w:w="2412"/>
          </w:tcPr>
          <w:p>
            <w:r>
              <w:rPr>
                <w:sz w:val="19"/>
              </w:rPr>
            </w:r>
            <w:r>
              <w:rPr>
                <w:sz w:val="19"/>
              </w:rPr>
              <w:t>$58,011</w:t>
            </w:r>
          </w:p>
        </w:tc>
        <w:tc>
          <w:tcPr>
            <w:tcW w:type="dxa" w:w="2412"/>
          </w:tcPr>
          <w:p>
            <w:r>
              <w:rPr>
                <w:sz w:val="19"/>
              </w:rPr>
            </w:r>
            <w:r>
              <w:rPr>
                <w:sz w:val="19"/>
              </w:rPr>
              <w:t>VRS valuation, p. 49</w:t>
            </w:r>
          </w:p>
        </w:tc>
      </w:tr>
    </w:tbl>
    <w:p/>
    <w:p>
      <w:pPr>
        <w:pStyle w:val="Heading2"/>
      </w:pPr>
      <w:r>
        <w:t>1.2 The eligibility rules are different, and they are what makes the amendment small</w:t>
      </w:r>
    </w:p>
    <w:p>
      <w:r>
        <w:t xml:space="preserve">VaLORS Plan 1 and Plan 2 share one rule set: an unreduced allowance at </w:t>
      </w:r>
      <w:r>
        <w:rPr>
          <w:b/>
        </w:rPr>
        <w:t>age 60 with at least five years of service credit, or at age 50 with at least 25 years of service credit</w:t>
      </w:r>
      <w:r>
        <w:t>. That is materially more generous than the State Employees rules, and it cuts in an unexpected direction for this bill.</w:t>
      </w:r>
    </w:p>
    <w:p>
      <w:pPr>
        <w:pStyle w:val="ListBullet"/>
      </w:pPr>
      <w:r>
        <w:rPr>
          <w:b/>
        </w:rPr>
        <w:t>The age-60 route cannot be purchased into.</w:t>
      </w:r>
      <w:r>
        <w:t xml:space="preserve"> Once a member has five years, buying service does nothing for eligibility; before five years, the hazardous-duty rule requires five years of VaLORS, SPORS or enhanced hazardous-duty service, which purchased military service does not supply. Section 1.3 treats this as the governing reading.</w:t>
      </w:r>
    </w:p>
    <w:p>
      <w:pPr>
        <w:pStyle w:val="ListBullet"/>
      </w:pPr>
      <w:r>
        <w:rPr>
          <w:b/>
        </w:rPr>
        <w:t>The age-50-with-25-years route can be purchased into</w:t>
      </w:r>
      <w:r>
        <w:t>, and it is the only Bridge route in VaLORS. It reaches members already aged 50 or over who hold 21 to just under 25 years of service.</w:t>
      </w:r>
    </w:p>
    <w:p>
      <w:pPr>
        <w:pStyle w:val="ListBullet"/>
      </w:pPr>
      <w:r>
        <w:rPr>
          <w:b/>
        </w:rPr>
        <w:t>Almost nobody is in that box.</w:t>
      </w:r>
      <w:r>
        <w:t xml:space="preserve"> A workforce averaging 8.3 years of service has very few members with 21 to 25 years and age 50 or more. The published table gives 150.</w:t>
      </w:r>
    </w:p>
    <w:p>
      <w:r>
        <w:rPr>
          <w:b/>
          <w:sz w:val="20"/>
        </w:rPr>
        <w:t>Table 2 — the two pathway pools, derived cell by cell from the published VaLORS age × total-service table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Pool</w:t>
            </w:r>
          </w:p>
        </w:tc>
        <w:tc>
          <w:tcPr>
            <w:tcW w:type="dxa" w:w="2412"/>
          </w:tcPr>
          <w:p>
            <w:r>
              <w:rPr>
                <w:b/>
                <w:sz w:val="19"/>
              </w:rPr>
            </w:r>
            <w:r>
              <w:rPr>
                <w:b/>
                <w:sz w:val="19"/>
              </w:rPr>
              <w:t>Count</w:t>
            </w:r>
          </w:p>
        </w:tc>
        <w:tc>
          <w:tcPr>
            <w:tcW w:type="dxa" w:w="2412"/>
          </w:tcPr>
          <w:p>
            <w:r>
              <w:rPr>
                <w:b/>
                <w:sz w:val="19"/>
              </w:rPr>
            </w:r>
            <w:r>
              <w:rPr>
                <w:b/>
                <w:sz w:val="19"/>
              </w:rPr>
              <w:t>Average salary</w:t>
            </w:r>
          </w:p>
        </w:tc>
        <w:tc>
          <w:tcPr>
            <w:tcW w:type="dxa" w:w="2412"/>
          </w:tcPr>
          <w:p>
            <w:r>
              <w:rPr>
                <w:b/>
                <w:sz w:val="19"/>
              </w:rPr>
            </w:r>
            <w:r>
              <w:rPr>
                <w:b/>
                <w:sz w:val="19"/>
              </w:rPr>
              <w:t>Composition</w:t>
            </w:r>
          </w:p>
        </w:tc>
      </w:tr>
      <w:tr>
        <w:tc>
          <w:tcPr>
            <w:tcW w:type="dxa" w:w="2412"/>
          </w:tcPr>
          <w:p>
            <w:r>
              <w:rPr>
                <w:sz w:val="19"/>
              </w:rPr>
            </w:r>
            <w:r>
              <w:rPr>
                <w:sz w:val="19"/>
              </w:rPr>
              <w:t>Retirement Incentive — already eligible for an unreduced allowance</w:t>
            </w:r>
          </w:p>
        </w:tc>
        <w:tc>
          <w:tcPr>
            <w:tcW w:type="dxa" w:w="2412"/>
          </w:tcPr>
          <w:p>
            <w:r>
              <w:rPr>
                <w:sz w:val="19"/>
              </w:rPr>
            </w:r>
            <w:r>
              <w:rPr>
                <w:sz w:val="19"/>
              </w:rPr>
              <w:t>433</w:t>
            </w:r>
          </w:p>
        </w:tc>
        <w:tc>
          <w:tcPr>
            <w:tcW w:type="dxa" w:w="2412"/>
          </w:tcPr>
          <w:p>
            <w:r>
              <w:rPr>
                <w:sz w:val="19"/>
              </w:rPr>
            </w:r>
            <w:r>
              <w:rPr>
                <w:sz w:val="19"/>
              </w:rPr>
              <w:t>$63,701</w:t>
            </w:r>
          </w:p>
        </w:tc>
        <w:tc>
          <w:tcPr>
            <w:tcW w:type="dxa" w:w="2412"/>
          </w:tcPr>
          <w:p>
            <w:r>
              <w:rPr>
                <w:sz w:val="19"/>
              </w:rPr>
            </w:r>
            <w:r>
              <w:rPr>
                <w:sz w:val="19"/>
              </w:rPr>
              <w:t>Plan 1 319 (73.7%) · Plan 2 114</w:t>
            </w:r>
          </w:p>
        </w:tc>
      </w:tr>
      <w:tr>
        <w:tc>
          <w:tcPr>
            <w:tcW w:type="dxa" w:w="2412"/>
          </w:tcPr>
          <w:p>
            <w:r>
              <w:rPr>
                <w:sz w:val="19"/>
              </w:rPr>
            </w:r>
            <w:r>
              <w:rPr>
                <w:sz w:val="19"/>
              </w:rPr>
              <w:t>Retirement Bridge — reaches the threshold with ≤ 48 months purchased</w:t>
            </w:r>
          </w:p>
        </w:tc>
        <w:tc>
          <w:tcPr>
            <w:tcW w:type="dxa" w:w="2412"/>
          </w:tcPr>
          <w:p>
            <w:r>
              <w:rPr>
                <w:sz w:val="19"/>
              </w:rPr>
            </w:r>
            <w:r>
              <w:rPr>
                <w:sz w:val="19"/>
              </w:rPr>
              <w:t>150</w:t>
            </w:r>
          </w:p>
        </w:tc>
        <w:tc>
          <w:tcPr>
            <w:tcW w:type="dxa" w:w="2412"/>
          </w:tcPr>
          <w:p>
            <w:r>
              <w:rPr>
                <w:sz w:val="19"/>
              </w:rPr>
            </w:r>
            <w:r>
              <w:rPr>
                <w:sz w:val="19"/>
              </w:rPr>
              <w:t>$63,996</w:t>
            </w:r>
          </w:p>
        </w:tc>
        <w:tc>
          <w:tcPr>
            <w:tcW w:type="dxa" w:w="2412"/>
          </w:tcPr>
          <w:p>
            <w:r>
              <w:rPr>
                <w:sz w:val="19"/>
              </w:rPr>
            </w:r>
            <w:r>
              <w:rPr>
                <w:sz w:val="19"/>
              </w:rPr>
              <w:t>Plan 1 150 · Plan 2 0</w:t>
            </w:r>
          </w:p>
        </w:tc>
      </w:tr>
      <w:tr>
        <w:tc>
          <w:tcPr>
            <w:tcW w:type="dxa" w:w="2412"/>
          </w:tcPr>
          <w:p>
            <w:r>
              <w:rPr>
                <w:sz w:val="19"/>
              </w:rPr>
            </w:r>
            <w:r>
              <w:rPr>
                <w:sz w:val="19"/>
              </w:rPr>
              <w:t>Combined pathway-eligible</w:t>
            </w:r>
          </w:p>
        </w:tc>
        <w:tc>
          <w:tcPr>
            <w:tcW w:type="dxa" w:w="2412"/>
          </w:tcPr>
          <w:p>
            <w:r>
              <w:rPr>
                <w:sz w:val="19"/>
              </w:rPr>
            </w:r>
            <w:r>
              <w:rPr>
                <w:b/>
                <w:sz w:val="19"/>
              </w:rPr>
              <w:t>583</w:t>
            </w:r>
          </w:p>
        </w:tc>
        <w:tc>
          <w:tcPr>
            <w:tcW w:type="dxa" w:w="2412"/>
          </w:tcPr>
          <w:p>
            <w:r>
              <w:rPr>
                <w:sz w:val="19"/>
              </w:rPr>
            </w:r>
            <w:r>
              <w:rPr>
                <w:sz w:val="19"/>
              </w:rPr>
              <w:t>$63,776</w:t>
            </w:r>
          </w:p>
        </w:tc>
        <w:tc>
          <w:tcPr>
            <w:tcW w:type="dxa" w:w="2412"/>
          </w:tcPr>
          <w:p>
            <w:r>
              <w:rPr>
                <w:sz w:val="19"/>
              </w:rPr>
            </w:r>
            <w:r>
              <w:rPr>
                <w:b/>
                <w:sz w:val="19"/>
              </w:rPr>
              <w:t>7.8% of 7,459</w:t>
            </w:r>
            <w:r>
              <w:rPr>
                <w:sz w:val="19"/>
              </w:rPr>
              <w:t xml:space="preserve"> — against 29.8% for State Employees</w:t>
            </w:r>
          </w:p>
        </w:tc>
      </w:tr>
    </w:tbl>
    <w:p/>
    <w:p>
      <w:pPr>
        <w:ind w:left="360"/>
      </w:pPr>
      <w:r>
        <w:rPr>
          <w:sz w:val="20"/>
        </w:rPr>
        <w:t xml:space="preserve">Bridge members need an average of </w:t>
      </w:r>
      <w:r>
        <w:rPr>
          <w:b/>
          <w:sz w:val="20"/>
        </w:rPr>
        <w:t>24.0 months</w:t>
      </w:r>
      <w:r>
        <w:rPr>
          <w:sz w:val="20"/>
        </w:rPr>
        <w:t>, the same figure the State Employees model produces and for the same reason: the whole Bridge pool sits inside one published service band, so a uniform assumption inside that band yields a uniform months-needed distribution by construction. The average is robust. The shape is an artefact and we do not defend it.</w:t>
      </w:r>
    </w:p>
    <w:p>
      <w:pPr>
        <w:pStyle w:val="Heading2"/>
      </w:pPr>
      <w:r>
        <w:t>1.3 The VaLORS Bridge is Plan 1 only, and the strict screen governs</w:t>
      </w:r>
    </w:p>
    <w:p>
      <w:r>
        <w:rPr>
          <w:b/>
        </w:rPr>
        <w:t>Expected VaLORS Plan 2 Bridge participation is zero for the whole pilot</w:t>
      </w:r>
      <w:r>
        <w:t>, by exactly the argument the board adopted for the State Employees plan on 12 October 2026. A VaLORS Plan 2 member holds at most 15 years of service at 30 June 2025 and at most about 20 by 2031, so the 25-year route is out of reach even with 48 months purchased. Plan 2 should stay legally eligible in the drafting and be scored at zero in the note.</w:t>
      </w:r>
    </w:p>
    <w:p>
      <w:r>
        <w:t xml:space="preserve">There is a second, wider reading of the Bridge that we are </w:t>
      </w:r>
      <w:r>
        <w:rPr>
          <w:b/>
        </w:rPr>
        <w:t>not</w:t>
      </w:r>
      <w:r>
        <w:t xml:space="preserve"> adopting. Members aged 60 or over with one to just under five years of service could in principle buy their way to the five-year threshold and retire unreduced at once. That reading adds 75 members and would take the Bridge pool to 225.</w:t>
      </w:r>
    </w:p>
    <w:p>
      <w:r>
        <w:rPr>
          <w:b/>
          <w:sz w:val="20"/>
        </w:rPr>
        <w:t>Table 3 — the two VaLORS Bridge screens</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Screen</w:t>
            </w:r>
          </w:p>
        </w:tc>
        <w:tc>
          <w:tcPr>
            <w:tcW w:type="dxa" w:w="1930"/>
          </w:tcPr>
          <w:p>
            <w:r>
              <w:rPr>
                <w:b/>
                <w:sz w:val="19"/>
              </w:rPr>
            </w:r>
            <w:r>
              <w:rPr>
                <w:b/>
                <w:sz w:val="19"/>
              </w:rPr>
              <w:t>Plan 1</w:t>
            </w:r>
          </w:p>
        </w:tc>
        <w:tc>
          <w:tcPr>
            <w:tcW w:type="dxa" w:w="1930"/>
          </w:tcPr>
          <w:p>
            <w:r>
              <w:rPr>
                <w:b/>
                <w:sz w:val="19"/>
              </w:rPr>
            </w:r>
            <w:r>
              <w:rPr>
                <w:b/>
                <w:sz w:val="19"/>
              </w:rPr>
              <w:t>Plan 2</w:t>
            </w:r>
          </w:p>
        </w:tc>
        <w:tc>
          <w:tcPr>
            <w:tcW w:type="dxa" w:w="1930"/>
          </w:tcPr>
          <w:p>
            <w:r>
              <w:rPr>
                <w:b/>
                <w:sz w:val="19"/>
              </w:rPr>
            </w:r>
            <w:r>
              <w:rPr>
                <w:b/>
                <w:sz w:val="19"/>
              </w:rPr>
              <w:t>Total</w:t>
            </w:r>
          </w:p>
        </w:tc>
        <w:tc>
          <w:tcPr>
            <w:tcW w:type="dxa" w:w="1930"/>
          </w:tcPr>
          <w:p>
            <w:r>
              <w:rPr>
                <w:b/>
                <w:sz w:val="19"/>
              </w:rPr>
            </w:r>
            <w:r>
              <w:rPr>
                <w:b/>
                <w:sz w:val="19"/>
              </w:rPr>
              <w:t>Status</w:t>
            </w:r>
          </w:p>
        </w:tc>
      </w:tr>
      <w:tr>
        <w:tc>
          <w:tcPr>
            <w:tcW w:type="dxa" w:w="1930"/>
          </w:tcPr>
          <w:p>
            <w:r>
              <w:rPr>
                <w:sz w:val="19"/>
              </w:rPr>
            </w:r>
            <w:r>
              <w:rPr>
                <w:sz w:val="19"/>
              </w:rPr>
              <w:t>Strict — service-route only (age 50 + 25 years)</w:t>
            </w:r>
          </w:p>
        </w:tc>
        <w:tc>
          <w:tcPr>
            <w:tcW w:type="dxa" w:w="1930"/>
          </w:tcPr>
          <w:p>
            <w:r>
              <w:rPr>
                <w:sz w:val="19"/>
              </w:rPr>
            </w:r>
            <w:r>
              <w:rPr>
                <w:sz w:val="19"/>
              </w:rPr>
              <w:t>150</w:t>
            </w:r>
          </w:p>
        </w:tc>
        <w:tc>
          <w:tcPr>
            <w:tcW w:type="dxa" w:w="1930"/>
          </w:tcPr>
          <w:p>
            <w:r>
              <w:rPr>
                <w:sz w:val="19"/>
              </w:rPr>
            </w:r>
            <w:r>
              <w:rPr>
                <w:sz w:val="19"/>
              </w:rPr>
              <w:t>0</w:t>
            </w:r>
          </w:p>
        </w:tc>
        <w:tc>
          <w:tcPr>
            <w:tcW w:type="dxa" w:w="1930"/>
          </w:tcPr>
          <w:p>
            <w:r>
              <w:rPr>
                <w:sz w:val="19"/>
              </w:rPr>
            </w:r>
            <w:r>
              <w:rPr>
                <w:b/>
                <w:sz w:val="19"/>
              </w:rPr>
              <w:t>150</w:t>
            </w:r>
          </w:p>
        </w:tc>
        <w:tc>
          <w:tcPr>
            <w:tcW w:type="dxa" w:w="1930"/>
          </w:tcPr>
          <w:p>
            <w:r>
              <w:rPr>
                <w:sz w:val="19"/>
              </w:rPr>
            </w:r>
            <w:r>
              <w:rPr>
                <w:b/>
                <w:sz w:val="19"/>
              </w:rPr>
              <w:t>Governs this annex</w:t>
            </w:r>
          </w:p>
        </w:tc>
      </w:tr>
      <w:tr>
        <w:tc>
          <w:tcPr>
            <w:tcW w:type="dxa" w:w="1930"/>
          </w:tcPr>
          <w:p>
            <w:r>
              <w:rPr>
                <w:sz w:val="19"/>
              </w:rPr>
            </w:r>
            <w:r>
              <w:rPr>
                <w:sz w:val="19"/>
              </w:rPr>
              <w:t>Wider — also allows buying to the five-year vesting threshold at age 60+</w:t>
            </w:r>
          </w:p>
        </w:tc>
        <w:tc>
          <w:tcPr>
            <w:tcW w:type="dxa" w:w="1930"/>
          </w:tcPr>
          <w:p>
            <w:r>
              <w:rPr>
                <w:sz w:val="19"/>
              </w:rPr>
            </w:r>
            <w:r>
              <w:rPr>
                <w:sz w:val="19"/>
              </w:rPr>
              <w:t>150</w:t>
            </w:r>
          </w:p>
        </w:tc>
        <w:tc>
          <w:tcPr>
            <w:tcW w:type="dxa" w:w="1930"/>
          </w:tcPr>
          <w:p>
            <w:r>
              <w:rPr>
                <w:sz w:val="19"/>
              </w:rPr>
            </w:r>
            <w:r>
              <w:rPr>
                <w:sz w:val="19"/>
              </w:rPr>
              <w:t>75</w:t>
            </w:r>
          </w:p>
        </w:tc>
        <w:tc>
          <w:tcPr>
            <w:tcW w:type="dxa" w:w="1930"/>
          </w:tcPr>
          <w:p>
            <w:r>
              <w:rPr>
                <w:sz w:val="19"/>
              </w:rPr>
            </w:r>
            <w:r>
              <w:rPr>
                <w:sz w:val="19"/>
              </w:rPr>
              <w:t>225</w:t>
            </w:r>
          </w:p>
        </w:tc>
        <w:tc>
          <w:tcPr>
            <w:tcW w:type="dxa" w:w="1930"/>
          </w:tcPr>
          <w:p>
            <w:r>
              <w:rPr>
                <w:sz w:val="19"/>
              </w:rPr>
            </w:r>
            <w:r>
              <w:rPr>
                <w:sz w:val="19"/>
              </w:rPr>
              <w:t>Not adopted. Open question for VRS</w:t>
            </w:r>
          </w:p>
        </w:tc>
      </w:tr>
    </w:tbl>
    <w:p/>
    <w:p>
      <w:r>
        <w:t xml:space="preserve">We take the strict screen for a stated reason: VRS requires five years of service </w:t>
      </w:r>
      <w:r>
        <w:rPr>
          <w:b/>
        </w:rPr>
        <w:t>as a VaLORS, SPORS or enhanced hazardous-duty member</w:t>
      </w:r>
      <w:r>
        <w:t xml:space="preserve"> to retire with hazardous-duty benefits, and purchased military service does not count toward that requirement. A member who bought their way to five years of total creditable service would still not have five years of hazardous-duty service, and so would not reach the age-60 hazardous-duty rule. We are confident of the rule and not certain of its interaction with a purchase, so we take the smaller pool and put the question to VRS. </w:t>
      </w:r>
      <w:r>
        <w:rPr>
          <w:b/>
        </w:rPr>
        <w:t>If VRS says the wider reading is right, the Bridge pool rises by 50% and total VaLORS participants rise by about 13%.</w:t>
      </w:r>
      <w:r>
        <w:t xml:space="preserve"> That is the sensitivity, and it does not change the order of magnitude.</w:t>
      </w:r>
    </w:p>
    <w:p>
      <w:r>
        <w:t>This is the same discipline the board applied to the State Employees Bridge screen: take the smaller defensible pool, state the larger one, and name the question that resolves it.</w:t>
      </w:r>
    </w:p>
    <w:p>
      <w:pPr>
        <w:pStyle w:val="Heading2"/>
      </w:pPr>
      <w:r>
        <w:t>1.4 One piece of good news that belongs in the fiscal note</w:t>
      </w:r>
    </w:p>
    <w:p>
      <w:r>
        <w:rPr>
          <w:b/>
        </w:rPr>
        <w:t>Purchased military service does not create hazardous-duty supplement eligibility.</w:t>
      </w:r>
      <w:r>
        <w:t xml:space="preserve"> VRS is explicit: other types of prior service, including active-duty military service, do not count toward the 20 years of hazardous-duty service the supplement requires. So a VaLORS amendment cannot manufacture a supplement obligation, and the supplement — a dollar amount paid monthly from retirement to age 65, available only to pre-1 July 2001 members on the 1.7% multiplier — is outside this amendment's cost entirely. Say that before VRS has to ask.</w:t>
      </w:r>
    </w:p>
    <w:p>
      <w:pPr>
        <w:jc w:val="left"/>
      </w:pPr>
      <w:r>
        <w:rPr>
          <w:color w:val="BBBBBB"/>
        </w:rPr>
        <w:t>______________________________________________________________________________________</w:t>
      </w:r>
    </w:p>
    <w:p>
      <w:pPr>
        <w:pStyle w:val="Heading1"/>
      </w:pPr>
      <w:r>
        <w:t>2. Price — the 1.9× headline is wrong, and the real multiple is about 1.4×</w:t>
      </w:r>
    </w:p>
    <w:p>
      <w:r>
        <w:t xml:space="preserve">The approximate-normal-cost rate for hazardous-duty positions is 23.78% of salary for Plan 1 and 19.15% for Plan 2, against 12.50% and 10.74% for non-hazardous state positions, all effective 1 July 2025. That is where the “roughly 1.9× the price per year purchased” line in V2-fiscal-model comes from, and as a statement about </w:t>
      </w:r>
      <w:r>
        <w:rPr>
          <w:b/>
        </w:rPr>
        <w:t>rates</w:t>
      </w:r>
      <w:r>
        <w:t xml:space="preserve"> it is right.</w:t>
      </w:r>
    </w:p>
    <w:p>
      <w:r>
        <w:t xml:space="preserve">As a statement about </w:t>
      </w:r>
      <w:r>
        <w:rPr>
          <w:b/>
        </w:rPr>
        <w:t>cost per participant</w:t>
      </w:r>
      <w:r>
        <w:t xml:space="preserve"> it is wrong, because VaLORS salaries are lower. Average VaLORS compensation is $58,011 against $77,215 for State Employees — 25% lower — and the member payment is charged on salary. The two effects partly cancel.</w:t>
      </w:r>
    </w:p>
    <w:p>
      <w:r>
        <w:rPr>
          <w:b/>
          <w:sz w:val="20"/>
        </w:rPr>
        <w:t>Table 4 — member payment per participant, VaLORS against the plan we scoped</w:t>
      </w:r>
    </w:p>
    <w:tbl>
      <w:tblPr>
        <w:tblStyle w:val="LightGrid-Accent1"/>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9"/>
              </w:rPr>
            </w:r>
            <w:r>
              <w:rPr>
                <w:b/>
                <w:sz w:val="19"/>
              </w:rPr>
              <w:t>Pathway</w:t>
            </w:r>
          </w:p>
        </w:tc>
        <w:tc>
          <w:tcPr>
            <w:tcW w:type="dxa" w:w="1378"/>
          </w:tcPr>
          <w:p>
            <w:r>
              <w:rPr>
                <w:b/>
                <w:sz w:val="19"/>
              </w:rPr>
            </w:r>
            <w:r>
              <w:rPr>
                <w:b/>
                <w:sz w:val="19"/>
              </w:rPr>
              <w:t>Years purchased at ANC</w:t>
            </w:r>
          </w:p>
        </w:tc>
        <w:tc>
          <w:tcPr>
            <w:tcW w:type="dxa" w:w="1378"/>
          </w:tcPr>
          <w:p>
            <w:r>
              <w:rPr>
                <w:b/>
                <w:sz w:val="19"/>
              </w:rPr>
            </w:r>
            <w:r>
              <w:rPr>
                <w:b/>
                <w:sz w:val="19"/>
              </w:rPr>
              <w:t>Rate</w:t>
            </w:r>
          </w:p>
        </w:tc>
        <w:tc>
          <w:tcPr>
            <w:tcW w:type="dxa" w:w="1378"/>
          </w:tcPr>
          <w:p>
            <w:r>
              <w:rPr>
                <w:b/>
                <w:sz w:val="19"/>
              </w:rPr>
            </w:r>
            <w:r>
              <w:rPr>
                <w:b/>
                <w:sz w:val="19"/>
              </w:rPr>
              <w:t>Average salary</w:t>
            </w:r>
          </w:p>
        </w:tc>
        <w:tc>
          <w:tcPr>
            <w:tcW w:type="dxa" w:w="1378"/>
          </w:tcPr>
          <w:p>
            <w:r>
              <w:rPr>
                <w:b/>
                <w:sz w:val="19"/>
              </w:rPr>
            </w:r>
            <w:r>
              <w:rPr>
                <w:b/>
                <w:sz w:val="19"/>
              </w:rPr>
              <w:t>Member pays</w:t>
            </w:r>
          </w:p>
        </w:tc>
        <w:tc>
          <w:tcPr>
            <w:tcW w:type="dxa" w:w="1378"/>
          </w:tcPr>
          <w:p>
            <w:r>
              <w:rPr>
                <w:b/>
                <w:sz w:val="19"/>
              </w:rPr>
            </w:r>
            <w:r>
              <w:rPr>
                <w:b/>
                <w:sz w:val="19"/>
              </w:rPr>
              <w:t>State Employees</w:t>
            </w:r>
          </w:p>
        </w:tc>
        <w:tc>
          <w:tcPr>
            <w:tcW w:type="dxa" w:w="1378"/>
          </w:tcPr>
          <w:p>
            <w:r>
              <w:rPr>
                <w:b/>
                <w:sz w:val="19"/>
              </w:rPr>
            </w:r>
            <w:r>
              <w:rPr>
                <w:b/>
                <w:sz w:val="19"/>
              </w:rPr>
              <w:t>Multiple</w:t>
            </w:r>
          </w:p>
        </w:tc>
      </w:tr>
      <w:tr>
        <w:tc>
          <w:tcPr>
            <w:tcW w:type="dxa" w:w="1378"/>
          </w:tcPr>
          <w:p>
            <w:r>
              <w:rPr>
                <w:sz w:val="19"/>
              </w:rPr>
            </w:r>
            <w:r>
              <w:rPr>
                <w:sz w:val="19"/>
              </w:rPr>
              <w:t>Retirement Incentive (12-month cap, G3/G18)</w:t>
            </w:r>
          </w:p>
        </w:tc>
        <w:tc>
          <w:tcPr>
            <w:tcW w:type="dxa" w:w="1378"/>
          </w:tcPr>
          <w:p>
            <w:r>
              <w:rPr>
                <w:sz w:val="19"/>
              </w:rPr>
            </w:r>
            <w:r>
              <w:rPr>
                <w:sz w:val="19"/>
              </w:rPr>
              <w:t>1.00</w:t>
            </w:r>
          </w:p>
        </w:tc>
        <w:tc>
          <w:tcPr>
            <w:tcW w:type="dxa" w:w="1378"/>
          </w:tcPr>
          <w:p>
            <w:r>
              <w:rPr>
                <w:sz w:val="19"/>
              </w:rPr>
            </w:r>
            <w:r>
              <w:rPr>
                <w:sz w:val="19"/>
              </w:rPr>
              <w:t>22.56% blended</w:t>
            </w:r>
          </w:p>
        </w:tc>
        <w:tc>
          <w:tcPr>
            <w:tcW w:type="dxa" w:w="1378"/>
          </w:tcPr>
          <w:p>
            <w:r>
              <w:rPr>
                <w:sz w:val="19"/>
              </w:rPr>
            </w:r>
            <w:r>
              <w:rPr>
                <w:sz w:val="19"/>
              </w:rPr>
              <w:t>$63,701</w:t>
            </w:r>
          </w:p>
        </w:tc>
        <w:tc>
          <w:tcPr>
            <w:tcW w:type="dxa" w:w="1378"/>
          </w:tcPr>
          <w:p>
            <w:r>
              <w:rPr>
                <w:sz w:val="19"/>
              </w:rPr>
            </w:r>
            <w:r>
              <w:rPr>
                <w:b/>
                <w:sz w:val="19"/>
              </w:rPr>
              <w:t>$14,372</w:t>
            </w:r>
          </w:p>
        </w:tc>
        <w:tc>
          <w:tcPr>
            <w:tcW w:type="dxa" w:w="1378"/>
          </w:tcPr>
          <w:p>
            <w:r>
              <w:rPr>
                <w:sz w:val="19"/>
              </w:rPr>
            </w:r>
            <w:r>
              <w:rPr>
                <w:sz w:val="19"/>
              </w:rPr>
              <w:t>$10,514</w:t>
            </w:r>
          </w:p>
        </w:tc>
        <w:tc>
          <w:tcPr>
            <w:tcW w:type="dxa" w:w="1378"/>
          </w:tcPr>
          <w:p>
            <w:r>
              <w:rPr>
                <w:sz w:val="19"/>
              </w:rPr>
            </w:r>
            <w:r>
              <w:rPr>
                <w:sz w:val="19"/>
              </w:rPr>
              <w:t>1.37×</w:t>
            </w:r>
          </w:p>
        </w:tc>
      </w:tr>
      <w:tr>
        <w:tc>
          <w:tcPr>
            <w:tcW w:type="dxa" w:w="1378"/>
          </w:tcPr>
          <w:p>
            <w:r>
              <w:rPr>
                <w:sz w:val="19"/>
              </w:rPr>
            </w:r>
            <w:r>
              <w:rPr>
                <w:sz w:val="19"/>
              </w:rPr>
              <w:t>Retirement Bridge (months needed only, G2/G18)</w:t>
            </w:r>
          </w:p>
        </w:tc>
        <w:tc>
          <w:tcPr>
            <w:tcW w:type="dxa" w:w="1378"/>
          </w:tcPr>
          <w:p>
            <w:r>
              <w:rPr>
                <w:sz w:val="19"/>
              </w:rPr>
            </w:r>
            <w:r>
              <w:rPr>
                <w:sz w:val="19"/>
              </w:rPr>
              <w:t>2.00</w:t>
            </w:r>
          </w:p>
        </w:tc>
        <w:tc>
          <w:tcPr>
            <w:tcW w:type="dxa" w:w="1378"/>
          </w:tcPr>
          <w:p>
            <w:r>
              <w:rPr>
                <w:sz w:val="19"/>
              </w:rPr>
            </w:r>
            <w:r>
              <w:rPr>
                <w:sz w:val="19"/>
              </w:rPr>
              <w:t>23.78%</w:t>
            </w:r>
          </w:p>
        </w:tc>
        <w:tc>
          <w:tcPr>
            <w:tcW w:type="dxa" w:w="1378"/>
          </w:tcPr>
          <w:p>
            <w:r>
              <w:rPr>
                <w:sz w:val="19"/>
              </w:rPr>
            </w:r>
            <w:r>
              <w:rPr>
                <w:sz w:val="19"/>
              </w:rPr>
              <w:t>$63,996</w:t>
            </w:r>
          </w:p>
        </w:tc>
        <w:tc>
          <w:tcPr>
            <w:tcW w:type="dxa" w:w="1378"/>
          </w:tcPr>
          <w:p>
            <w:r>
              <w:rPr>
                <w:sz w:val="19"/>
              </w:rPr>
            </w:r>
            <w:r>
              <w:rPr>
                <w:b/>
                <w:sz w:val="19"/>
              </w:rPr>
              <w:t>$30,436</w:t>
            </w:r>
          </w:p>
        </w:tc>
        <w:tc>
          <w:tcPr>
            <w:tcW w:type="dxa" w:w="1378"/>
          </w:tcPr>
          <w:p>
            <w:r>
              <w:rPr>
                <w:sz w:val="19"/>
              </w:rPr>
            </w:r>
            <w:r>
              <w:rPr>
                <w:sz w:val="19"/>
              </w:rPr>
              <w:t>$20,806</w:t>
            </w:r>
          </w:p>
        </w:tc>
        <w:tc>
          <w:tcPr>
            <w:tcW w:type="dxa" w:w="1378"/>
          </w:tcPr>
          <w:p>
            <w:r>
              <w:rPr>
                <w:sz w:val="19"/>
              </w:rPr>
            </w:r>
            <w:r>
              <w:rPr>
                <w:sz w:val="19"/>
              </w:rPr>
              <w:t>1.46×</w:t>
            </w:r>
          </w:p>
        </w:tc>
      </w:tr>
    </w:tbl>
    <w:p/>
    <w:p>
      <w:r>
        <w:rPr>
          <w:b/>
        </w:rPr>
        <w:t>Correct the 1.9× line wherever it appears as a cost statement.</w:t>
      </w:r>
      <w:r>
        <w:t xml:space="preserve"> Per year of service purchased the hazardous-duty rate is 1.90× the Plan 1 non-hazardous rate. Per participant the cost runs about 1.37× on the Incentive and 1.46× on the Bridge. Anyone who argues “nearly twice as expensive per veteran” is overstating it by about a third, and that is an argument we will be on the wrong side of if we make it ourselves first.</w:t>
      </w:r>
    </w:p>
    <w:p>
      <w:r>
        <w:rPr>
          <w:b/>
          <w:sz w:val="20"/>
        </w:rPr>
        <w:t>Table 5 — trust-fund subsidy at four values of k, mid case (2.8 VaLORS participants)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k</w:t>
            </w:r>
          </w:p>
        </w:tc>
        <w:tc>
          <w:tcPr>
            <w:tcW w:type="dxa" w:w="2412"/>
          </w:tcPr>
          <w:p>
            <w:r>
              <w:rPr>
                <w:b/>
                <w:sz w:val="19"/>
              </w:rPr>
            </w:r>
            <w:r>
              <w:rPr>
                <w:b/>
                <w:sz w:val="19"/>
              </w:rPr>
              <w:t>Actuarial-equivalent value of service granted</w:t>
            </w:r>
          </w:p>
        </w:tc>
        <w:tc>
          <w:tcPr>
            <w:tcW w:type="dxa" w:w="2412"/>
          </w:tcPr>
          <w:p>
            <w:r>
              <w:rPr>
                <w:b/>
                <w:sz w:val="19"/>
              </w:rPr>
            </w:r>
            <w:r>
              <w:rPr>
                <w:b/>
                <w:sz w:val="19"/>
              </w:rPr>
              <w:t>Member pays</w:t>
            </w:r>
          </w:p>
        </w:tc>
        <w:tc>
          <w:tcPr>
            <w:tcW w:type="dxa" w:w="2412"/>
          </w:tcPr>
          <w:p>
            <w:r>
              <w:rPr>
                <w:b/>
                <w:sz w:val="19"/>
              </w:rPr>
            </w:r>
            <w:r>
              <w:rPr>
                <w:b/>
                <w:sz w:val="19"/>
              </w:rPr>
              <w:t>Trust-fund subsidy</w:t>
            </w:r>
          </w:p>
        </w:tc>
      </w:tr>
      <w:tr>
        <w:tc>
          <w:tcPr>
            <w:tcW w:type="dxa" w:w="2412"/>
          </w:tcPr>
          <w:p>
            <w:r>
              <w:rPr>
                <w:sz w:val="19"/>
              </w:rPr>
            </w:r>
            <w:r>
              <w:rPr>
                <w:sz w:val="19"/>
              </w:rPr>
              <w:t>1.5</w:t>
            </w:r>
          </w:p>
        </w:tc>
        <w:tc>
          <w:tcPr>
            <w:tcW w:type="dxa" w:w="2412"/>
          </w:tcPr>
          <w:p>
            <w:r>
              <w:rPr>
                <w:sz w:val="19"/>
              </w:rPr>
            </w:r>
            <w:r>
              <w:rPr>
                <w:sz w:val="19"/>
              </w:rPr>
              <w:t>$77,588</w:t>
            </w:r>
          </w:p>
        </w:tc>
        <w:tc>
          <w:tcPr>
            <w:tcW w:type="dxa" w:w="2412"/>
          </w:tcPr>
          <w:p>
            <w:r>
              <w:rPr>
                <w:sz w:val="19"/>
              </w:rPr>
            </w:r>
            <w:r>
              <w:rPr>
                <w:sz w:val="19"/>
              </w:rPr>
              <w:t>$51,726</w:t>
            </w:r>
          </w:p>
        </w:tc>
        <w:tc>
          <w:tcPr>
            <w:tcW w:type="dxa" w:w="2412"/>
          </w:tcPr>
          <w:p>
            <w:r>
              <w:rPr>
                <w:sz w:val="19"/>
              </w:rPr>
            </w:r>
            <w:r>
              <w:rPr>
                <w:sz w:val="19"/>
              </w:rPr>
              <w:t>$25,863</w:t>
            </w:r>
          </w:p>
        </w:tc>
      </w:tr>
      <w:tr>
        <w:tc>
          <w:tcPr>
            <w:tcW w:type="dxa" w:w="2412"/>
          </w:tcPr>
          <w:p>
            <w:r>
              <w:rPr>
                <w:sz w:val="19"/>
              </w:rPr>
            </w:r>
            <w:r>
              <w:rPr>
                <w:sz w:val="19"/>
              </w:rPr>
              <w:t>2.0</w:t>
            </w:r>
          </w:p>
        </w:tc>
        <w:tc>
          <w:tcPr>
            <w:tcW w:type="dxa" w:w="2412"/>
          </w:tcPr>
          <w:p>
            <w:r>
              <w:rPr>
                <w:sz w:val="19"/>
              </w:rPr>
            </w:r>
            <w:r>
              <w:rPr>
                <w:sz w:val="19"/>
              </w:rPr>
              <w:t>$103,451</w:t>
            </w:r>
          </w:p>
        </w:tc>
        <w:tc>
          <w:tcPr>
            <w:tcW w:type="dxa" w:w="2412"/>
          </w:tcPr>
          <w:p>
            <w:r>
              <w:rPr>
                <w:sz w:val="19"/>
              </w:rPr>
            </w:r>
            <w:r>
              <w:rPr>
                <w:sz w:val="19"/>
              </w:rPr>
              <w:t>$51,726</w:t>
            </w:r>
          </w:p>
        </w:tc>
        <w:tc>
          <w:tcPr>
            <w:tcW w:type="dxa" w:w="2412"/>
          </w:tcPr>
          <w:p>
            <w:r>
              <w:rPr>
                <w:sz w:val="19"/>
              </w:rPr>
            </w:r>
            <w:r>
              <w:rPr>
                <w:sz w:val="19"/>
              </w:rPr>
              <w:t>$51,726</w:t>
            </w:r>
          </w:p>
        </w:tc>
      </w:tr>
      <w:tr>
        <w:tc>
          <w:tcPr>
            <w:tcW w:type="dxa" w:w="2412"/>
          </w:tcPr>
          <w:p>
            <w:r>
              <w:rPr>
                <w:sz w:val="19"/>
              </w:rPr>
            </w:r>
            <w:r>
              <w:rPr>
                <w:sz w:val="19"/>
              </w:rPr>
              <w:t>2.5</w:t>
            </w:r>
          </w:p>
        </w:tc>
        <w:tc>
          <w:tcPr>
            <w:tcW w:type="dxa" w:w="2412"/>
          </w:tcPr>
          <w:p>
            <w:r>
              <w:rPr>
                <w:sz w:val="19"/>
              </w:rPr>
            </w:r>
            <w:r>
              <w:rPr>
                <w:sz w:val="19"/>
              </w:rPr>
              <w:t>$129,314</w:t>
            </w:r>
          </w:p>
        </w:tc>
        <w:tc>
          <w:tcPr>
            <w:tcW w:type="dxa" w:w="2412"/>
          </w:tcPr>
          <w:p>
            <w:r>
              <w:rPr>
                <w:sz w:val="19"/>
              </w:rPr>
            </w:r>
            <w:r>
              <w:rPr>
                <w:sz w:val="19"/>
              </w:rPr>
              <w:t>$51,726</w:t>
            </w:r>
          </w:p>
        </w:tc>
        <w:tc>
          <w:tcPr>
            <w:tcW w:type="dxa" w:w="2412"/>
          </w:tcPr>
          <w:p>
            <w:r>
              <w:rPr>
                <w:sz w:val="19"/>
              </w:rPr>
            </w:r>
            <w:r>
              <w:rPr>
                <w:sz w:val="19"/>
              </w:rPr>
              <w:t>$77,588</w:t>
            </w:r>
          </w:p>
        </w:tc>
      </w:tr>
      <w:tr>
        <w:tc>
          <w:tcPr>
            <w:tcW w:type="dxa" w:w="2412"/>
          </w:tcPr>
          <w:p>
            <w:r>
              <w:rPr>
                <w:sz w:val="19"/>
              </w:rPr>
            </w:r>
            <w:r>
              <w:rPr>
                <w:sz w:val="19"/>
              </w:rPr>
              <w:t>3.0</w:t>
            </w:r>
          </w:p>
        </w:tc>
        <w:tc>
          <w:tcPr>
            <w:tcW w:type="dxa" w:w="2412"/>
          </w:tcPr>
          <w:p>
            <w:r>
              <w:rPr>
                <w:sz w:val="19"/>
              </w:rPr>
            </w:r>
            <w:r>
              <w:rPr>
                <w:sz w:val="19"/>
              </w:rPr>
              <w:t>$155,177</w:t>
            </w:r>
          </w:p>
        </w:tc>
        <w:tc>
          <w:tcPr>
            <w:tcW w:type="dxa" w:w="2412"/>
          </w:tcPr>
          <w:p>
            <w:r>
              <w:rPr>
                <w:sz w:val="19"/>
              </w:rPr>
            </w:r>
            <w:r>
              <w:rPr>
                <w:sz w:val="19"/>
              </w:rPr>
              <w:t>$51,726</w:t>
            </w:r>
          </w:p>
        </w:tc>
        <w:tc>
          <w:tcPr>
            <w:tcW w:type="dxa" w:w="2412"/>
          </w:tcPr>
          <w:p>
            <w:r>
              <w:rPr>
                <w:sz w:val="19"/>
              </w:rPr>
            </w:r>
            <w:r>
              <w:rPr>
                <w:sz w:val="19"/>
              </w:rPr>
              <w:t>$103,451</w:t>
            </w:r>
          </w:p>
        </w:tc>
      </w:tr>
    </w:tbl>
    <w:p/>
    <w:p>
      <w:r>
        <w:rPr>
          <w:b/>
        </w:rPr>
        <w:t>k is probably higher for VaLORS than for the plan we scoped, and in the one direction we cannot measure.</w:t>
      </w:r>
      <w:r>
        <w:t xml:space="preserve"> Hazardous-duty members reach an unreduced allowance up to five years earlier, and the actuarial-equivalent cost of a purchase rises with how early the resulting allowance starts. VaLORS total normal cost is 14.30% of payroll against 8.73% for State Employees, which is the same fact seen from the employer side. We do not have a VaLORS k and we are not going to invent one. </w:t>
      </w:r>
      <w:r>
        <w:rPr>
          <w:b/>
        </w:rPr>
        <w:t>If a VaLORS amendment is offered, k for VaLORS becomes a second actuarial question, not a scaling of the first.</w:t>
      </w:r>
    </w:p>
    <w:p>
      <w:pPr>
        <w:jc w:val="left"/>
      </w:pPr>
      <w:r>
        <w:rPr>
          <w:color w:val="BBBBBB"/>
        </w:rPr>
        <w:t>______________________________________________________________________________________</w:t>
      </w:r>
    </w:p>
    <w:p>
      <w:pPr>
        <w:pStyle w:val="Heading1"/>
      </w:pPr>
      <w:r>
        <w:t>3. Reach — the same three dials, at the same settings</w:t>
      </w:r>
    </w:p>
    <w:p>
      <w:r>
        <w:t>Veteran share, share holding qualifying purchasable service, and take-up, exactly as in V2-fiscal-model. The dials are held at the same values deliberately, so the VaLORS column is comparable with the State Employees column rather than being argued separately.</w:t>
      </w:r>
    </w:p>
    <w:p>
      <w:r>
        <w:rPr>
          <w:b/>
          <w:sz w:val="20"/>
        </w:rPr>
        <w:t>Table 6 — take-up only, veteran share 8% and qualifying share 50%</w:t>
      </w:r>
    </w:p>
    <w:tbl>
      <w:tblPr>
        <w:tblStyle w:val="LightGrid-Accent1"/>
        <w:tblW w:type="auto" w:w="0"/>
        <w:jc w:val="left"/>
        <w:tblLook w:firstColumn="1" w:firstRow="1" w:lastColumn="0" w:lastRow="0" w:noHBand="0" w:noVBand="1" w:val="04A0"/>
      </w:tblPr>
      <w:tblGrid>
        <w:gridCol w:w="1608"/>
        <w:gridCol w:w="1608"/>
        <w:gridCol w:w="1608"/>
        <w:gridCol w:w="1608"/>
        <w:gridCol w:w="1608"/>
        <w:gridCol w:w="1608"/>
      </w:tblGrid>
      <w:tr>
        <w:tc>
          <w:tcPr>
            <w:tcW w:type="dxa" w:w="1608"/>
          </w:tcPr>
          <w:p>
            <w:r>
              <w:rPr>
                <w:b/>
                <w:sz w:val="19"/>
              </w:rPr>
            </w:r>
            <w:r>
              <w:rPr>
                <w:b/>
                <w:sz w:val="19"/>
              </w:rPr>
              <w:t>Take-up</w:t>
            </w:r>
          </w:p>
        </w:tc>
        <w:tc>
          <w:tcPr>
            <w:tcW w:type="dxa" w:w="1608"/>
          </w:tcPr>
          <w:p>
            <w:r>
              <w:rPr>
                <w:b/>
                <w:sz w:val="19"/>
              </w:rPr>
            </w:r>
            <w:r>
              <w:rPr>
                <w:b/>
                <w:sz w:val="19"/>
              </w:rPr>
              <w:t>Incentive</w:t>
            </w:r>
          </w:p>
        </w:tc>
        <w:tc>
          <w:tcPr>
            <w:tcW w:type="dxa" w:w="1608"/>
          </w:tcPr>
          <w:p>
            <w:r>
              <w:rPr>
                <w:b/>
                <w:sz w:val="19"/>
              </w:rPr>
            </w:r>
            <w:r>
              <w:rPr>
                <w:b/>
                <w:sz w:val="19"/>
              </w:rPr>
              <w:t>Bridge</w:t>
            </w:r>
          </w:p>
        </w:tc>
        <w:tc>
          <w:tcPr>
            <w:tcW w:type="dxa" w:w="1608"/>
          </w:tcPr>
          <w:p>
            <w:r>
              <w:rPr>
                <w:b/>
                <w:sz w:val="19"/>
              </w:rPr>
            </w:r>
            <w:r>
              <w:rPr>
                <w:b/>
                <w:sz w:val="19"/>
              </w:rPr>
              <w:t>Total</w:t>
            </w:r>
          </w:p>
        </w:tc>
        <w:tc>
          <w:tcPr>
            <w:tcW w:type="dxa" w:w="1608"/>
          </w:tcPr>
          <w:p>
            <w:r>
              <w:rPr>
                <w:b/>
                <w:sz w:val="19"/>
              </w:rPr>
            </w:r>
            <w:r>
              <w:rPr>
                <w:b/>
                <w:sz w:val="19"/>
              </w:rPr>
              <w:t>Member payments</w:t>
            </w:r>
          </w:p>
        </w:tc>
        <w:tc>
          <w:tcPr>
            <w:tcW w:type="dxa" w:w="1608"/>
          </w:tcPr>
          <w:p>
            <w:r>
              <w:rPr>
                <w:b/>
                <w:sz w:val="19"/>
              </w:rPr>
            </w:r>
            <w:r>
              <w:rPr>
                <w:b/>
                <w:sz w:val="19"/>
              </w:rPr>
              <w:t>Subsidy at k = 2.0</w:t>
            </w:r>
          </w:p>
        </w:tc>
      </w:tr>
      <w:tr>
        <w:tc>
          <w:tcPr>
            <w:tcW w:type="dxa" w:w="1608"/>
          </w:tcPr>
          <w:p>
            <w:r>
              <w:rPr>
                <w:sz w:val="19"/>
              </w:rPr>
            </w:r>
            <w:r>
              <w:rPr>
                <w:sz w:val="19"/>
              </w:rPr>
              <w:t>5%</w:t>
            </w:r>
          </w:p>
        </w:tc>
        <w:tc>
          <w:tcPr>
            <w:tcW w:type="dxa" w:w="1608"/>
          </w:tcPr>
          <w:p>
            <w:r>
              <w:rPr>
                <w:sz w:val="19"/>
              </w:rPr>
            </w:r>
            <w:r>
              <w:rPr>
                <w:sz w:val="19"/>
              </w:rPr>
              <w:t>0.9</w:t>
            </w:r>
          </w:p>
        </w:tc>
        <w:tc>
          <w:tcPr>
            <w:tcW w:type="dxa" w:w="1608"/>
          </w:tcPr>
          <w:p>
            <w:r>
              <w:rPr>
                <w:sz w:val="19"/>
              </w:rPr>
            </w:r>
            <w:r>
              <w:rPr>
                <w:sz w:val="19"/>
              </w:rPr>
              <w:t>0.3</w:t>
            </w:r>
          </w:p>
        </w:tc>
        <w:tc>
          <w:tcPr>
            <w:tcW w:type="dxa" w:w="1608"/>
          </w:tcPr>
          <w:p>
            <w:r>
              <w:rPr>
                <w:sz w:val="19"/>
              </w:rPr>
            </w:r>
            <w:r>
              <w:rPr>
                <w:sz w:val="19"/>
              </w:rPr>
              <w:t>1.2</w:t>
            </w:r>
          </w:p>
        </w:tc>
        <w:tc>
          <w:tcPr>
            <w:tcW w:type="dxa" w:w="1608"/>
          </w:tcPr>
          <w:p>
            <w:r>
              <w:rPr>
                <w:sz w:val="19"/>
              </w:rPr>
            </w:r>
            <w:r>
              <w:rPr>
                <w:sz w:val="19"/>
              </w:rPr>
              <w:t>$21,552</w:t>
            </w:r>
          </w:p>
        </w:tc>
        <w:tc>
          <w:tcPr>
            <w:tcW w:type="dxa" w:w="1608"/>
          </w:tcPr>
          <w:p>
            <w:r>
              <w:rPr>
                <w:sz w:val="19"/>
              </w:rPr>
            </w:r>
            <w:r>
              <w:rPr>
                <w:sz w:val="19"/>
              </w:rPr>
              <w:t>$21,552</w:t>
            </w:r>
          </w:p>
        </w:tc>
      </w:tr>
      <w:tr>
        <w:tc>
          <w:tcPr>
            <w:tcW w:type="dxa" w:w="1608"/>
          </w:tcPr>
          <w:p>
            <w:r>
              <w:rPr>
                <w:sz w:val="19"/>
              </w:rPr>
            </w:r>
            <w:r>
              <w:rPr>
                <w:sz w:val="19"/>
              </w:rPr>
              <w:t>12%</w:t>
            </w:r>
          </w:p>
        </w:tc>
        <w:tc>
          <w:tcPr>
            <w:tcW w:type="dxa" w:w="1608"/>
          </w:tcPr>
          <w:p>
            <w:r>
              <w:rPr>
                <w:sz w:val="19"/>
              </w:rPr>
            </w:r>
            <w:r>
              <w:rPr>
                <w:sz w:val="19"/>
              </w:rPr>
              <w:t>2.1</w:t>
            </w:r>
          </w:p>
        </w:tc>
        <w:tc>
          <w:tcPr>
            <w:tcW w:type="dxa" w:w="1608"/>
          </w:tcPr>
          <w:p>
            <w:r>
              <w:rPr>
                <w:sz w:val="19"/>
              </w:rPr>
            </w:r>
            <w:r>
              <w:rPr>
                <w:sz w:val="19"/>
              </w:rPr>
              <w:t>0.7</w:t>
            </w:r>
          </w:p>
        </w:tc>
        <w:tc>
          <w:tcPr>
            <w:tcW w:type="dxa" w:w="1608"/>
          </w:tcPr>
          <w:p>
            <w:r>
              <w:rPr>
                <w:sz w:val="19"/>
              </w:rPr>
            </w:r>
            <w:r>
              <w:rPr>
                <w:sz w:val="19"/>
              </w:rPr>
              <w:t>2.8</w:t>
            </w:r>
          </w:p>
        </w:tc>
        <w:tc>
          <w:tcPr>
            <w:tcW w:type="dxa" w:w="1608"/>
          </w:tcPr>
          <w:p>
            <w:r>
              <w:rPr>
                <w:sz w:val="19"/>
              </w:rPr>
            </w:r>
            <w:r>
              <w:rPr>
                <w:sz w:val="19"/>
              </w:rPr>
              <w:t>$51,726</w:t>
            </w:r>
          </w:p>
        </w:tc>
        <w:tc>
          <w:tcPr>
            <w:tcW w:type="dxa" w:w="1608"/>
          </w:tcPr>
          <w:p>
            <w:r>
              <w:rPr>
                <w:sz w:val="19"/>
              </w:rPr>
            </w:r>
            <w:r>
              <w:rPr>
                <w:sz w:val="19"/>
              </w:rPr>
              <w:t>$51,726</w:t>
            </w:r>
          </w:p>
        </w:tc>
      </w:tr>
      <w:tr>
        <w:tc>
          <w:tcPr>
            <w:tcW w:type="dxa" w:w="1608"/>
          </w:tcPr>
          <w:p>
            <w:r>
              <w:rPr>
                <w:sz w:val="19"/>
              </w:rPr>
            </w:r>
            <w:r>
              <w:rPr>
                <w:sz w:val="19"/>
              </w:rPr>
              <w:t>25%</w:t>
            </w:r>
          </w:p>
        </w:tc>
        <w:tc>
          <w:tcPr>
            <w:tcW w:type="dxa" w:w="1608"/>
          </w:tcPr>
          <w:p>
            <w:r>
              <w:rPr>
                <w:sz w:val="19"/>
              </w:rPr>
            </w:r>
            <w:r>
              <w:rPr>
                <w:sz w:val="19"/>
              </w:rPr>
              <w:t>4.3</w:t>
            </w:r>
          </w:p>
        </w:tc>
        <w:tc>
          <w:tcPr>
            <w:tcW w:type="dxa" w:w="1608"/>
          </w:tcPr>
          <w:p>
            <w:r>
              <w:rPr>
                <w:sz w:val="19"/>
              </w:rPr>
            </w:r>
            <w:r>
              <w:rPr>
                <w:sz w:val="19"/>
              </w:rPr>
              <w:t>1.5</w:t>
            </w:r>
          </w:p>
        </w:tc>
        <w:tc>
          <w:tcPr>
            <w:tcW w:type="dxa" w:w="1608"/>
          </w:tcPr>
          <w:p>
            <w:r>
              <w:rPr>
                <w:sz w:val="19"/>
              </w:rPr>
            </w:r>
            <w:r>
              <w:rPr>
                <w:sz w:val="19"/>
              </w:rPr>
              <w:t>5.8</w:t>
            </w:r>
          </w:p>
        </w:tc>
        <w:tc>
          <w:tcPr>
            <w:tcW w:type="dxa" w:w="1608"/>
          </w:tcPr>
          <w:p>
            <w:r>
              <w:rPr>
                <w:sz w:val="19"/>
              </w:rPr>
            </w:r>
            <w:r>
              <w:rPr>
                <w:sz w:val="19"/>
              </w:rPr>
              <w:t>$107,762</w:t>
            </w:r>
          </w:p>
        </w:tc>
        <w:tc>
          <w:tcPr>
            <w:tcW w:type="dxa" w:w="1608"/>
          </w:tcPr>
          <w:p>
            <w:r>
              <w:rPr>
                <w:sz w:val="19"/>
              </w:rPr>
            </w:r>
            <w:r>
              <w:rPr>
                <w:sz w:val="19"/>
              </w:rPr>
              <w:t>$107,762</w:t>
            </w:r>
          </w:p>
        </w:tc>
      </w:tr>
    </w:tbl>
    <w:p/>
    <w:p>
      <w:r>
        <w:rPr>
          <w:b/>
          <w:sz w:val="20"/>
        </w:rPr>
        <w:t>Table 7 — all 27 cells. Participants added over the four-year pilot.</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Veteran share</w:t>
            </w:r>
          </w:p>
        </w:tc>
        <w:tc>
          <w:tcPr>
            <w:tcW w:type="dxa" w:w="1930"/>
          </w:tcPr>
          <w:p>
            <w:r>
              <w:rPr>
                <w:b/>
                <w:sz w:val="19"/>
              </w:rPr>
            </w:r>
            <w:r>
              <w:rPr>
                <w:b/>
                <w:sz w:val="19"/>
              </w:rPr>
              <w:t>Qualifying share</w:t>
            </w:r>
          </w:p>
        </w:tc>
        <w:tc>
          <w:tcPr>
            <w:tcW w:type="dxa" w:w="1930"/>
          </w:tcPr>
          <w:p>
            <w:r>
              <w:rPr>
                <w:b/>
                <w:sz w:val="19"/>
              </w:rPr>
            </w:r>
            <w:r>
              <w:rPr>
                <w:b/>
                <w:sz w:val="19"/>
              </w:rPr>
              <w:t>Take-up 5%</w:t>
            </w:r>
          </w:p>
        </w:tc>
        <w:tc>
          <w:tcPr>
            <w:tcW w:type="dxa" w:w="1930"/>
          </w:tcPr>
          <w:p>
            <w:r>
              <w:rPr>
                <w:b/>
                <w:sz w:val="19"/>
              </w:rPr>
            </w:r>
            <w:r>
              <w:rPr>
                <w:b/>
                <w:sz w:val="19"/>
              </w:rPr>
              <w:t>Take-up 12%</w:t>
            </w:r>
          </w:p>
        </w:tc>
        <w:tc>
          <w:tcPr>
            <w:tcW w:type="dxa" w:w="1930"/>
          </w:tcPr>
          <w:p>
            <w:r>
              <w:rPr>
                <w:b/>
                <w:sz w:val="19"/>
              </w:rPr>
            </w:r>
            <w:r>
              <w:rPr>
                <w:b/>
                <w:sz w:val="19"/>
              </w:rPr>
              <w:t>Take-up 25%</w:t>
            </w:r>
          </w:p>
        </w:tc>
      </w:tr>
      <w:tr>
        <w:tc>
          <w:tcPr>
            <w:tcW w:type="dxa" w:w="1930"/>
          </w:tcPr>
          <w:p>
            <w:r>
              <w:rPr>
                <w:sz w:val="19"/>
              </w:rPr>
            </w:r>
            <w:r>
              <w:rPr>
                <w:sz w:val="19"/>
              </w:rPr>
              <w:t>6%</w:t>
            </w:r>
          </w:p>
        </w:tc>
        <w:tc>
          <w:tcPr>
            <w:tcW w:type="dxa" w:w="1930"/>
          </w:tcPr>
          <w:p>
            <w:r>
              <w:rPr>
                <w:sz w:val="19"/>
              </w:rPr>
            </w:r>
            <w:r>
              <w:rPr>
                <w:sz w:val="19"/>
              </w:rPr>
              <w:t>35%</w:t>
            </w:r>
          </w:p>
        </w:tc>
        <w:tc>
          <w:tcPr>
            <w:tcW w:type="dxa" w:w="1930"/>
          </w:tcPr>
          <w:p>
            <w:r>
              <w:rPr>
                <w:sz w:val="19"/>
              </w:rPr>
            </w:r>
            <w:r>
              <w:rPr>
                <w:sz w:val="19"/>
              </w:rPr>
              <w:t>0.6</w:t>
            </w:r>
          </w:p>
        </w:tc>
        <w:tc>
          <w:tcPr>
            <w:tcW w:type="dxa" w:w="1930"/>
          </w:tcPr>
          <w:p>
            <w:r>
              <w:rPr>
                <w:sz w:val="19"/>
              </w:rPr>
            </w:r>
            <w:r>
              <w:rPr>
                <w:sz w:val="19"/>
              </w:rPr>
              <w:t>1.5</w:t>
            </w:r>
          </w:p>
        </w:tc>
        <w:tc>
          <w:tcPr>
            <w:tcW w:type="dxa" w:w="1930"/>
          </w:tcPr>
          <w:p>
            <w:r>
              <w:rPr>
                <w:sz w:val="19"/>
              </w:rPr>
            </w:r>
            <w:r>
              <w:rPr>
                <w:sz w:val="19"/>
              </w:rPr>
              <w:t>3.1</w:t>
            </w:r>
          </w:p>
        </w:tc>
      </w:tr>
      <w:tr>
        <w:tc>
          <w:tcPr>
            <w:tcW w:type="dxa" w:w="1930"/>
          </w:tcPr>
          <w:p>
            <w:r>
              <w:rPr>
                <w:sz w:val="19"/>
              </w:rPr>
            </w:r>
          </w:p>
        </w:tc>
        <w:tc>
          <w:tcPr>
            <w:tcW w:type="dxa" w:w="1930"/>
          </w:tcPr>
          <w:p>
            <w:r>
              <w:rPr>
                <w:sz w:val="19"/>
              </w:rPr>
            </w:r>
            <w:r>
              <w:rPr>
                <w:sz w:val="19"/>
              </w:rPr>
              <w:t>50%</w:t>
            </w:r>
          </w:p>
        </w:tc>
        <w:tc>
          <w:tcPr>
            <w:tcW w:type="dxa" w:w="1930"/>
          </w:tcPr>
          <w:p>
            <w:r>
              <w:rPr>
                <w:sz w:val="19"/>
              </w:rPr>
            </w:r>
            <w:r>
              <w:rPr>
                <w:sz w:val="19"/>
              </w:rPr>
              <w:t>0.9</w:t>
            </w:r>
          </w:p>
        </w:tc>
        <w:tc>
          <w:tcPr>
            <w:tcW w:type="dxa" w:w="1930"/>
          </w:tcPr>
          <w:p>
            <w:r>
              <w:rPr>
                <w:sz w:val="19"/>
              </w:rPr>
            </w:r>
            <w:r>
              <w:rPr>
                <w:sz w:val="19"/>
              </w:rPr>
              <w:t>2.1</w:t>
            </w:r>
          </w:p>
        </w:tc>
        <w:tc>
          <w:tcPr>
            <w:tcW w:type="dxa" w:w="1930"/>
          </w:tcPr>
          <w:p>
            <w:r>
              <w:rPr>
                <w:sz w:val="19"/>
              </w:rPr>
            </w:r>
            <w:r>
              <w:rPr>
                <w:sz w:val="19"/>
              </w:rPr>
              <w:t>4.4</w:t>
            </w:r>
          </w:p>
        </w:tc>
      </w:tr>
      <w:tr>
        <w:tc>
          <w:tcPr>
            <w:tcW w:type="dxa" w:w="1930"/>
          </w:tcPr>
          <w:p>
            <w:r>
              <w:rPr>
                <w:sz w:val="19"/>
              </w:rPr>
            </w:r>
          </w:p>
        </w:tc>
        <w:tc>
          <w:tcPr>
            <w:tcW w:type="dxa" w:w="1930"/>
          </w:tcPr>
          <w:p>
            <w:r>
              <w:rPr>
                <w:sz w:val="19"/>
              </w:rPr>
            </w:r>
            <w:r>
              <w:rPr>
                <w:sz w:val="19"/>
              </w:rPr>
              <w:t>65%</w:t>
            </w:r>
          </w:p>
        </w:tc>
        <w:tc>
          <w:tcPr>
            <w:tcW w:type="dxa" w:w="1930"/>
          </w:tcPr>
          <w:p>
            <w:r>
              <w:rPr>
                <w:sz w:val="19"/>
              </w:rPr>
            </w:r>
            <w:r>
              <w:rPr>
                <w:sz w:val="19"/>
              </w:rPr>
              <w:t>1.1</w:t>
            </w:r>
          </w:p>
        </w:tc>
        <w:tc>
          <w:tcPr>
            <w:tcW w:type="dxa" w:w="1930"/>
          </w:tcPr>
          <w:p>
            <w:r>
              <w:rPr>
                <w:sz w:val="19"/>
              </w:rPr>
            </w:r>
            <w:r>
              <w:rPr>
                <w:sz w:val="19"/>
              </w:rPr>
              <w:t>2.7</w:t>
            </w:r>
          </w:p>
        </w:tc>
        <w:tc>
          <w:tcPr>
            <w:tcW w:type="dxa" w:w="1930"/>
          </w:tcPr>
          <w:p>
            <w:r>
              <w:rPr>
                <w:sz w:val="19"/>
              </w:rPr>
            </w:r>
            <w:r>
              <w:rPr>
                <w:sz w:val="19"/>
              </w:rPr>
              <w:t>5.7</w:t>
            </w:r>
          </w:p>
        </w:tc>
      </w:tr>
      <w:tr>
        <w:tc>
          <w:tcPr>
            <w:tcW w:type="dxa" w:w="1930"/>
          </w:tcPr>
          <w:p>
            <w:r>
              <w:rPr>
                <w:sz w:val="19"/>
              </w:rPr>
            </w:r>
            <w:r>
              <w:rPr>
                <w:sz w:val="19"/>
              </w:rPr>
              <w:t>8%</w:t>
            </w:r>
          </w:p>
        </w:tc>
        <w:tc>
          <w:tcPr>
            <w:tcW w:type="dxa" w:w="1930"/>
          </w:tcPr>
          <w:p>
            <w:r>
              <w:rPr>
                <w:sz w:val="19"/>
              </w:rPr>
            </w:r>
            <w:r>
              <w:rPr>
                <w:sz w:val="19"/>
              </w:rPr>
              <w:t>35%</w:t>
            </w:r>
          </w:p>
        </w:tc>
        <w:tc>
          <w:tcPr>
            <w:tcW w:type="dxa" w:w="1930"/>
          </w:tcPr>
          <w:p>
            <w:r>
              <w:rPr>
                <w:sz w:val="19"/>
              </w:rPr>
            </w:r>
            <w:r>
              <w:rPr>
                <w:sz w:val="19"/>
              </w:rPr>
              <w:t>0.8</w:t>
            </w:r>
          </w:p>
        </w:tc>
        <w:tc>
          <w:tcPr>
            <w:tcW w:type="dxa" w:w="1930"/>
          </w:tcPr>
          <w:p>
            <w:r>
              <w:rPr>
                <w:sz w:val="19"/>
              </w:rPr>
            </w:r>
            <w:r>
              <w:rPr>
                <w:sz w:val="19"/>
              </w:rPr>
              <w:t>2.0</w:t>
            </w:r>
          </w:p>
        </w:tc>
        <w:tc>
          <w:tcPr>
            <w:tcW w:type="dxa" w:w="1930"/>
          </w:tcPr>
          <w:p>
            <w:r>
              <w:rPr>
                <w:sz w:val="19"/>
              </w:rPr>
            </w:r>
            <w:r>
              <w:rPr>
                <w:sz w:val="19"/>
              </w:rPr>
              <w:t>4.1</w:t>
            </w:r>
          </w:p>
        </w:tc>
      </w:tr>
      <w:tr>
        <w:tc>
          <w:tcPr>
            <w:tcW w:type="dxa" w:w="1930"/>
          </w:tcPr>
          <w:p>
            <w:r>
              <w:rPr>
                <w:sz w:val="19"/>
              </w:rPr>
            </w:r>
          </w:p>
        </w:tc>
        <w:tc>
          <w:tcPr>
            <w:tcW w:type="dxa" w:w="1930"/>
          </w:tcPr>
          <w:p>
            <w:r>
              <w:rPr>
                <w:sz w:val="19"/>
              </w:rPr>
            </w:r>
            <w:r>
              <w:rPr>
                <w:sz w:val="19"/>
              </w:rPr>
              <w:t>50%</w:t>
            </w:r>
          </w:p>
        </w:tc>
        <w:tc>
          <w:tcPr>
            <w:tcW w:type="dxa" w:w="1930"/>
          </w:tcPr>
          <w:p>
            <w:r>
              <w:rPr>
                <w:sz w:val="19"/>
              </w:rPr>
            </w:r>
            <w:r>
              <w:rPr>
                <w:sz w:val="19"/>
              </w:rPr>
              <w:t>1.2</w:t>
            </w:r>
          </w:p>
        </w:tc>
        <w:tc>
          <w:tcPr>
            <w:tcW w:type="dxa" w:w="1930"/>
          </w:tcPr>
          <w:p>
            <w:r>
              <w:rPr>
                <w:sz w:val="19"/>
              </w:rPr>
            </w:r>
            <w:r>
              <w:rPr>
                <w:sz w:val="19"/>
              </w:rPr>
              <w:t>2.8</w:t>
            </w:r>
          </w:p>
        </w:tc>
        <w:tc>
          <w:tcPr>
            <w:tcW w:type="dxa" w:w="1930"/>
          </w:tcPr>
          <w:p>
            <w:r>
              <w:rPr>
                <w:sz w:val="19"/>
              </w:rPr>
            </w:r>
            <w:r>
              <w:rPr>
                <w:sz w:val="19"/>
              </w:rPr>
              <w:t>5.8</w:t>
            </w:r>
          </w:p>
        </w:tc>
      </w:tr>
      <w:tr>
        <w:tc>
          <w:tcPr>
            <w:tcW w:type="dxa" w:w="1930"/>
          </w:tcPr>
          <w:p>
            <w:r>
              <w:rPr>
                <w:sz w:val="19"/>
              </w:rPr>
            </w:r>
          </w:p>
        </w:tc>
        <w:tc>
          <w:tcPr>
            <w:tcW w:type="dxa" w:w="1930"/>
          </w:tcPr>
          <w:p>
            <w:r>
              <w:rPr>
                <w:sz w:val="19"/>
              </w:rPr>
            </w:r>
            <w:r>
              <w:rPr>
                <w:sz w:val="19"/>
              </w:rPr>
              <w:t>65%</w:t>
            </w:r>
          </w:p>
        </w:tc>
        <w:tc>
          <w:tcPr>
            <w:tcW w:type="dxa" w:w="1930"/>
          </w:tcPr>
          <w:p>
            <w:r>
              <w:rPr>
                <w:sz w:val="19"/>
              </w:rPr>
            </w:r>
            <w:r>
              <w:rPr>
                <w:sz w:val="19"/>
              </w:rPr>
              <w:t>1.5</w:t>
            </w:r>
          </w:p>
        </w:tc>
        <w:tc>
          <w:tcPr>
            <w:tcW w:type="dxa" w:w="1930"/>
          </w:tcPr>
          <w:p>
            <w:r>
              <w:rPr>
                <w:sz w:val="19"/>
              </w:rPr>
            </w:r>
            <w:r>
              <w:rPr>
                <w:sz w:val="19"/>
              </w:rPr>
              <w:t>3.6</w:t>
            </w:r>
          </w:p>
        </w:tc>
        <w:tc>
          <w:tcPr>
            <w:tcW w:type="dxa" w:w="1930"/>
          </w:tcPr>
          <w:p>
            <w:r>
              <w:rPr>
                <w:sz w:val="19"/>
              </w:rPr>
            </w:r>
            <w:r>
              <w:rPr>
                <w:sz w:val="19"/>
              </w:rPr>
              <w:t>7.6</w:t>
            </w:r>
          </w:p>
        </w:tc>
      </w:tr>
      <w:tr>
        <w:tc>
          <w:tcPr>
            <w:tcW w:type="dxa" w:w="1930"/>
          </w:tcPr>
          <w:p>
            <w:r>
              <w:rPr>
                <w:sz w:val="19"/>
              </w:rPr>
            </w:r>
            <w:r>
              <w:rPr>
                <w:sz w:val="19"/>
              </w:rPr>
              <w:t>10%</w:t>
            </w:r>
          </w:p>
        </w:tc>
        <w:tc>
          <w:tcPr>
            <w:tcW w:type="dxa" w:w="1930"/>
          </w:tcPr>
          <w:p>
            <w:r>
              <w:rPr>
                <w:sz w:val="19"/>
              </w:rPr>
            </w:r>
            <w:r>
              <w:rPr>
                <w:sz w:val="19"/>
              </w:rPr>
              <w:t>35%</w:t>
            </w:r>
          </w:p>
        </w:tc>
        <w:tc>
          <w:tcPr>
            <w:tcW w:type="dxa" w:w="1930"/>
          </w:tcPr>
          <w:p>
            <w:r>
              <w:rPr>
                <w:sz w:val="19"/>
              </w:rPr>
            </w:r>
            <w:r>
              <w:rPr>
                <w:sz w:val="19"/>
              </w:rPr>
              <w:t>1.0</w:t>
            </w:r>
          </w:p>
        </w:tc>
        <w:tc>
          <w:tcPr>
            <w:tcW w:type="dxa" w:w="1930"/>
          </w:tcPr>
          <w:p>
            <w:r>
              <w:rPr>
                <w:sz w:val="19"/>
              </w:rPr>
            </w:r>
            <w:r>
              <w:rPr>
                <w:sz w:val="19"/>
              </w:rPr>
              <w:t>2.4</w:t>
            </w:r>
          </w:p>
        </w:tc>
        <w:tc>
          <w:tcPr>
            <w:tcW w:type="dxa" w:w="1930"/>
          </w:tcPr>
          <w:p>
            <w:r>
              <w:rPr>
                <w:sz w:val="19"/>
              </w:rPr>
            </w:r>
            <w:r>
              <w:rPr>
                <w:sz w:val="19"/>
              </w:rPr>
              <w:t>5.1</w:t>
            </w:r>
          </w:p>
        </w:tc>
      </w:tr>
      <w:tr>
        <w:tc>
          <w:tcPr>
            <w:tcW w:type="dxa" w:w="1930"/>
          </w:tcPr>
          <w:p>
            <w:r>
              <w:rPr>
                <w:sz w:val="19"/>
              </w:rPr>
            </w:r>
          </w:p>
        </w:tc>
        <w:tc>
          <w:tcPr>
            <w:tcW w:type="dxa" w:w="1930"/>
          </w:tcPr>
          <w:p>
            <w:r>
              <w:rPr>
                <w:sz w:val="19"/>
              </w:rPr>
            </w:r>
            <w:r>
              <w:rPr>
                <w:sz w:val="19"/>
              </w:rPr>
              <w:t>50%</w:t>
            </w:r>
          </w:p>
        </w:tc>
        <w:tc>
          <w:tcPr>
            <w:tcW w:type="dxa" w:w="1930"/>
          </w:tcPr>
          <w:p>
            <w:r>
              <w:rPr>
                <w:sz w:val="19"/>
              </w:rPr>
            </w:r>
            <w:r>
              <w:rPr>
                <w:sz w:val="19"/>
              </w:rPr>
              <w:t>1.5</w:t>
            </w:r>
          </w:p>
        </w:tc>
        <w:tc>
          <w:tcPr>
            <w:tcW w:type="dxa" w:w="1930"/>
          </w:tcPr>
          <w:p>
            <w:r>
              <w:rPr>
                <w:sz w:val="19"/>
              </w:rPr>
            </w:r>
            <w:r>
              <w:rPr>
                <w:sz w:val="19"/>
              </w:rPr>
              <w:t>3.5</w:t>
            </w:r>
          </w:p>
        </w:tc>
        <w:tc>
          <w:tcPr>
            <w:tcW w:type="dxa" w:w="1930"/>
          </w:tcPr>
          <w:p>
            <w:r>
              <w:rPr>
                <w:sz w:val="19"/>
              </w:rPr>
            </w:r>
            <w:r>
              <w:rPr>
                <w:sz w:val="19"/>
              </w:rPr>
              <w:t>7.3</w:t>
            </w:r>
          </w:p>
        </w:tc>
      </w:tr>
      <w:tr>
        <w:tc>
          <w:tcPr>
            <w:tcW w:type="dxa" w:w="1930"/>
          </w:tcPr>
          <w:p>
            <w:r>
              <w:rPr>
                <w:sz w:val="19"/>
              </w:rPr>
            </w:r>
          </w:p>
        </w:tc>
        <w:tc>
          <w:tcPr>
            <w:tcW w:type="dxa" w:w="1930"/>
          </w:tcPr>
          <w:p>
            <w:r>
              <w:rPr>
                <w:sz w:val="19"/>
              </w:rPr>
            </w:r>
            <w:r>
              <w:rPr>
                <w:sz w:val="19"/>
              </w:rPr>
              <w:t>65%</w:t>
            </w:r>
          </w:p>
        </w:tc>
        <w:tc>
          <w:tcPr>
            <w:tcW w:type="dxa" w:w="1930"/>
          </w:tcPr>
          <w:p>
            <w:r>
              <w:rPr>
                <w:sz w:val="19"/>
              </w:rPr>
            </w:r>
            <w:r>
              <w:rPr>
                <w:sz w:val="19"/>
              </w:rPr>
              <w:t>1.9</w:t>
            </w:r>
          </w:p>
        </w:tc>
        <w:tc>
          <w:tcPr>
            <w:tcW w:type="dxa" w:w="1930"/>
          </w:tcPr>
          <w:p>
            <w:r>
              <w:rPr>
                <w:sz w:val="19"/>
              </w:rPr>
            </w:r>
            <w:r>
              <w:rPr>
                <w:sz w:val="19"/>
              </w:rPr>
              <w:t>4.5</w:t>
            </w:r>
          </w:p>
        </w:tc>
        <w:tc>
          <w:tcPr>
            <w:tcW w:type="dxa" w:w="1930"/>
          </w:tcPr>
          <w:p>
            <w:r>
              <w:rPr>
                <w:sz w:val="19"/>
              </w:rPr>
            </w:r>
            <w:r>
              <w:rPr>
                <w:sz w:val="19"/>
              </w:rPr>
              <w:t>9.5</w:t>
            </w:r>
          </w:p>
        </w:tc>
      </w:tr>
    </w:tbl>
    <w:p/>
    <w:p>
      <w:r>
        <w:rPr>
          <w:b/>
        </w:rPr>
        <w:t>Honest full range: 0.6 to 9.5 VaLORS participants over four years, $11,315 to $175,113 in member payments.</w:t>
      </w:r>
      <w:r>
        <w:t xml:space="preserve"> Two of the three dials are data requests and not judgments. The VaLORS-specific versions of both are now added to the G24 request.</w:t>
      </w:r>
    </w:p>
    <w:p>
      <w:pPr>
        <w:pStyle w:val="Heading2"/>
      </w:pPr>
      <w:r>
        <w:t>3.1 The one dial that should probably be set higher for VaLORS</w:t>
      </w:r>
    </w:p>
    <w:p>
      <w:r>
        <w:rPr>
          <w:b/>
        </w:rPr>
        <w:t>Veteran share is almost certainly higher among law officers than across the classified state workforce, and we hold no Virginia figure for it.</w:t>
      </w:r>
      <w:r>
        <w:t xml:space="preserve"> The 6% we use as a floor comes from DHRM's January 2025 presentation and covers the classified workforce as a whole. Corrections and law-enforcement roles draw disproportionately from people with military service. We will not put a number on that from a secondary source, so the table below is labelled as what it is: arithmetic on a judgment, offered so the sensitivity is visible rather than hidden.</w:t>
      </w:r>
    </w:p>
    <w:p>
      <w:r>
        <w:rPr>
          <w:b/>
          <w:sz w:val="20"/>
        </w:rPr>
        <w:t xml:space="preserve">Table 8 — veteran-share sensitivity. Qualifying share 50%, take-up 12%. </w:t>
      </w:r>
      <w:r>
        <w:rPr>
          <w:b/>
          <w:sz w:val="20"/>
        </w:rPr>
        <w:t>The multipliers are judgment with no source. Do not quote them as findings.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Veteran share</w:t>
            </w:r>
          </w:p>
        </w:tc>
        <w:tc>
          <w:tcPr>
            <w:tcW w:type="dxa" w:w="2412"/>
          </w:tcPr>
          <w:p>
            <w:r>
              <w:rPr>
                <w:b/>
                <w:sz w:val="19"/>
              </w:rPr>
            </w:r>
            <w:r>
              <w:rPr>
                <w:b/>
                <w:sz w:val="19"/>
              </w:rPr>
              <w:t>Basis</w:t>
            </w:r>
          </w:p>
        </w:tc>
        <w:tc>
          <w:tcPr>
            <w:tcW w:type="dxa" w:w="2412"/>
          </w:tcPr>
          <w:p>
            <w:r>
              <w:rPr>
                <w:b/>
                <w:sz w:val="19"/>
              </w:rPr>
            </w:r>
            <w:r>
              <w:rPr>
                <w:b/>
                <w:sz w:val="19"/>
              </w:rPr>
              <w:t>VaLORS participants</w:t>
            </w:r>
          </w:p>
        </w:tc>
        <w:tc>
          <w:tcPr>
            <w:tcW w:type="dxa" w:w="2412"/>
          </w:tcPr>
          <w:p>
            <w:r>
              <w:rPr>
                <w:b/>
                <w:sz w:val="19"/>
              </w:rPr>
            </w:r>
            <w:r>
              <w:rPr>
                <w:b/>
                <w:sz w:val="19"/>
              </w:rPr>
              <w:t>Member payments</w:t>
            </w:r>
          </w:p>
        </w:tc>
      </w:tr>
      <w:tr>
        <w:tc>
          <w:tcPr>
            <w:tcW w:type="dxa" w:w="2412"/>
          </w:tcPr>
          <w:p>
            <w:r>
              <w:rPr>
                <w:sz w:val="19"/>
              </w:rPr>
            </w:r>
            <w:r>
              <w:rPr>
                <w:sz w:val="19"/>
              </w:rPr>
              <w:t>8%</w:t>
            </w:r>
          </w:p>
        </w:tc>
        <w:tc>
          <w:tcPr>
            <w:tcW w:type="dxa" w:w="2412"/>
          </w:tcPr>
          <w:p>
            <w:r>
              <w:rPr>
                <w:sz w:val="19"/>
              </w:rPr>
            </w:r>
            <w:r>
              <w:rPr>
                <w:sz w:val="19"/>
              </w:rPr>
              <w:t>Base — same as the State Employees model</w:t>
            </w:r>
          </w:p>
        </w:tc>
        <w:tc>
          <w:tcPr>
            <w:tcW w:type="dxa" w:w="2412"/>
          </w:tcPr>
          <w:p>
            <w:r>
              <w:rPr>
                <w:sz w:val="19"/>
              </w:rPr>
            </w:r>
            <w:r>
              <w:rPr>
                <w:sz w:val="19"/>
              </w:rPr>
              <w:t>2.8</w:t>
            </w:r>
          </w:p>
        </w:tc>
        <w:tc>
          <w:tcPr>
            <w:tcW w:type="dxa" w:w="2412"/>
          </w:tcPr>
          <w:p>
            <w:r>
              <w:rPr>
                <w:sz w:val="19"/>
              </w:rPr>
            </w:r>
            <w:r>
              <w:rPr>
                <w:sz w:val="19"/>
              </w:rPr>
              <w:t>$51,726</w:t>
            </w:r>
          </w:p>
        </w:tc>
      </w:tr>
      <w:tr>
        <w:tc>
          <w:tcPr>
            <w:tcW w:type="dxa" w:w="2412"/>
          </w:tcPr>
          <w:p>
            <w:r>
              <w:rPr>
                <w:sz w:val="19"/>
              </w:rPr>
            </w:r>
            <w:r>
              <w:rPr>
                <w:sz w:val="19"/>
              </w:rPr>
              <w:t>12%</w:t>
            </w:r>
          </w:p>
        </w:tc>
        <w:tc>
          <w:tcPr>
            <w:tcW w:type="dxa" w:w="2412"/>
          </w:tcPr>
          <w:p>
            <w:r>
              <w:rPr>
                <w:sz w:val="19"/>
              </w:rPr>
            </w:r>
            <w:r>
              <w:rPr>
                <w:sz w:val="19"/>
              </w:rPr>
              <w:t>1.5× the base. Judgment, no source</w:t>
            </w:r>
          </w:p>
        </w:tc>
        <w:tc>
          <w:tcPr>
            <w:tcW w:type="dxa" w:w="2412"/>
          </w:tcPr>
          <w:p>
            <w:r>
              <w:rPr>
                <w:sz w:val="19"/>
              </w:rPr>
            </w:r>
            <w:r>
              <w:rPr>
                <w:sz w:val="19"/>
              </w:rPr>
              <w:t>4.2</w:t>
            </w:r>
          </w:p>
        </w:tc>
        <w:tc>
          <w:tcPr>
            <w:tcW w:type="dxa" w:w="2412"/>
          </w:tcPr>
          <w:p>
            <w:r>
              <w:rPr>
                <w:sz w:val="19"/>
              </w:rPr>
            </w:r>
            <w:r>
              <w:rPr>
                <w:sz w:val="19"/>
              </w:rPr>
              <w:t>$77,588</w:t>
            </w:r>
          </w:p>
        </w:tc>
      </w:tr>
      <w:tr>
        <w:tc>
          <w:tcPr>
            <w:tcW w:type="dxa" w:w="2412"/>
          </w:tcPr>
          <w:p>
            <w:r>
              <w:rPr>
                <w:sz w:val="19"/>
              </w:rPr>
            </w:r>
            <w:r>
              <w:rPr>
                <w:sz w:val="19"/>
              </w:rPr>
              <w:t>16%</w:t>
            </w:r>
          </w:p>
        </w:tc>
        <w:tc>
          <w:tcPr>
            <w:tcW w:type="dxa" w:w="2412"/>
          </w:tcPr>
          <w:p>
            <w:r>
              <w:rPr>
                <w:sz w:val="19"/>
              </w:rPr>
            </w:r>
            <w:r>
              <w:rPr>
                <w:sz w:val="19"/>
              </w:rPr>
              <w:t>2.0× the base. Judgment, no source</w:t>
            </w:r>
          </w:p>
        </w:tc>
        <w:tc>
          <w:tcPr>
            <w:tcW w:type="dxa" w:w="2412"/>
          </w:tcPr>
          <w:p>
            <w:r>
              <w:rPr>
                <w:sz w:val="19"/>
              </w:rPr>
            </w:r>
            <w:r>
              <w:rPr>
                <w:sz w:val="19"/>
              </w:rPr>
              <w:t>5.6</w:t>
            </w:r>
          </w:p>
        </w:tc>
        <w:tc>
          <w:tcPr>
            <w:tcW w:type="dxa" w:w="2412"/>
          </w:tcPr>
          <w:p>
            <w:r>
              <w:rPr>
                <w:sz w:val="19"/>
              </w:rPr>
            </w:r>
            <w:r>
              <w:rPr>
                <w:sz w:val="19"/>
              </w:rPr>
              <w:t>$103,451</w:t>
            </w:r>
          </w:p>
        </w:tc>
      </w:tr>
      <w:tr>
        <w:tc>
          <w:tcPr>
            <w:tcW w:type="dxa" w:w="2412"/>
          </w:tcPr>
          <w:p>
            <w:r>
              <w:rPr>
                <w:sz w:val="19"/>
              </w:rPr>
            </w:r>
            <w:r>
              <w:rPr>
                <w:sz w:val="19"/>
              </w:rPr>
              <w:t>20%</w:t>
            </w:r>
          </w:p>
        </w:tc>
        <w:tc>
          <w:tcPr>
            <w:tcW w:type="dxa" w:w="2412"/>
          </w:tcPr>
          <w:p>
            <w:r>
              <w:rPr>
                <w:sz w:val="19"/>
              </w:rPr>
            </w:r>
            <w:r>
              <w:rPr>
                <w:sz w:val="19"/>
              </w:rPr>
              <w:t>2.5× the base. Judgment, no source</w:t>
            </w:r>
          </w:p>
        </w:tc>
        <w:tc>
          <w:tcPr>
            <w:tcW w:type="dxa" w:w="2412"/>
          </w:tcPr>
          <w:p>
            <w:r>
              <w:rPr>
                <w:sz w:val="19"/>
              </w:rPr>
            </w:r>
            <w:r>
              <w:rPr>
                <w:sz w:val="19"/>
              </w:rPr>
              <w:t>7.0</w:t>
            </w:r>
          </w:p>
        </w:tc>
        <w:tc>
          <w:tcPr>
            <w:tcW w:type="dxa" w:w="2412"/>
          </w:tcPr>
          <w:p>
            <w:r>
              <w:rPr>
                <w:sz w:val="19"/>
              </w:rPr>
            </w:r>
            <w:r>
              <w:rPr>
                <w:sz w:val="19"/>
              </w:rPr>
              <w:t>$129,314</w:t>
            </w:r>
          </w:p>
        </w:tc>
      </w:tr>
    </w:tbl>
    <w:p/>
    <w:p>
      <w:r>
        <w:rPr>
          <w:b/>
        </w:rPr>
        <w:t>Even at 2.5× the veteran share, a VaLORS amendment adds about 7 participants at mid take-up.</w:t>
      </w:r>
      <w:r>
        <w:t xml:space="preserve"> That is the robust point. The amendment is small across every setting of the dial we are least sure about, because the binding constraint is eligibility and not veteran status.</w:t>
      </w:r>
    </w:p>
    <w:p>
      <w:pPr>
        <w:pStyle w:val="Heading2"/>
      </w:pPr>
      <w:r>
        <w:t>3.2 Where this annex is conservative, stated plainly</w:t>
      </w:r>
    </w:p>
    <w:p>
      <w:r>
        <w:t xml:space="preserve">Both screens ask who is eligible, or reachable, </w:t>
      </w:r>
      <w:r>
        <w:rPr>
          <w:b/>
        </w:rPr>
        <w:t>at 30 June 2025</w:t>
      </w:r>
      <w:r>
        <w:t>. The pilot would run four years. Members age and accrue service throughout. Rolling the published table forward on both axes gives the scale of what the static screens leave out.</w:t>
      </w:r>
    </w:p>
    <w:p>
      <w:r>
        <w:rPr>
          <w:b/>
          <w:sz w:val="20"/>
        </w:rPr>
        <w:t>Table 9 — roll-forward. Nothing leaves VaLORS in this view, so these are upper bounds on the dynamic effect, not projections.</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r>
              <w:rPr>
                <w:b/>
                <w:sz w:val="19"/>
              </w:rPr>
            </w:r>
            <w:r>
              <w:rPr>
                <w:b/>
                <w:sz w:val="19"/>
              </w:rPr>
              <w:t>View</w:t>
            </w:r>
          </w:p>
        </w:tc>
        <w:tc>
          <w:tcPr>
            <w:tcW w:type="dxa" w:w="1930"/>
          </w:tcPr>
          <w:p>
            <w:r>
              <w:rPr>
                <w:b/>
                <w:sz w:val="19"/>
              </w:rPr>
            </w:r>
            <w:r>
              <w:rPr>
                <w:b/>
                <w:sz w:val="19"/>
              </w:rPr>
              <w:t>Incentive pool</w:t>
            </w:r>
          </w:p>
        </w:tc>
        <w:tc>
          <w:tcPr>
            <w:tcW w:type="dxa" w:w="1930"/>
          </w:tcPr>
          <w:p>
            <w:r>
              <w:rPr>
                <w:b/>
                <w:sz w:val="19"/>
              </w:rPr>
            </w:r>
            <w:r>
              <w:rPr>
                <w:b/>
                <w:sz w:val="19"/>
              </w:rPr>
              <w:t>Bridge pool</w:t>
            </w:r>
          </w:p>
        </w:tc>
        <w:tc>
          <w:tcPr>
            <w:tcW w:type="dxa" w:w="1930"/>
          </w:tcPr>
          <w:p>
            <w:r>
              <w:rPr>
                <w:b/>
                <w:sz w:val="19"/>
              </w:rPr>
            </w:r>
            <w:r>
              <w:rPr>
                <w:b/>
                <w:sz w:val="19"/>
              </w:rPr>
              <w:t>Combined</w:t>
            </w:r>
          </w:p>
        </w:tc>
        <w:tc>
          <w:tcPr>
            <w:tcW w:type="dxa" w:w="1930"/>
          </w:tcPr>
          <w:p>
            <w:r>
              <w:rPr>
                <w:b/>
                <w:sz w:val="19"/>
              </w:rPr>
            </w:r>
            <w:r>
              <w:rPr>
                <w:b/>
                <w:sz w:val="19"/>
              </w:rPr>
              <w:t>Against the static screen</w:t>
            </w:r>
          </w:p>
        </w:tc>
      </w:tr>
      <w:tr>
        <w:tc>
          <w:tcPr>
            <w:tcW w:type="dxa" w:w="1930"/>
          </w:tcPr>
          <w:p>
            <w:r>
              <w:rPr>
                <w:sz w:val="19"/>
              </w:rPr>
            </w:r>
            <w:r>
              <w:rPr>
                <w:sz w:val="19"/>
              </w:rPr>
              <w:t>Static — 30 June 2025 (governs this annex)</w:t>
            </w:r>
          </w:p>
        </w:tc>
        <w:tc>
          <w:tcPr>
            <w:tcW w:type="dxa" w:w="1930"/>
          </w:tcPr>
          <w:p>
            <w:r>
              <w:rPr>
                <w:sz w:val="19"/>
              </w:rPr>
            </w:r>
            <w:r>
              <w:rPr>
                <w:sz w:val="19"/>
              </w:rPr>
              <w:t>433</w:t>
            </w:r>
          </w:p>
        </w:tc>
        <w:tc>
          <w:tcPr>
            <w:tcW w:type="dxa" w:w="1930"/>
          </w:tcPr>
          <w:p>
            <w:r>
              <w:rPr>
                <w:sz w:val="19"/>
              </w:rPr>
            </w:r>
            <w:r>
              <w:rPr>
                <w:sz w:val="19"/>
              </w:rPr>
              <w:t>150</w:t>
            </w:r>
          </w:p>
        </w:tc>
        <w:tc>
          <w:tcPr>
            <w:tcW w:type="dxa" w:w="1930"/>
          </w:tcPr>
          <w:p>
            <w:r>
              <w:rPr>
                <w:sz w:val="19"/>
              </w:rPr>
            </w:r>
            <w:r>
              <w:rPr>
                <w:sz w:val="19"/>
              </w:rPr>
              <w:t>583</w:t>
            </w:r>
          </w:p>
        </w:tc>
        <w:tc>
          <w:tcPr>
            <w:tcW w:type="dxa" w:w="1930"/>
          </w:tcPr>
          <w:p>
            <w:r>
              <w:rPr>
                <w:sz w:val="19"/>
              </w:rPr>
            </w:r>
            <w:r>
              <w:rPr>
                <w:sz w:val="19"/>
              </w:rPr>
              <w:t>—</w:t>
            </w:r>
          </w:p>
        </w:tc>
      </w:tr>
      <w:tr>
        <w:tc>
          <w:tcPr>
            <w:tcW w:type="dxa" w:w="1930"/>
          </w:tcPr>
          <w:p>
            <w:r>
              <w:rPr>
                <w:sz w:val="19"/>
              </w:rPr>
            </w:r>
            <w:r>
              <w:rPr>
                <w:sz w:val="19"/>
              </w:rPr>
              <w:t>+2 years — mid-pilot</w:t>
            </w:r>
          </w:p>
        </w:tc>
        <w:tc>
          <w:tcPr>
            <w:tcW w:type="dxa" w:w="1930"/>
          </w:tcPr>
          <w:p>
            <w:r>
              <w:rPr>
                <w:sz w:val="19"/>
              </w:rPr>
            </w:r>
            <w:r>
              <w:rPr>
                <w:sz w:val="19"/>
              </w:rPr>
              <w:t>533</w:t>
            </w:r>
          </w:p>
        </w:tc>
        <w:tc>
          <w:tcPr>
            <w:tcW w:type="dxa" w:w="1930"/>
          </w:tcPr>
          <w:p>
            <w:r>
              <w:rPr>
                <w:sz w:val="19"/>
              </w:rPr>
            </w:r>
            <w:r>
              <w:rPr>
                <w:sz w:val="19"/>
              </w:rPr>
              <w:t>168</w:t>
            </w:r>
          </w:p>
        </w:tc>
        <w:tc>
          <w:tcPr>
            <w:tcW w:type="dxa" w:w="1930"/>
          </w:tcPr>
          <w:p>
            <w:r>
              <w:rPr>
                <w:sz w:val="19"/>
              </w:rPr>
            </w:r>
            <w:r>
              <w:rPr>
                <w:sz w:val="19"/>
              </w:rPr>
              <w:t>701</w:t>
            </w:r>
          </w:p>
        </w:tc>
        <w:tc>
          <w:tcPr>
            <w:tcW w:type="dxa" w:w="1930"/>
          </w:tcPr>
          <w:p>
            <w:r>
              <w:rPr>
                <w:sz w:val="19"/>
              </w:rPr>
            </w:r>
            <w:r>
              <w:rPr>
                <w:sz w:val="19"/>
              </w:rPr>
              <w:t>+20%</w:t>
            </w:r>
          </w:p>
        </w:tc>
      </w:tr>
      <w:tr>
        <w:tc>
          <w:tcPr>
            <w:tcW w:type="dxa" w:w="1930"/>
          </w:tcPr>
          <w:p>
            <w:r>
              <w:rPr>
                <w:sz w:val="19"/>
              </w:rPr>
            </w:r>
            <w:r>
              <w:rPr>
                <w:sz w:val="19"/>
              </w:rPr>
              <w:t>+4 years — end of pilot</w:t>
            </w:r>
          </w:p>
        </w:tc>
        <w:tc>
          <w:tcPr>
            <w:tcW w:type="dxa" w:w="1930"/>
          </w:tcPr>
          <w:p>
            <w:r>
              <w:rPr>
                <w:sz w:val="19"/>
              </w:rPr>
            </w:r>
            <w:r>
              <w:rPr>
                <w:sz w:val="19"/>
              </w:rPr>
              <w:t>634</w:t>
            </w:r>
          </w:p>
        </w:tc>
        <w:tc>
          <w:tcPr>
            <w:tcW w:type="dxa" w:w="1930"/>
          </w:tcPr>
          <w:p>
            <w:r>
              <w:rPr>
                <w:sz w:val="19"/>
              </w:rPr>
            </w:r>
            <w:r>
              <w:rPr>
                <w:sz w:val="19"/>
              </w:rPr>
              <w:t>185</w:t>
            </w:r>
          </w:p>
        </w:tc>
        <w:tc>
          <w:tcPr>
            <w:tcW w:type="dxa" w:w="1930"/>
          </w:tcPr>
          <w:p>
            <w:r>
              <w:rPr>
                <w:sz w:val="19"/>
              </w:rPr>
            </w:r>
            <w:r>
              <w:rPr>
                <w:sz w:val="19"/>
              </w:rPr>
              <w:t>819</w:t>
            </w:r>
          </w:p>
        </w:tc>
        <w:tc>
          <w:tcPr>
            <w:tcW w:type="dxa" w:w="1930"/>
          </w:tcPr>
          <w:p>
            <w:r>
              <w:rPr>
                <w:sz w:val="19"/>
              </w:rPr>
            </w:r>
            <w:r>
              <w:rPr>
                <w:sz w:val="19"/>
              </w:rPr>
              <w:t>+41%</w:t>
            </w:r>
          </w:p>
        </w:tc>
      </w:tr>
    </w:tbl>
    <w:p/>
    <w:p>
      <w:r>
        <w:rPr>
          <w:b/>
        </w:rPr>
        <w:t>This conservatism applies to the State Employees model too, where it had not been stated.</w:t>
      </w:r>
      <w:r>
        <w:t xml:space="preserve"> Our published pools of 6,254 and 2,396 are also a 30 June 2025 snapshot. The direction of the error is known — we understate — and the size is of this order. It belongs in the fiscal note as a stated limitation rather than as something a reviewer finds. It is now carried in three places: </w:t>
      </w:r>
      <w:r>
        <w:rPr>
          <w:b/>
        </w:rPr>
        <w:t>§6.1 of V2-fiscal-model</w:t>
      </w:r>
      <w:r>
        <w:t xml:space="preserve">, added as amendment 1 of 12 October 2026; </w:t>
      </w:r>
      <w:r>
        <w:rPr>
          <w:b/>
        </w:rPr>
        <w:t>item 5 of the data request</w:t>
      </w:r>
      <w:r>
        <w:t>, which states it to VRS and asks for the counts projected to the pilot years; and open item 7 in §7 below.</w:t>
      </w:r>
    </w:p>
    <w:p>
      <w:pPr>
        <w:jc w:val="left"/>
      </w:pPr>
      <w:r>
        <w:rPr>
          <w:color w:val="BBBBBB"/>
        </w:rPr>
        <w:t>______________________________________________________________________________________</w:t>
      </w:r>
    </w:p>
    <w:p>
      <w:pPr>
        <w:pStyle w:val="Heading1"/>
      </w:pPr>
      <w:r>
        <w:t>4. The workforce ledger (G11 Ledger 2) — and the amortization trap is worse here</w:t>
      </w:r>
    </w:p>
    <w:p>
      <w:r>
        <w:t>Separate ledger, agency appropriations, never netted against the pension cost. Decision 6 of 12 October 2026 holds without exception and a VaLORS amendment does not reopen it.</w:t>
      </w:r>
    </w:p>
    <w:p>
      <w:r>
        <w:rPr>
          <w:b/>
          <w:sz w:val="20"/>
        </w:rPr>
        <w:t>Table 10 — the VaLORS employer rate, and which parts are a real saving when payroll falls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Component</w:t>
            </w:r>
          </w:p>
        </w:tc>
        <w:tc>
          <w:tcPr>
            <w:tcW w:type="dxa" w:w="2412"/>
          </w:tcPr>
          <w:p>
            <w:r>
              <w:rPr>
                <w:b/>
                <w:sz w:val="19"/>
              </w:rPr>
            </w:r>
            <w:r>
              <w:rPr>
                <w:b/>
                <w:sz w:val="19"/>
              </w:rPr>
              <w:t>VaLORS</w:t>
            </w:r>
          </w:p>
        </w:tc>
        <w:tc>
          <w:tcPr>
            <w:tcW w:type="dxa" w:w="2412"/>
          </w:tcPr>
          <w:p>
            <w:r>
              <w:rPr>
                <w:b/>
                <w:sz w:val="19"/>
              </w:rPr>
            </w:r>
            <w:r>
              <w:rPr>
                <w:b/>
                <w:sz w:val="19"/>
              </w:rPr>
              <w:t>State Employees</w:t>
            </w:r>
          </w:p>
        </w:tc>
        <w:tc>
          <w:tcPr>
            <w:tcW w:type="dxa" w:w="2412"/>
          </w:tcPr>
          <w:p>
            <w:r>
              <w:rPr>
                <w:b/>
                <w:sz w:val="19"/>
              </w:rPr>
            </w:r>
            <w:r>
              <w:rPr>
                <w:b/>
                <w:sz w:val="19"/>
              </w:rPr>
              <w:t>A saving when payroll falls?</w:t>
            </w:r>
          </w:p>
        </w:tc>
      </w:tr>
      <w:tr>
        <w:tc>
          <w:tcPr>
            <w:tcW w:type="dxa" w:w="2412"/>
          </w:tcPr>
          <w:p>
            <w:r>
              <w:rPr>
                <w:sz w:val="19"/>
              </w:rPr>
            </w:r>
            <w:r>
              <w:rPr>
                <w:sz w:val="19"/>
              </w:rPr>
              <w:t>Employer normal cost</w:t>
            </w:r>
          </w:p>
        </w:tc>
        <w:tc>
          <w:tcPr>
            <w:tcW w:type="dxa" w:w="2412"/>
          </w:tcPr>
          <w:p>
            <w:r>
              <w:rPr>
                <w:sz w:val="19"/>
              </w:rPr>
            </w:r>
            <w:r>
              <w:rPr>
                <w:sz w:val="19"/>
              </w:rPr>
              <w:t>9.30%</w:t>
            </w:r>
          </w:p>
        </w:tc>
        <w:tc>
          <w:tcPr>
            <w:tcW w:type="dxa" w:w="2412"/>
          </w:tcPr>
          <w:p>
            <w:r>
              <w:rPr>
                <w:sz w:val="19"/>
              </w:rPr>
            </w:r>
            <w:r>
              <w:rPr>
                <w:sz w:val="19"/>
              </w:rPr>
              <w:t>4.34%</w:t>
            </w:r>
          </w:p>
        </w:tc>
        <w:tc>
          <w:tcPr>
            <w:tcW w:type="dxa" w:w="2412"/>
          </w:tcPr>
          <w:p>
            <w:r>
              <w:rPr>
                <w:sz w:val="19"/>
              </w:rPr>
            </w:r>
            <w:r>
              <w:rPr>
                <w:sz w:val="19"/>
              </w:rPr>
              <w:t>Yes</w:t>
            </w:r>
          </w:p>
        </w:tc>
      </w:tr>
      <w:tr>
        <w:tc>
          <w:tcPr>
            <w:tcW w:type="dxa" w:w="2412"/>
          </w:tcPr>
          <w:p>
            <w:r>
              <w:rPr>
                <w:sz w:val="19"/>
              </w:rPr>
            </w:r>
            <w:r>
              <w:rPr>
                <w:sz w:val="19"/>
              </w:rPr>
              <w:t>Administrative expense</w:t>
            </w:r>
          </w:p>
        </w:tc>
        <w:tc>
          <w:tcPr>
            <w:tcW w:type="dxa" w:w="2412"/>
          </w:tcPr>
          <w:p>
            <w:r>
              <w:rPr>
                <w:sz w:val="19"/>
              </w:rPr>
            </w:r>
            <w:r>
              <w:rPr>
                <w:sz w:val="19"/>
              </w:rPr>
              <w:t>0.26%</w:t>
            </w:r>
          </w:p>
        </w:tc>
        <w:tc>
          <w:tcPr>
            <w:tcW w:type="dxa" w:w="2412"/>
          </w:tcPr>
          <w:p>
            <w:r>
              <w:rPr>
                <w:sz w:val="19"/>
              </w:rPr>
            </w:r>
            <w:r>
              <w:rPr>
                <w:sz w:val="19"/>
              </w:rPr>
              <w:t>0.24%</w:t>
            </w:r>
          </w:p>
        </w:tc>
        <w:tc>
          <w:tcPr>
            <w:tcW w:type="dxa" w:w="2412"/>
          </w:tcPr>
          <w:p>
            <w:r>
              <w:rPr>
                <w:sz w:val="19"/>
              </w:rPr>
            </w:r>
            <w:r>
              <w:rPr>
                <w:sz w:val="19"/>
              </w:rPr>
              <w:t>Yes</w:t>
            </w:r>
          </w:p>
        </w:tc>
      </w:tr>
      <w:tr>
        <w:tc>
          <w:tcPr>
            <w:tcW w:type="dxa" w:w="2412"/>
          </w:tcPr>
          <w:p>
            <w:r>
              <w:rPr>
                <w:sz w:val="19"/>
              </w:rPr>
            </w:r>
            <w:r>
              <w:rPr>
                <w:sz w:val="19"/>
              </w:rPr>
              <w:t>Amortization of unfunded liability</w:t>
            </w:r>
          </w:p>
        </w:tc>
        <w:tc>
          <w:tcPr>
            <w:tcW w:type="dxa" w:w="2412"/>
          </w:tcPr>
          <w:p>
            <w:r>
              <w:rPr>
                <w:sz w:val="19"/>
              </w:rPr>
            </w:r>
            <w:r>
              <w:rPr>
                <w:b/>
                <w:sz w:val="19"/>
              </w:rPr>
              <w:t>13.04%</w:t>
            </w:r>
          </w:p>
        </w:tc>
        <w:tc>
          <w:tcPr>
            <w:tcW w:type="dxa" w:w="2412"/>
          </w:tcPr>
          <w:p>
            <w:r>
              <w:rPr>
                <w:sz w:val="19"/>
              </w:rPr>
            </w:r>
            <w:r>
              <w:rPr>
                <w:sz w:val="19"/>
              </w:rPr>
              <w:t>6.49%</w:t>
            </w:r>
          </w:p>
        </w:tc>
        <w:tc>
          <w:tcPr>
            <w:tcW w:type="dxa" w:w="2412"/>
          </w:tcPr>
          <w:p>
            <w:r>
              <w:rPr>
                <w:sz w:val="19"/>
              </w:rPr>
            </w:r>
            <w:r>
              <w:rPr>
                <w:b/>
                <w:sz w:val="19"/>
              </w:rPr>
              <w:t>No</w:t>
            </w:r>
            <w:r>
              <w:rPr>
                <w:sz w:val="19"/>
              </w:rPr>
              <w:t xml:space="preserve"> — see below</w:t>
            </w:r>
          </w:p>
        </w:tc>
      </w:tr>
      <w:tr>
        <w:tc>
          <w:tcPr>
            <w:tcW w:type="dxa" w:w="2412"/>
          </w:tcPr>
          <w:p>
            <w:r>
              <w:rPr>
                <w:sz w:val="19"/>
              </w:rPr>
            </w:r>
            <w:r>
              <w:rPr>
                <w:sz w:val="19"/>
              </w:rPr>
              <w:t>Employer DB contribution rate</w:t>
            </w:r>
          </w:p>
        </w:tc>
        <w:tc>
          <w:tcPr>
            <w:tcW w:type="dxa" w:w="2412"/>
          </w:tcPr>
          <w:p>
            <w:r>
              <w:rPr>
                <w:sz w:val="19"/>
              </w:rPr>
            </w:r>
            <w:r>
              <w:rPr>
                <w:sz w:val="19"/>
              </w:rPr>
              <w:t>22.60%</w:t>
            </w:r>
          </w:p>
        </w:tc>
        <w:tc>
          <w:tcPr>
            <w:tcW w:type="dxa" w:w="2412"/>
          </w:tcPr>
          <w:p>
            <w:r>
              <w:rPr>
                <w:sz w:val="19"/>
              </w:rPr>
            </w:r>
            <w:r>
              <w:rPr>
                <w:sz w:val="19"/>
              </w:rPr>
              <w:t>11.07%</w:t>
            </w:r>
          </w:p>
        </w:tc>
        <w:tc>
          <w:tcPr>
            <w:tcW w:type="dxa" w:w="2412"/>
          </w:tcPr>
          <w:p>
            <w:r>
              <w:rPr>
                <w:sz w:val="19"/>
              </w:rPr>
            </w:r>
          </w:p>
        </w:tc>
      </w:tr>
      <w:tr>
        <w:tc>
          <w:tcPr>
            <w:tcW w:type="dxa" w:w="2412"/>
          </w:tcPr>
          <w:p>
            <w:r>
              <w:rPr>
                <w:sz w:val="19"/>
              </w:rPr>
            </w:r>
            <w:r>
              <w:rPr>
                <w:sz w:val="19"/>
              </w:rPr>
              <w:t>FICA</w:t>
            </w:r>
          </w:p>
        </w:tc>
        <w:tc>
          <w:tcPr>
            <w:tcW w:type="dxa" w:w="2412"/>
          </w:tcPr>
          <w:p>
            <w:r>
              <w:rPr>
                <w:sz w:val="19"/>
              </w:rPr>
            </w:r>
            <w:r>
              <w:rPr>
                <w:sz w:val="19"/>
              </w:rPr>
              <w:t>7.65%</w:t>
            </w:r>
          </w:p>
        </w:tc>
        <w:tc>
          <w:tcPr>
            <w:tcW w:type="dxa" w:w="2412"/>
          </w:tcPr>
          <w:p>
            <w:r>
              <w:rPr>
                <w:sz w:val="19"/>
              </w:rPr>
            </w:r>
            <w:r>
              <w:rPr>
                <w:sz w:val="19"/>
              </w:rPr>
              <w:t>7.65%</w:t>
            </w:r>
          </w:p>
        </w:tc>
        <w:tc>
          <w:tcPr>
            <w:tcW w:type="dxa" w:w="2412"/>
          </w:tcPr>
          <w:p>
            <w:r>
              <w:rPr>
                <w:sz w:val="19"/>
              </w:rPr>
            </w:r>
            <w:r>
              <w:rPr>
                <w:sz w:val="19"/>
              </w:rPr>
              <w:t>Yes</w:t>
            </w:r>
          </w:p>
        </w:tc>
      </w:tr>
      <w:tr>
        <w:tc>
          <w:tcPr>
            <w:tcW w:type="dxa" w:w="2412"/>
          </w:tcPr>
          <w:p>
            <w:r>
              <w:rPr>
                <w:sz w:val="19"/>
              </w:rPr>
            </w:r>
            <w:r>
              <w:rPr>
                <w:sz w:val="19"/>
              </w:rPr>
              <w:t>Honest scalable multiplier</w:t>
            </w:r>
          </w:p>
        </w:tc>
        <w:tc>
          <w:tcPr>
            <w:tcW w:type="dxa" w:w="2412"/>
          </w:tcPr>
          <w:p>
            <w:r>
              <w:rPr>
                <w:sz w:val="19"/>
              </w:rPr>
            </w:r>
            <w:r>
              <w:rPr>
                <w:b/>
                <w:sz w:val="19"/>
              </w:rPr>
              <w:t>1.1721</w:t>
            </w:r>
          </w:p>
        </w:tc>
        <w:tc>
          <w:tcPr>
            <w:tcW w:type="dxa" w:w="2412"/>
          </w:tcPr>
          <w:p>
            <w:r>
              <w:rPr>
                <w:sz w:val="19"/>
              </w:rPr>
            </w:r>
            <w:r>
              <w:rPr>
                <w:sz w:val="19"/>
              </w:rPr>
              <w:t>1.1223</w:t>
            </w:r>
          </w:p>
        </w:tc>
        <w:tc>
          <w:tcPr>
            <w:tcW w:type="dxa" w:w="2412"/>
          </w:tcPr>
          <w:p>
            <w:r>
              <w:rPr>
                <w:sz w:val="19"/>
              </w:rPr>
            </w:r>
          </w:p>
        </w:tc>
      </w:tr>
    </w:tbl>
    <w:p/>
    <w:p>
      <w:r>
        <w:rPr>
          <w:b/>
        </w:rPr>
        <w:t>For VaLORS, 13.04 of the 22.60 points — 58% of the employer rate — is amortization of a fixed $717.570 million unfunded liability, and none of it is a saving.</w:t>
      </w:r>
      <w:r>
        <w:t xml:space="preserve"> Cutting VaLORS payroll does not reduce that liability by a cent; it reduces the dollars collected against it and the rate must rise later. The trap is the same one the State Employees ledger carries, and it is twice as large as a share of the rate. Anyone presenting 22.60% as avoided employer cost would be booking a timing cost as a saving.</w:t>
      </w:r>
    </w:p>
    <w:p>
      <w:r>
        <w:rPr>
          <w:b/>
          <w:sz w:val="20"/>
        </w:rPr>
        <w:t>Table 11 — VaLORS agency payroll saving, annual run-rate at mid take-up (2.8 retirements, blended salary $63,776)</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Positions not refilled</w:t>
            </w:r>
          </w:p>
        </w:tc>
        <w:tc>
          <w:tcPr>
            <w:tcW w:type="dxa" w:w="2412"/>
          </w:tcPr>
          <w:p>
            <w:r>
              <w:rPr>
                <w:b/>
                <w:sz w:val="19"/>
              </w:rPr>
            </w:r>
            <w:r>
              <w:rPr>
                <w:b/>
                <w:sz w:val="19"/>
              </w:rPr>
              <w:t>Replacement at 80%</w:t>
            </w:r>
          </w:p>
        </w:tc>
        <w:tc>
          <w:tcPr>
            <w:tcW w:type="dxa" w:w="2412"/>
          </w:tcPr>
          <w:p>
            <w:r>
              <w:rPr>
                <w:b/>
                <w:sz w:val="19"/>
              </w:rPr>
            </w:r>
            <w:r>
              <w:rPr>
                <w:b/>
                <w:sz w:val="19"/>
              </w:rPr>
              <w:t>at 85%</w:t>
            </w:r>
          </w:p>
        </w:tc>
        <w:tc>
          <w:tcPr>
            <w:tcW w:type="dxa" w:w="2412"/>
          </w:tcPr>
          <w:p>
            <w:r>
              <w:rPr>
                <w:b/>
                <w:sz w:val="19"/>
              </w:rPr>
            </w:r>
            <w:r>
              <w:rPr>
                <w:b/>
                <w:sz w:val="19"/>
              </w:rPr>
              <w:t>at 90%</w:t>
            </w:r>
          </w:p>
        </w:tc>
      </w:tr>
      <w:tr>
        <w:tc>
          <w:tcPr>
            <w:tcW w:type="dxa" w:w="2412"/>
          </w:tcPr>
          <w:p>
            <w:r>
              <w:rPr>
                <w:sz w:val="19"/>
              </w:rPr>
            </w:r>
            <w:r>
              <w:rPr>
                <w:sz w:val="19"/>
              </w:rPr>
              <w:t>1%</w:t>
            </w:r>
          </w:p>
        </w:tc>
        <w:tc>
          <w:tcPr>
            <w:tcW w:type="dxa" w:w="2412"/>
          </w:tcPr>
          <w:p>
            <w:r>
              <w:rPr>
                <w:sz w:val="19"/>
              </w:rPr>
            </w:r>
            <w:r>
              <w:rPr>
                <w:sz w:val="19"/>
              </w:rPr>
              <w:t>$43,481</w:t>
            </w:r>
          </w:p>
        </w:tc>
        <w:tc>
          <w:tcPr>
            <w:tcW w:type="dxa" w:w="2412"/>
          </w:tcPr>
          <w:p>
            <w:r>
              <w:rPr>
                <w:sz w:val="19"/>
              </w:rPr>
            </w:r>
            <w:r>
              <w:rPr>
                <w:sz w:val="19"/>
              </w:rPr>
              <w:t>$33,133</w:t>
            </w:r>
          </w:p>
        </w:tc>
        <w:tc>
          <w:tcPr>
            <w:tcW w:type="dxa" w:w="2412"/>
          </w:tcPr>
          <w:p>
            <w:r>
              <w:rPr>
                <w:sz w:val="19"/>
              </w:rPr>
            </w:r>
            <w:r>
              <w:rPr>
                <w:sz w:val="19"/>
              </w:rPr>
              <w:t>$22,786</w:t>
            </w:r>
          </w:p>
        </w:tc>
      </w:tr>
      <w:tr>
        <w:tc>
          <w:tcPr>
            <w:tcW w:type="dxa" w:w="2412"/>
          </w:tcPr>
          <w:p>
            <w:r>
              <w:rPr>
                <w:sz w:val="19"/>
              </w:rPr>
            </w:r>
            <w:r>
              <w:rPr>
                <w:sz w:val="19"/>
              </w:rPr>
              <w:t>3%</w:t>
            </w:r>
          </w:p>
        </w:tc>
        <w:tc>
          <w:tcPr>
            <w:tcW w:type="dxa" w:w="2412"/>
          </w:tcPr>
          <w:p>
            <w:r>
              <w:rPr>
                <w:sz w:val="19"/>
              </w:rPr>
            </w:r>
            <w:r>
              <w:rPr>
                <w:sz w:val="19"/>
              </w:rPr>
              <w:t>$46,826</w:t>
            </w:r>
          </w:p>
        </w:tc>
        <w:tc>
          <w:tcPr>
            <w:tcW w:type="dxa" w:w="2412"/>
          </w:tcPr>
          <w:p>
            <w:r>
              <w:rPr>
                <w:sz w:val="19"/>
              </w:rPr>
            </w:r>
            <w:r>
              <w:rPr>
                <w:sz w:val="19"/>
              </w:rPr>
              <w:t>$36,687</w:t>
            </w:r>
          </w:p>
        </w:tc>
        <w:tc>
          <w:tcPr>
            <w:tcW w:type="dxa" w:w="2412"/>
          </w:tcPr>
          <w:p>
            <w:r>
              <w:rPr>
                <w:sz w:val="19"/>
              </w:rPr>
            </w:r>
            <w:r>
              <w:rPr>
                <w:sz w:val="19"/>
              </w:rPr>
              <w:t>$26,549</w:t>
            </w:r>
          </w:p>
        </w:tc>
      </w:tr>
      <w:tr>
        <w:tc>
          <w:tcPr>
            <w:tcW w:type="dxa" w:w="2412"/>
          </w:tcPr>
          <w:p>
            <w:r>
              <w:rPr>
                <w:sz w:val="19"/>
              </w:rPr>
            </w:r>
            <w:r>
              <w:rPr>
                <w:sz w:val="19"/>
              </w:rPr>
              <w:t>5%</w:t>
            </w:r>
          </w:p>
        </w:tc>
        <w:tc>
          <w:tcPr>
            <w:tcW w:type="dxa" w:w="2412"/>
          </w:tcPr>
          <w:p>
            <w:r>
              <w:rPr>
                <w:sz w:val="19"/>
              </w:rPr>
            </w:r>
            <w:r>
              <w:rPr>
                <w:sz w:val="19"/>
              </w:rPr>
              <w:t>$50,170</w:t>
            </w:r>
          </w:p>
        </w:tc>
        <w:tc>
          <w:tcPr>
            <w:tcW w:type="dxa" w:w="2412"/>
          </w:tcPr>
          <w:p>
            <w:r>
              <w:rPr>
                <w:sz w:val="19"/>
              </w:rPr>
            </w:r>
            <w:r>
              <w:rPr>
                <w:sz w:val="19"/>
              </w:rPr>
              <w:t>$40,241</w:t>
            </w:r>
          </w:p>
        </w:tc>
        <w:tc>
          <w:tcPr>
            <w:tcW w:type="dxa" w:w="2412"/>
          </w:tcPr>
          <w:p>
            <w:r>
              <w:rPr>
                <w:sz w:val="19"/>
              </w:rPr>
            </w:r>
            <w:r>
              <w:rPr>
                <w:sz w:val="19"/>
              </w:rPr>
              <w:t>$30,311</w:t>
            </w:r>
          </w:p>
        </w:tc>
      </w:tr>
    </w:tbl>
    <w:p/>
    <w:p>
      <w:r>
        <w:rPr>
          <w:b/>
          <w:sz w:val="20"/>
        </w:rPr>
        <w:t>Table 12 — where the mid-cell saving comes from (85% replacement, 3% not refilled)</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r>
              <w:rPr>
                <w:b/>
                <w:sz w:val="19"/>
              </w:rPr>
              <w:t>Source</w:t>
            </w:r>
          </w:p>
        </w:tc>
        <w:tc>
          <w:tcPr>
            <w:tcW w:type="dxa" w:w="3216"/>
          </w:tcPr>
          <w:p>
            <w:r>
              <w:rPr>
                <w:b/>
                <w:sz w:val="19"/>
              </w:rPr>
            </w:r>
            <w:r>
              <w:rPr>
                <w:b/>
                <w:sz w:val="19"/>
              </w:rPr>
              <w:t>Annual</w:t>
            </w:r>
          </w:p>
        </w:tc>
        <w:tc>
          <w:tcPr>
            <w:tcW w:type="dxa" w:w="3216"/>
          </w:tcPr>
          <w:p>
            <w:r>
              <w:rPr>
                <w:b/>
                <w:sz w:val="19"/>
              </w:rPr>
            </w:r>
            <w:r>
              <w:rPr>
                <w:b/>
                <w:sz w:val="19"/>
              </w:rPr>
              <w:t>Share</w:t>
            </w:r>
          </w:p>
        </w:tc>
      </w:tr>
      <w:tr>
        <w:tc>
          <w:tcPr>
            <w:tcW w:type="dxa" w:w="3216"/>
          </w:tcPr>
          <w:p>
            <w:r>
              <w:rPr>
                <w:sz w:val="19"/>
              </w:rPr>
            </w:r>
            <w:r>
              <w:rPr>
                <w:sz w:val="19"/>
              </w:rPr>
              <w:t>Salary compression on replacement</w:t>
            </w:r>
          </w:p>
        </w:tc>
        <w:tc>
          <w:tcPr>
            <w:tcW w:type="dxa" w:w="3216"/>
          </w:tcPr>
          <w:p>
            <w:r>
              <w:rPr>
                <w:sz w:val="19"/>
              </w:rPr>
            </w:r>
            <w:r>
              <w:rPr>
                <w:sz w:val="19"/>
              </w:rPr>
              <w:t>$30,416</w:t>
            </w:r>
          </w:p>
        </w:tc>
        <w:tc>
          <w:tcPr>
            <w:tcW w:type="dxa" w:w="3216"/>
          </w:tcPr>
          <w:p>
            <w:r>
              <w:rPr>
                <w:sz w:val="19"/>
              </w:rPr>
            </w:r>
            <w:r>
              <w:rPr>
                <w:sz w:val="19"/>
              </w:rPr>
              <w:t>82.9%</w:t>
            </w:r>
          </w:p>
        </w:tc>
      </w:tr>
      <w:tr>
        <w:tc>
          <w:tcPr>
            <w:tcW w:type="dxa" w:w="3216"/>
          </w:tcPr>
          <w:p>
            <w:r>
              <w:rPr>
                <w:sz w:val="19"/>
              </w:rPr>
            </w:r>
            <w:r>
              <w:rPr>
                <w:sz w:val="19"/>
              </w:rPr>
              <w:t>Positions not refilled</w:t>
            </w:r>
          </w:p>
        </w:tc>
        <w:tc>
          <w:tcPr>
            <w:tcW w:type="dxa" w:w="3216"/>
          </w:tcPr>
          <w:p>
            <w:r>
              <w:rPr>
                <w:sz w:val="19"/>
              </w:rPr>
            </w:r>
            <w:r>
              <w:rPr>
                <w:sz w:val="19"/>
              </w:rPr>
              <w:t>$6,271</w:t>
            </w:r>
          </w:p>
        </w:tc>
        <w:tc>
          <w:tcPr>
            <w:tcW w:type="dxa" w:w="3216"/>
          </w:tcPr>
          <w:p>
            <w:r>
              <w:rPr>
                <w:sz w:val="19"/>
              </w:rPr>
            </w:r>
            <w:r>
              <w:rPr>
                <w:sz w:val="19"/>
              </w:rPr>
              <w:t>17.1%</w:t>
            </w:r>
          </w:p>
        </w:tc>
      </w:tr>
      <w:tr>
        <w:tc>
          <w:tcPr>
            <w:tcW w:type="dxa" w:w="3216"/>
          </w:tcPr>
          <w:p>
            <w:r>
              <w:rPr>
                <w:sz w:val="19"/>
              </w:rPr>
            </w:r>
            <w:r>
              <w:rPr>
                <w:sz w:val="19"/>
              </w:rPr>
              <w:t>Total</w:t>
            </w:r>
          </w:p>
        </w:tc>
        <w:tc>
          <w:tcPr>
            <w:tcW w:type="dxa" w:w="3216"/>
          </w:tcPr>
          <w:p>
            <w:r>
              <w:rPr>
                <w:sz w:val="19"/>
              </w:rPr>
            </w:r>
            <w:r>
              <w:rPr>
                <w:b/>
                <w:sz w:val="19"/>
              </w:rPr>
              <w:t>$36,687</w:t>
            </w:r>
          </w:p>
        </w:tc>
        <w:tc>
          <w:tcPr>
            <w:tcW w:type="dxa" w:w="3216"/>
          </w:tcPr>
          <w:p>
            <w:r>
              <w:rPr>
                <w:sz w:val="19"/>
              </w:rPr>
            </w:r>
          </w:p>
        </w:tc>
      </w:tr>
      <w:tr>
        <w:tc>
          <w:tcPr>
            <w:tcW w:type="dxa" w:w="3216"/>
          </w:tcPr>
          <w:p>
            <w:r>
              <w:rPr>
                <w:sz w:val="19"/>
              </w:rPr>
            </w:r>
            <w:r>
              <w:rPr>
                <w:sz w:val="19"/>
              </w:rPr>
              <w:t>Memo — amortization dollars no longer collected. A timing cost, not a saving.</w:t>
            </w:r>
          </w:p>
        </w:tc>
        <w:tc>
          <w:tcPr>
            <w:tcW w:type="dxa" w:w="3216"/>
          </w:tcPr>
          <w:p>
            <w:r>
              <w:rPr>
                <w:sz w:val="19"/>
              </w:rPr>
            </w:r>
            <w:r>
              <w:rPr>
                <w:sz w:val="19"/>
              </w:rPr>
              <w:t>$4,082</w:t>
            </w:r>
          </w:p>
        </w:tc>
        <w:tc>
          <w:tcPr>
            <w:tcW w:type="dxa" w:w="3216"/>
          </w:tcPr>
          <w:p>
            <w:r>
              <w:rPr>
                <w:sz w:val="19"/>
              </w:rPr>
            </w:r>
          </w:p>
        </w:tc>
      </w:tr>
    </w:tbl>
    <w:p/>
    <w:p>
      <w:r>
        <w:t xml:space="preserve">Not modelled, and the same gaps as the main ledger: state health insurance per head, leave payout at separation, vacancy and training cost during transition. For VaLORS there is a further one that matters more than it does elsewhere — </w:t>
      </w:r>
      <w:r>
        <w:rPr>
          <w:b/>
        </w:rPr>
        <w:t>a corrections or law-enforcement post that is not refilled may not be a saving at all</w:t>
      </w:r>
      <w:r>
        <w:t xml:space="preserve"> if it is backfilled with overtime. We hold no figure for that and it would cut against us. It belongs in the note.</w:t>
      </w:r>
    </w:p>
    <w:p>
      <w:pPr>
        <w:jc w:val="left"/>
      </w:pPr>
      <w:r>
        <w:rPr>
          <w:color w:val="BBBBBB"/>
        </w:rPr>
        <w:t>______________________________________________________________________________________</w:t>
      </w:r>
    </w:p>
    <w:p>
      <w:pPr>
        <w:pStyle w:val="Heading1"/>
      </w:pPr>
      <w:r>
        <w:t>5. State Police (SPORS) — the amendment that usually travels with it</w:t>
      </w:r>
    </w:p>
    <w:p>
      <w:r>
        <w:t>Scored here for the same reason, at the same settings. SPORS shares the VaLORS eligibility rules — age 60 with five years or age 50 with 25 years — and the same hazardous-duty approximate-normal-cost rates. It is a much smaller plan with much higher salaries, and those two facts almost cancel in the dollars.</w:t>
      </w:r>
    </w:p>
    <w:p>
      <w:r>
        <w:rPr>
          <w:b/>
          <w:sz w:val="20"/>
        </w:rPr>
        <w:t>Table 13 — SPORS pre-score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r>
              <w:rPr>
                <w:b/>
                <w:sz w:val="19"/>
              </w:rPr>
            </w:r>
          </w:p>
        </w:tc>
        <w:tc>
          <w:tcPr>
            <w:tcW w:type="dxa" w:w="3216"/>
          </w:tcPr>
          <w:p>
            <w:r>
              <w:rPr>
                <w:b/>
                <w:sz w:val="19"/>
              </w:rPr>
            </w:r>
            <w:r>
              <w:rPr>
                <w:b/>
                <w:sz w:val="19"/>
              </w:rPr>
              <w:t>SPORS</w:t>
            </w:r>
          </w:p>
        </w:tc>
        <w:tc>
          <w:tcPr>
            <w:tcW w:type="dxa" w:w="3216"/>
          </w:tcPr>
          <w:p>
            <w:r>
              <w:rPr>
                <w:b/>
                <w:sz w:val="19"/>
              </w:rPr>
            </w:r>
            <w:r>
              <w:rPr>
                <w:b/>
                <w:sz w:val="19"/>
              </w:rPr>
              <w:t>VaLORS</w:t>
            </w:r>
          </w:p>
        </w:tc>
      </w:tr>
      <w:tr>
        <w:tc>
          <w:tcPr>
            <w:tcW w:type="dxa" w:w="3216"/>
          </w:tcPr>
          <w:p>
            <w:r>
              <w:rPr>
                <w:sz w:val="19"/>
              </w:rPr>
            </w:r>
            <w:r>
              <w:rPr>
                <w:sz w:val="19"/>
              </w:rPr>
              <w:t>Active members</w:t>
            </w:r>
          </w:p>
        </w:tc>
        <w:tc>
          <w:tcPr>
            <w:tcW w:type="dxa" w:w="3216"/>
          </w:tcPr>
          <w:p>
            <w:r>
              <w:rPr>
                <w:sz w:val="19"/>
              </w:rPr>
            </w:r>
            <w:r>
              <w:rPr>
                <w:sz w:val="19"/>
              </w:rPr>
              <w:t>1,902</w:t>
            </w:r>
          </w:p>
        </w:tc>
        <w:tc>
          <w:tcPr>
            <w:tcW w:type="dxa" w:w="3216"/>
          </w:tcPr>
          <w:p>
            <w:r>
              <w:rPr>
                <w:sz w:val="19"/>
              </w:rPr>
            </w:r>
            <w:r>
              <w:rPr>
                <w:sz w:val="19"/>
              </w:rPr>
              <w:t>7,459</w:t>
            </w:r>
          </w:p>
        </w:tc>
      </w:tr>
      <w:tr>
        <w:tc>
          <w:tcPr>
            <w:tcW w:type="dxa" w:w="3216"/>
          </w:tcPr>
          <w:p>
            <w:r>
              <w:rPr>
                <w:sz w:val="19"/>
              </w:rPr>
            </w:r>
            <w:r>
              <w:rPr>
                <w:sz w:val="19"/>
              </w:rPr>
              <w:t>Average compensation</w:t>
            </w:r>
          </w:p>
        </w:tc>
        <w:tc>
          <w:tcPr>
            <w:tcW w:type="dxa" w:w="3216"/>
          </w:tcPr>
          <w:p>
            <w:r>
              <w:rPr>
                <w:sz w:val="19"/>
              </w:rPr>
            </w:r>
            <w:r>
              <w:rPr>
                <w:sz w:val="19"/>
              </w:rPr>
              <w:t>$96,071</w:t>
            </w:r>
          </w:p>
        </w:tc>
        <w:tc>
          <w:tcPr>
            <w:tcW w:type="dxa" w:w="3216"/>
          </w:tcPr>
          <w:p>
            <w:r>
              <w:rPr>
                <w:sz w:val="19"/>
              </w:rPr>
            </w:r>
            <w:r>
              <w:rPr>
                <w:sz w:val="19"/>
              </w:rPr>
              <w:t>$58,011</w:t>
            </w:r>
          </w:p>
        </w:tc>
      </w:tr>
      <w:tr>
        <w:tc>
          <w:tcPr>
            <w:tcW w:type="dxa" w:w="3216"/>
          </w:tcPr>
          <w:p>
            <w:r>
              <w:rPr>
                <w:sz w:val="19"/>
              </w:rPr>
            </w:r>
            <w:r>
              <w:rPr>
                <w:sz w:val="19"/>
              </w:rPr>
              <w:t>Incentive pool</w:t>
            </w:r>
          </w:p>
        </w:tc>
        <w:tc>
          <w:tcPr>
            <w:tcW w:type="dxa" w:w="3216"/>
          </w:tcPr>
          <w:p>
            <w:r>
              <w:rPr>
                <w:sz w:val="19"/>
              </w:rPr>
            </w:r>
            <w:r>
              <w:rPr>
                <w:sz w:val="19"/>
              </w:rPr>
              <w:t>268</w:t>
            </w:r>
          </w:p>
        </w:tc>
        <w:tc>
          <w:tcPr>
            <w:tcW w:type="dxa" w:w="3216"/>
          </w:tcPr>
          <w:p>
            <w:r>
              <w:rPr>
                <w:sz w:val="19"/>
              </w:rPr>
            </w:r>
            <w:r>
              <w:rPr>
                <w:sz w:val="19"/>
              </w:rPr>
              <w:t>433</w:t>
            </w:r>
          </w:p>
        </w:tc>
      </w:tr>
      <w:tr>
        <w:tc>
          <w:tcPr>
            <w:tcW w:type="dxa" w:w="3216"/>
          </w:tcPr>
          <w:p>
            <w:r>
              <w:rPr>
                <w:sz w:val="19"/>
              </w:rPr>
            </w:r>
            <w:r>
              <w:rPr>
                <w:sz w:val="19"/>
              </w:rPr>
              <w:t>Bridge pool (strict screen)</w:t>
            </w:r>
          </w:p>
        </w:tc>
        <w:tc>
          <w:tcPr>
            <w:tcW w:type="dxa" w:w="3216"/>
          </w:tcPr>
          <w:p>
            <w:r>
              <w:rPr>
                <w:sz w:val="19"/>
              </w:rPr>
            </w:r>
            <w:r>
              <w:rPr>
                <w:sz w:val="19"/>
              </w:rPr>
              <w:t>60</w:t>
            </w:r>
          </w:p>
        </w:tc>
        <w:tc>
          <w:tcPr>
            <w:tcW w:type="dxa" w:w="3216"/>
          </w:tcPr>
          <w:p>
            <w:r>
              <w:rPr>
                <w:sz w:val="19"/>
              </w:rPr>
            </w:r>
            <w:r>
              <w:rPr>
                <w:sz w:val="19"/>
              </w:rPr>
              <w:t>150</w:t>
            </w:r>
          </w:p>
        </w:tc>
      </w:tr>
      <w:tr>
        <w:tc>
          <w:tcPr>
            <w:tcW w:type="dxa" w:w="3216"/>
          </w:tcPr>
          <w:p>
            <w:r>
              <w:rPr>
                <w:sz w:val="19"/>
              </w:rPr>
            </w:r>
            <w:r>
              <w:rPr>
                <w:sz w:val="19"/>
              </w:rPr>
              <w:t>Pathway-eligible share of the plan</w:t>
            </w:r>
          </w:p>
        </w:tc>
        <w:tc>
          <w:tcPr>
            <w:tcW w:type="dxa" w:w="3216"/>
          </w:tcPr>
          <w:p>
            <w:r>
              <w:rPr>
                <w:sz w:val="19"/>
              </w:rPr>
            </w:r>
            <w:r>
              <w:rPr>
                <w:sz w:val="19"/>
              </w:rPr>
              <w:t>17.2%</w:t>
            </w:r>
          </w:p>
        </w:tc>
        <w:tc>
          <w:tcPr>
            <w:tcW w:type="dxa" w:w="3216"/>
          </w:tcPr>
          <w:p>
            <w:r>
              <w:rPr>
                <w:sz w:val="19"/>
              </w:rPr>
            </w:r>
            <w:r>
              <w:rPr>
                <w:sz w:val="19"/>
              </w:rPr>
              <w:t>7.8%</w:t>
            </w:r>
          </w:p>
        </w:tc>
      </w:tr>
      <w:tr>
        <w:tc>
          <w:tcPr>
            <w:tcW w:type="dxa" w:w="3216"/>
          </w:tcPr>
          <w:p>
            <w:r>
              <w:rPr>
                <w:sz w:val="19"/>
              </w:rPr>
            </w:r>
            <w:r>
              <w:rPr>
                <w:sz w:val="19"/>
              </w:rPr>
              <w:t>Member pays — Incentive, per participant</w:t>
            </w:r>
          </w:p>
        </w:tc>
        <w:tc>
          <w:tcPr>
            <w:tcW w:type="dxa" w:w="3216"/>
          </w:tcPr>
          <w:p>
            <w:r>
              <w:rPr>
                <w:sz w:val="19"/>
              </w:rPr>
            </w:r>
            <w:r>
              <w:rPr>
                <w:sz w:val="19"/>
              </w:rPr>
              <w:t>$29,713</w:t>
            </w:r>
          </w:p>
        </w:tc>
        <w:tc>
          <w:tcPr>
            <w:tcW w:type="dxa" w:w="3216"/>
          </w:tcPr>
          <w:p>
            <w:r>
              <w:rPr>
                <w:sz w:val="19"/>
              </w:rPr>
            </w:r>
            <w:r>
              <w:rPr>
                <w:sz w:val="19"/>
              </w:rPr>
              <w:t>$14,372</w:t>
            </w:r>
          </w:p>
        </w:tc>
      </w:tr>
      <w:tr>
        <w:tc>
          <w:tcPr>
            <w:tcW w:type="dxa" w:w="3216"/>
          </w:tcPr>
          <w:p>
            <w:r>
              <w:rPr>
                <w:sz w:val="19"/>
              </w:rPr>
            </w:r>
            <w:r>
              <w:rPr>
                <w:sz w:val="19"/>
              </w:rPr>
              <w:t>Member pays — Bridge, per participant</w:t>
            </w:r>
          </w:p>
        </w:tc>
        <w:tc>
          <w:tcPr>
            <w:tcW w:type="dxa" w:w="3216"/>
          </w:tcPr>
          <w:p>
            <w:r>
              <w:rPr>
                <w:sz w:val="19"/>
              </w:rPr>
            </w:r>
            <w:r>
              <w:rPr>
                <w:sz w:val="19"/>
              </w:rPr>
              <w:t>$58,544</w:t>
            </w:r>
          </w:p>
        </w:tc>
        <w:tc>
          <w:tcPr>
            <w:tcW w:type="dxa" w:w="3216"/>
          </w:tcPr>
          <w:p>
            <w:r>
              <w:rPr>
                <w:sz w:val="19"/>
              </w:rPr>
            </w:r>
            <w:r>
              <w:rPr>
                <w:sz w:val="19"/>
              </w:rPr>
              <w:t>$30,436</w:t>
            </w:r>
          </w:p>
        </w:tc>
      </w:tr>
      <w:tr>
        <w:tc>
          <w:tcPr>
            <w:tcW w:type="dxa" w:w="3216"/>
          </w:tcPr>
          <w:p>
            <w:r>
              <w:rPr>
                <w:sz w:val="19"/>
              </w:rPr>
            </w:r>
            <w:r>
              <w:rPr>
                <w:sz w:val="19"/>
              </w:rPr>
              <w:t>Participants, mid take-up</w:t>
            </w:r>
          </w:p>
        </w:tc>
        <w:tc>
          <w:tcPr>
            <w:tcW w:type="dxa" w:w="3216"/>
          </w:tcPr>
          <w:p>
            <w:r>
              <w:rPr>
                <w:sz w:val="19"/>
              </w:rPr>
            </w:r>
            <w:r>
              <w:rPr>
                <w:sz w:val="19"/>
              </w:rPr>
              <w:t>1.6</w:t>
            </w:r>
          </w:p>
        </w:tc>
        <w:tc>
          <w:tcPr>
            <w:tcW w:type="dxa" w:w="3216"/>
          </w:tcPr>
          <w:p>
            <w:r>
              <w:rPr>
                <w:sz w:val="19"/>
              </w:rPr>
            </w:r>
            <w:r>
              <w:rPr>
                <w:sz w:val="19"/>
              </w:rPr>
              <w:t>2.8</w:t>
            </w:r>
          </w:p>
        </w:tc>
      </w:tr>
      <w:tr>
        <w:tc>
          <w:tcPr>
            <w:tcW w:type="dxa" w:w="3216"/>
          </w:tcPr>
          <w:p>
            <w:r>
              <w:rPr>
                <w:sz w:val="19"/>
              </w:rPr>
            </w:r>
            <w:r>
              <w:rPr>
                <w:sz w:val="19"/>
              </w:rPr>
              <w:t>Member payments, mid take-up</w:t>
            </w:r>
          </w:p>
        </w:tc>
        <w:tc>
          <w:tcPr>
            <w:tcW w:type="dxa" w:w="3216"/>
          </w:tcPr>
          <w:p>
            <w:r>
              <w:rPr>
                <w:sz w:val="19"/>
              </w:rPr>
            </w:r>
            <w:r>
              <w:rPr>
                <w:b/>
                <w:sz w:val="19"/>
              </w:rPr>
              <w:t>$55,084</w:t>
            </w:r>
          </w:p>
        </w:tc>
        <w:tc>
          <w:tcPr>
            <w:tcW w:type="dxa" w:w="3216"/>
          </w:tcPr>
          <w:p>
            <w:r>
              <w:rPr>
                <w:sz w:val="19"/>
              </w:rPr>
            </w:r>
            <w:r>
              <w:rPr>
                <w:b/>
                <w:sz w:val="19"/>
              </w:rPr>
              <w:t>$51,726</w:t>
            </w:r>
          </w:p>
        </w:tc>
      </w:tr>
      <w:tr>
        <w:tc>
          <w:tcPr>
            <w:tcW w:type="dxa" w:w="3216"/>
          </w:tcPr>
          <w:p>
            <w:r>
              <w:rPr>
                <w:sz w:val="19"/>
              </w:rPr>
            </w:r>
            <w:r>
              <w:rPr>
                <w:sz w:val="19"/>
              </w:rPr>
              <w:t>Participants, full range</w:t>
            </w:r>
          </w:p>
        </w:tc>
        <w:tc>
          <w:tcPr>
            <w:tcW w:type="dxa" w:w="3216"/>
          </w:tcPr>
          <w:p>
            <w:r>
              <w:rPr>
                <w:sz w:val="19"/>
              </w:rPr>
            </w:r>
            <w:r>
              <w:rPr>
                <w:sz w:val="19"/>
              </w:rPr>
              <w:t>0.3 – 5.3</w:t>
            </w:r>
          </w:p>
        </w:tc>
        <w:tc>
          <w:tcPr>
            <w:tcW w:type="dxa" w:w="3216"/>
          </w:tcPr>
          <w:p>
            <w:r>
              <w:rPr>
                <w:sz w:val="19"/>
              </w:rPr>
            </w:r>
            <w:r>
              <w:rPr>
                <w:sz w:val="19"/>
              </w:rPr>
              <w:t>0.6 – 9.5</w:t>
            </w:r>
          </w:p>
        </w:tc>
      </w:tr>
      <w:tr>
        <w:tc>
          <w:tcPr>
            <w:tcW w:type="dxa" w:w="3216"/>
          </w:tcPr>
          <w:p>
            <w:r>
              <w:rPr>
                <w:sz w:val="19"/>
              </w:rPr>
            </w:r>
            <w:r>
              <w:rPr>
                <w:sz w:val="19"/>
              </w:rPr>
              <w:t>Employer amortization share of the DB rate</w:t>
            </w:r>
          </w:p>
        </w:tc>
        <w:tc>
          <w:tcPr>
            <w:tcW w:type="dxa" w:w="3216"/>
          </w:tcPr>
          <w:p>
            <w:r>
              <w:rPr>
                <w:sz w:val="19"/>
              </w:rPr>
            </w:r>
            <w:r>
              <w:rPr>
                <w:sz w:val="19"/>
              </w:rPr>
              <w:t>17.96% of 31.67% — 57%</w:t>
            </w:r>
          </w:p>
        </w:tc>
        <w:tc>
          <w:tcPr>
            <w:tcW w:type="dxa" w:w="3216"/>
          </w:tcPr>
          <w:p>
            <w:r>
              <w:rPr>
                <w:sz w:val="19"/>
              </w:rPr>
            </w:r>
            <w:r>
              <w:rPr>
                <w:sz w:val="19"/>
              </w:rPr>
              <w:t>13.04% of 22.60% — 58%</w:t>
            </w:r>
          </w:p>
        </w:tc>
      </w:tr>
    </w:tbl>
    <w:p/>
    <w:p>
      <w:r>
        <w:rPr>
          <w:b/>
        </w:rPr>
        <w:t>SPORS is a quarter of the size of VaLORS and costs about the same, because the salaries are double.</w:t>
      </w:r>
      <w:r>
        <w:t xml:space="preserve"> Pathway-eligibility runs at 17.2% against 7.8% for VaLORS — state police serve longer careers — so the eligible fraction is higher even though the plan is far smaller. One more fact worth holding: SPORS members must retire within 60 days of age 70, and no active SPORS member is aged 69 or over in the published table. The Incentive pathway cannot reach anyone the mandatory-retirement rule would have reached anyway.</w:t>
      </w:r>
    </w:p>
    <w:p>
      <w:r>
        <w:rPr>
          <w:b/>
          <w:sz w:val="20"/>
        </w:rPr>
        <w:t>Table 14 — what each amendment adds at mid take-up</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Scope</w:t>
            </w:r>
          </w:p>
        </w:tc>
        <w:tc>
          <w:tcPr>
            <w:tcW w:type="dxa" w:w="2412"/>
          </w:tcPr>
          <w:p>
            <w:r>
              <w:rPr>
                <w:b/>
                <w:sz w:val="19"/>
              </w:rPr>
            </w:r>
            <w:r>
              <w:rPr>
                <w:b/>
                <w:sz w:val="19"/>
              </w:rPr>
              <w:t>Participants</w:t>
            </w:r>
          </w:p>
        </w:tc>
        <w:tc>
          <w:tcPr>
            <w:tcW w:type="dxa" w:w="2412"/>
          </w:tcPr>
          <w:p>
            <w:r>
              <w:rPr>
                <w:b/>
                <w:sz w:val="19"/>
              </w:rPr>
            </w:r>
            <w:r>
              <w:rPr>
                <w:b/>
                <w:sz w:val="19"/>
              </w:rPr>
              <w:t>Member payments</w:t>
            </w:r>
          </w:p>
        </w:tc>
        <w:tc>
          <w:tcPr>
            <w:tcW w:type="dxa" w:w="2412"/>
          </w:tcPr>
          <w:p>
            <w:r>
              <w:rPr>
                <w:b/>
                <w:sz w:val="19"/>
              </w:rPr>
            </w:r>
            <w:r>
              <w:rPr>
                <w:b/>
                <w:sz w:val="19"/>
              </w:rPr>
              <w:t>Against the bill as scoped</w:t>
            </w:r>
          </w:p>
        </w:tc>
      </w:tr>
      <w:tr>
        <w:tc>
          <w:tcPr>
            <w:tcW w:type="dxa" w:w="2412"/>
          </w:tcPr>
          <w:p>
            <w:r>
              <w:rPr>
                <w:sz w:val="19"/>
              </w:rPr>
            </w:r>
            <w:r>
              <w:rPr>
                <w:sz w:val="19"/>
              </w:rPr>
              <w:t>Bill as scoped — State Employees Plan 1/Plan 2 only</w:t>
            </w:r>
          </w:p>
        </w:tc>
        <w:tc>
          <w:tcPr>
            <w:tcW w:type="dxa" w:w="2412"/>
          </w:tcPr>
          <w:p>
            <w:r>
              <w:rPr>
                <w:sz w:val="19"/>
              </w:rPr>
            </w:r>
            <w:r>
              <w:rPr>
                <w:sz w:val="19"/>
              </w:rPr>
              <w:t>41.5</w:t>
            </w:r>
          </w:p>
        </w:tc>
        <w:tc>
          <w:tcPr>
            <w:tcW w:type="dxa" w:w="2412"/>
          </w:tcPr>
          <w:p>
            <w:r>
              <w:rPr>
                <w:sz w:val="19"/>
              </w:rPr>
            </w:r>
            <w:r>
              <w:rPr>
                <w:sz w:val="19"/>
              </w:rPr>
              <w:t>$554,922</w:t>
            </w:r>
          </w:p>
        </w:tc>
        <w:tc>
          <w:tcPr>
            <w:tcW w:type="dxa" w:w="2412"/>
          </w:tcPr>
          <w:p>
            <w:r>
              <w:rPr>
                <w:sz w:val="19"/>
              </w:rPr>
            </w:r>
            <w:r>
              <w:rPr>
                <w:sz w:val="19"/>
              </w:rPr>
              <w:t>—</w:t>
            </w:r>
          </w:p>
        </w:tc>
      </w:tr>
      <w:tr>
        <w:tc>
          <w:tcPr>
            <w:tcW w:type="dxa" w:w="2412"/>
          </w:tcPr>
          <w:p>
            <w:r>
              <w:rPr>
                <w:sz w:val="19"/>
              </w:rPr>
            </w:r>
            <w:r>
              <w:rPr>
                <w:sz w:val="19"/>
              </w:rPr>
              <w:t>+ VaLORS</w:t>
            </w:r>
          </w:p>
        </w:tc>
        <w:tc>
          <w:tcPr>
            <w:tcW w:type="dxa" w:w="2412"/>
          </w:tcPr>
          <w:p>
            <w:r>
              <w:rPr>
                <w:sz w:val="19"/>
              </w:rPr>
            </w:r>
            <w:r>
              <w:rPr>
                <w:sz w:val="19"/>
              </w:rPr>
              <w:t>44.3</w:t>
            </w:r>
          </w:p>
        </w:tc>
        <w:tc>
          <w:tcPr>
            <w:tcW w:type="dxa" w:w="2412"/>
          </w:tcPr>
          <w:p>
            <w:r>
              <w:rPr>
                <w:sz w:val="19"/>
              </w:rPr>
            </w:r>
            <w:r>
              <w:rPr>
                <w:sz w:val="19"/>
              </w:rPr>
              <w:t>$606,648</w:t>
            </w:r>
          </w:p>
        </w:tc>
        <w:tc>
          <w:tcPr>
            <w:tcW w:type="dxa" w:w="2412"/>
          </w:tcPr>
          <w:p>
            <w:r>
              <w:rPr>
                <w:sz w:val="19"/>
              </w:rPr>
            </w:r>
            <w:r>
              <w:rPr>
                <w:sz w:val="19"/>
              </w:rPr>
              <w:t>+6.7% participants, +9.3% payments</w:t>
            </w:r>
          </w:p>
        </w:tc>
      </w:tr>
      <w:tr>
        <w:tc>
          <w:tcPr>
            <w:tcW w:type="dxa" w:w="2412"/>
          </w:tcPr>
          <w:p>
            <w:r>
              <w:rPr>
                <w:sz w:val="19"/>
              </w:rPr>
            </w:r>
            <w:r>
              <w:rPr>
                <w:sz w:val="19"/>
              </w:rPr>
              <w:t>+ VaLORS and SPORS</w:t>
            </w:r>
          </w:p>
        </w:tc>
        <w:tc>
          <w:tcPr>
            <w:tcW w:type="dxa" w:w="2412"/>
          </w:tcPr>
          <w:p>
            <w:r>
              <w:rPr>
                <w:sz w:val="19"/>
              </w:rPr>
            </w:r>
            <w:r>
              <w:rPr>
                <w:sz w:val="19"/>
              </w:rPr>
              <w:t>45.9</w:t>
            </w:r>
          </w:p>
        </w:tc>
        <w:tc>
          <w:tcPr>
            <w:tcW w:type="dxa" w:w="2412"/>
          </w:tcPr>
          <w:p>
            <w:r>
              <w:rPr>
                <w:sz w:val="19"/>
              </w:rPr>
            </w:r>
            <w:r>
              <w:rPr>
                <w:sz w:val="19"/>
              </w:rPr>
              <w:t>$661,732</w:t>
            </w:r>
          </w:p>
        </w:tc>
        <w:tc>
          <w:tcPr>
            <w:tcW w:type="dxa" w:w="2412"/>
          </w:tcPr>
          <w:p>
            <w:r>
              <w:rPr>
                <w:sz w:val="19"/>
              </w:rPr>
            </w:r>
            <w:r>
              <w:rPr>
                <w:sz w:val="19"/>
              </w:rPr>
              <w:t>+10.5% participants, +19.2% payments</w:t>
            </w:r>
          </w:p>
        </w:tc>
      </w:tr>
    </w:tbl>
    <w:p/>
    <w:p>
      <w:pPr>
        <w:pStyle w:val="Heading2"/>
      </w:pPr>
      <w:r>
        <w:t>5.1 Judicial (JRS) is deliberately not scored</w:t>
      </w:r>
    </w:p>
    <w:p>
      <w:r>
        <w:rPr>
          <w:b/>
        </w:rPr>
        <w:t>We should not put a number on JRS and this annex does not.</w:t>
      </w:r>
      <w:r>
        <w:t xml:space="preserve"> The Judicial Retirement System applies weighted service credit at rates that depend on the date of appointment, which means “years of service credit” in the JRS eligibility rules is not the same quantity as the total service published in the valuation table. Applying the VaLORS method to the JRS table would produce a confident-looking figure built on the wrong variable.</w:t>
      </w:r>
    </w:p>
    <w:p>
      <w:r>
        <w:t xml:space="preserve">What we can say: JRS has 473 active members, the oldest average age in the system at 57.3, and an approximate-normal-cost rate of 31.97% for Plan 1 and 29.67% for Plan 2 — about 2.6× the Plan 1 non-hazardous rate — on an average compensation of $208,551. </w:t>
      </w:r>
      <w:r>
        <w:rPr>
          <w:b/>
        </w:rPr>
        <w:t>Per participant, a judicial purchase is by far the most expensive in the system.</w:t>
      </w:r>
      <w:r>
        <w:t xml:space="preserve"> If a JRS amendment is actually offered, the weighted-service rules have to be verified first. That is a day of work and it is listed as an open item rather than guessed at here.</w:t>
      </w:r>
    </w:p>
    <w:p>
      <w:pPr>
        <w:jc w:val="left"/>
      </w:pPr>
      <w:r>
        <w:rPr>
          <w:color w:val="BBBBBB"/>
        </w:rPr>
        <w:t>______________________________________________________________________________________</w:t>
      </w:r>
    </w:p>
    <w:p>
      <w:pPr>
        <w:pStyle w:val="Heading1"/>
      </w:pPr>
      <w:r>
        <w:t>6. How to use this annex</w:t>
      </w:r>
    </w:p>
    <w:p>
      <w:pPr>
        <w:pStyle w:val="ListNumber"/>
      </w:pPr>
      <w:r>
        <w:rPr>
          <w:b/>
        </w:rPr>
        <w:t>It stays in reserve.</w:t>
      </w:r>
      <w:r>
        <w:t xml:space="preserve"> It is not attached to the bill, the fiscal note, the one-pager or the advocacy brief. The bill as drafted expressly excludes SPORS, VaLORS and JRS, and that remains the position.</w:t>
      </w:r>
    </w:p>
    <w:p>
      <w:pPr>
        <w:pStyle w:val="ListNumber"/>
      </w:pPr>
      <w:r>
        <w:rPr>
          <w:b/>
        </w:rPr>
        <w:t>If a VaLORS amendment is offered, the answer is a number and not a flinch.</w:t>
      </w:r>
      <w:r>
        <w:t xml:space="preserve"> At mid take-up it adds about 3 participants and about $51,726 in member payments over four years — roughly 9% on top of the bill as scoped.</w:t>
      </w:r>
    </w:p>
    <w:p>
      <w:pPr>
        <w:pStyle w:val="ListNumber"/>
      </w:pPr>
      <w:r>
        <w:rPr>
          <w:b/>
        </w:rPr>
        <w:t>Lead with why we excluded them, not with the cost.</w:t>
      </w:r>
      <w:r>
        <w:t xml:space="preserve"> The reason is sequencing: prove the mechanism on the one plan we can model from published data, then extend. The cost is modest and saying so first makes the sequencing argument sound like a pretext.</w:t>
      </w:r>
    </w:p>
    <w:p>
      <w:pPr>
        <w:pStyle w:val="ListNumber"/>
      </w:pPr>
      <w:r>
        <w:rPr>
          <w:b/>
        </w:rPr>
        <w:t>Do not accept a floor amendment that adds a plan without adding k for that plan.</w:t>
      </w:r>
      <w:r>
        <w:t xml:space="preserve"> A VaLORS amendment needs its own actuarial ratio. Accepting one without it converts a bounded, priced pilot into an unpriced one, which is the specific failure mode G13 exists to prevent.</w:t>
      </w:r>
    </w:p>
    <w:p>
      <w:pPr>
        <w:pStyle w:val="ListNumber"/>
      </w:pPr>
      <w:r>
        <w:rPr>
          <w:b/>
        </w:rPr>
        <w:t>If the board wants VaLORS in the bill from the start, say so before 30 November 2026.</w:t>
      </w:r>
      <w:r>
        <w:t xml:space="preserve"> It is a different bill with a different fiscal note, and the data request would need a VaLORS section that it does not currently have. Adding it at the drafting request is cheap; adding it in February is not.</w:t>
      </w:r>
    </w:p>
    <w:p>
      <w:pPr>
        <w:jc w:val="left"/>
      </w:pPr>
      <w:r>
        <w:rPr>
          <w:color w:val="BBBBBB"/>
        </w:rPr>
        <w:t>______________________________________________________________________________________</w:t>
      </w:r>
    </w:p>
    <w:p>
      <w:pPr>
        <w:pStyle w:val="Heading1"/>
      </w:pPr>
      <w:r>
        <w:t>7. Open items this annex creates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9"/>
              </w:rPr>
            </w:r>
            <w:r>
              <w:rPr>
                <w:b/>
                <w:sz w:val="19"/>
              </w:rPr>
              <w:t>#</w:t>
            </w:r>
          </w:p>
        </w:tc>
        <w:tc>
          <w:tcPr>
            <w:tcW w:type="dxa" w:w="2412"/>
          </w:tcPr>
          <w:p>
            <w:r>
              <w:rPr>
                <w:b/>
                <w:sz w:val="19"/>
              </w:rPr>
            </w:r>
            <w:r>
              <w:rPr>
                <w:b/>
                <w:sz w:val="19"/>
              </w:rPr>
              <w:t>Item</w:t>
            </w:r>
          </w:p>
        </w:tc>
        <w:tc>
          <w:tcPr>
            <w:tcW w:type="dxa" w:w="2412"/>
          </w:tcPr>
          <w:p>
            <w:r>
              <w:rPr>
                <w:b/>
                <w:sz w:val="19"/>
              </w:rPr>
            </w:r>
            <w:r>
              <w:rPr>
                <w:b/>
                <w:sz w:val="19"/>
              </w:rPr>
              <w:t>Owner</w:t>
            </w:r>
          </w:p>
        </w:tc>
        <w:tc>
          <w:tcPr>
            <w:tcW w:type="dxa" w:w="2412"/>
          </w:tcPr>
          <w:p>
            <w:r>
              <w:rPr>
                <w:b/>
                <w:sz w:val="19"/>
              </w:rPr>
            </w:r>
            <w:r>
              <w:rPr>
                <w:b/>
                <w:sz w:val="19"/>
              </w:rPr>
              <w:t>Why it matters</w:t>
            </w:r>
          </w:p>
        </w:tc>
      </w:tr>
      <w:tr>
        <w:tc>
          <w:tcPr>
            <w:tcW w:type="dxa" w:w="2412"/>
          </w:tcPr>
          <w:p>
            <w:r>
              <w:rPr>
                <w:sz w:val="19"/>
              </w:rPr>
            </w:r>
            <w:r>
              <w:rPr>
                <w:sz w:val="19"/>
              </w:rPr>
              <w:t>1</w:t>
            </w:r>
          </w:p>
        </w:tc>
        <w:tc>
          <w:tcPr>
            <w:tcW w:type="dxa" w:w="2412"/>
          </w:tcPr>
          <w:p>
            <w:r>
              <w:rPr>
                <w:sz w:val="19"/>
              </w:rPr>
            </w:r>
            <w:r>
              <w:rPr>
                <w:sz w:val="19"/>
              </w:rPr>
              <w:t>Does purchased military service let a VaLORS member aged 60+ reach the hazardous-duty five-year threshold, or does that threshold require five years of hazardous-duty-covered service?</w:t>
            </w:r>
          </w:p>
        </w:tc>
        <w:tc>
          <w:tcPr>
            <w:tcW w:type="dxa" w:w="2412"/>
          </w:tcPr>
          <w:p>
            <w:r>
              <w:rPr>
                <w:sz w:val="19"/>
              </w:rPr>
            </w:r>
            <w:r>
              <w:rPr>
                <w:sz w:val="19"/>
              </w:rPr>
              <w:t>VRS</w:t>
            </w:r>
          </w:p>
        </w:tc>
        <w:tc>
          <w:tcPr>
            <w:tcW w:type="dxa" w:w="2412"/>
          </w:tcPr>
          <w:p>
            <w:r>
              <w:rPr>
                <w:sz w:val="19"/>
              </w:rPr>
            </w:r>
            <w:r>
              <w:rPr>
                <w:sz w:val="19"/>
              </w:rPr>
              <w:t>The wider Bridge screen. Worth +75 members, +13% of VaLORS participants</w:t>
            </w:r>
          </w:p>
        </w:tc>
      </w:tr>
      <w:tr>
        <w:tc>
          <w:tcPr>
            <w:tcW w:type="dxa" w:w="2412"/>
          </w:tcPr>
          <w:p>
            <w:r>
              <w:rPr>
                <w:sz w:val="19"/>
              </w:rPr>
            </w:r>
            <w:r>
              <w:rPr>
                <w:sz w:val="19"/>
              </w:rPr>
              <w:t>2</w:t>
            </w:r>
          </w:p>
        </w:tc>
        <w:tc>
          <w:tcPr>
            <w:tcW w:type="dxa" w:w="2412"/>
          </w:tcPr>
          <w:p>
            <w:r>
              <w:rPr>
                <w:sz w:val="19"/>
              </w:rPr>
            </w:r>
            <w:r>
              <w:rPr>
                <w:sz w:val="19"/>
              </w:rPr>
              <w:t>k for VaLORS Plan 1 and Plan 2, by age band</w:t>
            </w:r>
          </w:p>
        </w:tc>
        <w:tc>
          <w:tcPr>
            <w:tcW w:type="dxa" w:w="2412"/>
          </w:tcPr>
          <w:p>
            <w:r>
              <w:rPr>
                <w:sz w:val="19"/>
              </w:rPr>
            </w:r>
            <w:r>
              <w:rPr>
                <w:sz w:val="19"/>
              </w:rPr>
              <w:t>VRS actuary (GRS)</w:t>
            </w:r>
          </w:p>
        </w:tc>
        <w:tc>
          <w:tcPr>
            <w:tcW w:type="dxa" w:w="2412"/>
          </w:tcPr>
          <w:p>
            <w:r>
              <w:rPr>
                <w:sz w:val="19"/>
              </w:rPr>
            </w:r>
            <w:r>
              <w:rPr>
                <w:sz w:val="19"/>
              </w:rPr>
              <w:t>Probably above the State Employees k. Cannot be scaled from it</w:t>
            </w:r>
          </w:p>
        </w:tc>
      </w:tr>
      <w:tr>
        <w:tc>
          <w:tcPr>
            <w:tcW w:type="dxa" w:w="2412"/>
          </w:tcPr>
          <w:p>
            <w:r>
              <w:rPr>
                <w:sz w:val="19"/>
              </w:rPr>
            </w:r>
            <w:r>
              <w:rPr>
                <w:sz w:val="19"/>
              </w:rPr>
              <w:t>3</w:t>
            </w:r>
          </w:p>
        </w:tc>
        <w:tc>
          <w:tcPr>
            <w:tcW w:type="dxa" w:w="2412"/>
          </w:tcPr>
          <w:p>
            <w:r>
              <w:rPr>
                <w:sz w:val="19"/>
              </w:rPr>
            </w:r>
            <w:r>
              <w:rPr>
                <w:sz w:val="19"/>
              </w:rPr>
              <w:t>Veterans among active VaLORS and SPORS members</w:t>
            </w:r>
          </w:p>
        </w:tc>
        <w:tc>
          <w:tcPr>
            <w:tcW w:type="dxa" w:w="2412"/>
          </w:tcPr>
          <w:p>
            <w:r>
              <w:rPr>
                <w:sz w:val="19"/>
              </w:rPr>
            </w:r>
            <w:r>
              <w:rPr>
                <w:sz w:val="19"/>
              </w:rPr>
              <w:t>VRS / DHRM</w:t>
            </w:r>
          </w:p>
        </w:tc>
        <w:tc>
          <w:tcPr>
            <w:tcW w:type="dxa" w:w="2412"/>
          </w:tcPr>
          <w:p>
            <w:r>
              <w:rPr>
                <w:sz w:val="19"/>
              </w:rPr>
            </w:r>
            <w:r>
              <w:rPr>
                <w:sz w:val="19"/>
              </w:rPr>
              <w:t>The dial we are least sure about and most likely understating</w:t>
            </w:r>
          </w:p>
        </w:tc>
      </w:tr>
      <w:tr>
        <w:tc>
          <w:tcPr>
            <w:tcW w:type="dxa" w:w="2412"/>
          </w:tcPr>
          <w:p>
            <w:r>
              <w:rPr>
                <w:sz w:val="19"/>
              </w:rPr>
            </w:r>
            <w:r>
              <w:rPr>
                <w:sz w:val="19"/>
              </w:rPr>
              <w:t>4</w:t>
            </w:r>
          </w:p>
        </w:tc>
        <w:tc>
          <w:tcPr>
            <w:tcW w:type="dxa" w:w="2412"/>
          </w:tcPr>
          <w:p>
            <w:r>
              <w:rPr>
                <w:sz w:val="19"/>
              </w:rPr>
            </w:r>
            <w:r>
              <w:rPr>
                <w:sz w:val="19"/>
              </w:rPr>
              <w:t>Members with qualifying purchasable military service, VaLORS and SPORS</w:t>
            </w:r>
          </w:p>
        </w:tc>
        <w:tc>
          <w:tcPr>
            <w:tcW w:type="dxa" w:w="2412"/>
          </w:tcPr>
          <w:p>
            <w:r>
              <w:rPr>
                <w:sz w:val="19"/>
              </w:rPr>
            </w:r>
            <w:r>
              <w:rPr>
                <w:sz w:val="19"/>
              </w:rPr>
              <w:t>VRS</w:t>
            </w:r>
          </w:p>
        </w:tc>
        <w:tc>
          <w:tcPr>
            <w:tcW w:type="dxa" w:w="2412"/>
          </w:tcPr>
          <w:p>
            <w:r>
              <w:rPr>
                <w:sz w:val="19"/>
              </w:rPr>
            </w:r>
            <w:r>
              <w:rPr>
                <w:sz w:val="19"/>
              </w:rPr>
              <w:t>Same weakest-link status as in the main model</w:t>
            </w:r>
          </w:p>
        </w:tc>
      </w:tr>
      <w:tr>
        <w:tc>
          <w:tcPr>
            <w:tcW w:type="dxa" w:w="2412"/>
          </w:tcPr>
          <w:p>
            <w:r>
              <w:rPr>
                <w:sz w:val="19"/>
              </w:rPr>
            </w:r>
            <w:r>
              <w:rPr>
                <w:sz w:val="19"/>
              </w:rPr>
              <w:t>5</w:t>
            </w:r>
          </w:p>
        </w:tc>
        <w:tc>
          <w:tcPr>
            <w:tcW w:type="dxa" w:w="2412"/>
          </w:tcPr>
          <w:p>
            <w:r>
              <w:rPr>
                <w:sz w:val="19"/>
              </w:rPr>
            </w:r>
            <w:r>
              <w:rPr>
                <w:sz w:val="19"/>
              </w:rPr>
              <w:t>Whether an unfilled corrections or law-enforcement post is backfilled with overtime</w:t>
            </w:r>
          </w:p>
        </w:tc>
        <w:tc>
          <w:tcPr>
            <w:tcW w:type="dxa" w:w="2412"/>
          </w:tcPr>
          <w:p>
            <w:r>
              <w:rPr>
                <w:sz w:val="19"/>
              </w:rPr>
            </w:r>
            <w:r>
              <w:rPr>
                <w:sz w:val="19"/>
              </w:rPr>
              <w:t>DHRM / Department of Corrections</w:t>
            </w:r>
          </w:p>
        </w:tc>
        <w:tc>
          <w:tcPr>
            <w:tcW w:type="dxa" w:w="2412"/>
          </w:tcPr>
          <w:p>
            <w:r>
              <w:rPr>
                <w:sz w:val="19"/>
              </w:rPr>
            </w:r>
            <w:r>
              <w:rPr>
                <w:sz w:val="19"/>
              </w:rPr>
              <w:t>Could reduce the Ledger 2 saving to near zero. Cuts against us</w:t>
            </w:r>
          </w:p>
        </w:tc>
      </w:tr>
      <w:tr>
        <w:tc>
          <w:tcPr>
            <w:tcW w:type="dxa" w:w="2412"/>
          </w:tcPr>
          <w:p>
            <w:r>
              <w:rPr>
                <w:sz w:val="19"/>
              </w:rPr>
            </w:r>
            <w:r>
              <w:rPr>
                <w:sz w:val="19"/>
              </w:rPr>
              <w:t>6</w:t>
            </w:r>
          </w:p>
        </w:tc>
        <w:tc>
          <w:tcPr>
            <w:tcW w:type="dxa" w:w="2412"/>
          </w:tcPr>
          <w:p>
            <w:r>
              <w:rPr>
                <w:sz w:val="19"/>
              </w:rPr>
            </w:r>
            <w:r>
              <w:rPr>
                <w:sz w:val="19"/>
              </w:rPr>
              <w:t>JRS weighted-service-credit rules by appointment date</w:t>
            </w:r>
          </w:p>
        </w:tc>
        <w:tc>
          <w:tcPr>
            <w:tcW w:type="dxa" w:w="2412"/>
          </w:tcPr>
          <w:p>
            <w:r>
              <w:rPr>
                <w:sz w:val="19"/>
              </w:rPr>
            </w:r>
            <w:r>
              <w:rPr>
                <w:sz w:val="19"/>
              </w:rPr>
              <w:t>Policy Director</w:t>
            </w:r>
          </w:p>
        </w:tc>
        <w:tc>
          <w:tcPr>
            <w:tcW w:type="dxa" w:w="2412"/>
          </w:tcPr>
          <w:p>
            <w:r>
              <w:rPr>
                <w:sz w:val="19"/>
              </w:rPr>
            </w:r>
            <w:r>
              <w:rPr>
                <w:sz w:val="19"/>
              </w:rPr>
              <w:t>Required before any JRS figure can be produced</w:t>
            </w:r>
          </w:p>
        </w:tc>
      </w:tr>
      <w:tr>
        <w:tc>
          <w:tcPr>
            <w:tcW w:type="dxa" w:w="2412"/>
          </w:tcPr>
          <w:p>
            <w:r>
              <w:rPr>
                <w:sz w:val="19"/>
              </w:rPr>
            </w:r>
            <w:r>
              <w:rPr>
                <w:sz w:val="19"/>
              </w:rPr>
              <w:t>7</w:t>
            </w:r>
          </w:p>
        </w:tc>
        <w:tc>
          <w:tcPr>
            <w:tcW w:type="dxa" w:w="2412"/>
          </w:tcPr>
          <w:p>
            <w:r>
              <w:rPr>
                <w:sz w:val="19"/>
              </w:rPr>
            </w:r>
            <w:r>
              <w:rPr>
                <w:sz w:val="19"/>
              </w:rPr>
              <w:t>Roll-forward limitation stated in the main fiscal note</w:t>
            </w:r>
          </w:p>
        </w:tc>
        <w:tc>
          <w:tcPr>
            <w:tcW w:type="dxa" w:w="2412"/>
          </w:tcPr>
          <w:p>
            <w:r>
              <w:rPr>
                <w:sz w:val="19"/>
              </w:rPr>
            </w:r>
            <w:r>
              <w:rPr>
                <w:sz w:val="19"/>
              </w:rPr>
              <w:t>Policy Director</w:t>
            </w:r>
          </w:p>
        </w:tc>
        <w:tc>
          <w:tcPr>
            <w:tcW w:type="dxa" w:w="2412"/>
          </w:tcPr>
          <w:p>
            <w:r>
              <w:rPr>
                <w:sz w:val="19"/>
              </w:rPr>
            </w:r>
            <w:r>
              <w:rPr>
                <w:sz w:val="19"/>
              </w:rPr>
              <w:t>Our State Employees pools are also a 30 June 2025 snapshot and understate by roughly this order</w:t>
            </w:r>
          </w:p>
        </w:tc>
      </w:tr>
    </w:tbl>
    <w:p/>
    <w:p>
      <w:pPr>
        <w:jc w:val="left"/>
      </w:pPr>
      <w:r>
        <w:rPr>
          <w:color w:val="BBBBBB"/>
        </w:rPr>
        <w:t>______________________________________________________________________________________</w:t>
      </w:r>
    </w:p>
    <w:p>
      <w:pPr>
        <w:pStyle w:val="Heading1"/>
      </w:pPr>
      <w:r>
        <w:t>8. Sources</w:t>
      </w:r>
    </w:p>
    <w:p>
      <w:r>
        <w:t>All retrieved 12 October 2026. Primary Commonwealth sources only, per G25.</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r>
              <w:rPr>
                <w:b/>
                <w:sz w:val="19"/>
              </w:rPr>
              <w:t>Source</w:t>
            </w:r>
          </w:p>
        </w:tc>
        <w:tc>
          <w:tcPr>
            <w:tcW w:type="dxa" w:w="4824"/>
          </w:tcPr>
          <w:p>
            <w:r>
              <w:rPr>
                <w:b/>
                <w:sz w:val="19"/>
              </w:rPr>
            </w:r>
            <w:r>
              <w:rPr>
                <w:b/>
                <w:sz w:val="19"/>
              </w:rPr>
              <w:t>Used for</w:t>
            </w:r>
          </w:p>
        </w:tc>
      </w:tr>
      <w:tr>
        <w:tc>
          <w:tcPr>
            <w:tcW w:type="dxa" w:w="4824"/>
          </w:tcPr>
          <w:p>
            <w:r>
              <w:rPr>
                <w:sz w:val="19"/>
              </w:rPr>
            </w:r>
            <w:r>
              <w:rPr>
                <w:sz w:val="19"/>
              </w:rPr>
              <w:t xml:space="preserve">VRS, </w:t>
            </w:r>
            <w:r>
              <w:rPr>
                <w:i/>
                <w:sz w:val="19"/>
              </w:rPr>
              <w:t>Annual Actuarial Valuation, June 30, 2025</w:t>
            </w:r>
            <w:r>
              <w:rPr>
                <w:sz w:val="19"/>
              </w:rPr>
              <w:t xml:space="preserve"> — p. 49 Active Participant Detail; p. 54 Active Participants by Age and Total Service, Virginia Law Officers; p. 52 same table, State Police; p. 53 same table, Judicial; p. 16 Results Summary, Virginia Law Officers; p. 18 Employer Contribution Rate Detail</w:t>
            </w:r>
          </w:p>
        </w:tc>
        <w:tc>
          <w:tcPr>
            <w:tcW w:type="dxa" w:w="4824"/>
          </w:tcPr>
          <w:p>
            <w:r>
              <w:rPr>
                <w:sz w:val="19"/>
              </w:rPr>
            </w:r>
            <w:r>
              <w:rPr>
                <w:sz w:val="19"/>
              </w:rPr>
              <w:t>Every count, salary, employer rate and the $717.570M VaLORS UAAL</w:t>
            </w:r>
          </w:p>
        </w:tc>
      </w:tr>
      <w:tr>
        <w:tc>
          <w:tcPr>
            <w:tcW w:type="dxa" w:w="4824"/>
          </w:tcPr>
          <w:p>
            <w:r>
              <w:rPr>
                <w:sz w:val="19"/>
              </w:rPr>
            </w:r>
            <w:r>
              <w:rPr>
                <w:sz w:val="19"/>
              </w:rPr>
              <w:t xml:space="preserve">VRS, </w:t>
            </w:r>
            <w:r>
              <w:rPr>
                <w:i/>
                <w:sz w:val="19"/>
              </w:rPr>
              <w:t>Purchase of Prior Service Cost Rates for VRS Plan 1</w:t>
            </w:r>
            <w:r>
              <w:rPr>
                <w:sz w:val="19"/>
              </w:rPr>
              <w:t xml:space="preserve"> and </w:t>
            </w:r>
            <w:r>
              <w:rPr>
                <w:i/>
                <w:sz w:val="19"/>
              </w:rPr>
              <w:t>for VRS Plan 2</w:t>
            </w:r>
            <w:r>
              <w:rPr>
                <w:sz w:val="19"/>
              </w:rPr>
              <w:t>, effective 1 July 2025</w:t>
            </w:r>
          </w:p>
        </w:tc>
        <w:tc>
          <w:tcPr>
            <w:tcW w:type="dxa" w:w="4824"/>
          </w:tcPr>
          <w:p>
            <w:r>
              <w:rPr>
                <w:sz w:val="19"/>
              </w:rPr>
            </w:r>
            <w:r>
              <w:rPr>
                <w:sz w:val="19"/>
              </w:rPr>
              <w:t>23.78% / 19.15% hazardous; 31.97% / 29.67% judicial; 12.50% / 10.74% non-hazardous</w:t>
            </w:r>
          </w:p>
        </w:tc>
      </w:tr>
      <w:tr>
        <w:tc>
          <w:tcPr>
            <w:tcW w:type="dxa" w:w="4824"/>
          </w:tcPr>
          <w:p>
            <w:r>
              <w:rPr>
                <w:sz w:val="19"/>
              </w:rPr>
            </w:r>
            <w:r>
              <w:rPr>
                <w:sz w:val="19"/>
              </w:rPr>
              <w:t xml:space="preserve">VRS, </w:t>
            </w:r>
            <w:r>
              <w:rPr>
                <w:i/>
                <w:sz w:val="19"/>
              </w:rPr>
              <w:t>Plan 1: Virginia Law Officers' Retirement System</w:t>
            </w:r>
            <w:r>
              <w:rPr>
                <w:sz w:val="19"/>
              </w:rPr>
              <w:t xml:space="preserve"> overview, 04-2026</w:t>
            </w:r>
          </w:p>
        </w:tc>
        <w:tc>
          <w:tcPr>
            <w:tcW w:type="dxa" w:w="4824"/>
          </w:tcPr>
          <w:p>
            <w:r>
              <w:rPr>
                <w:sz w:val="19"/>
              </w:rPr>
            </w:r>
            <w:r>
              <w:rPr>
                <w:sz w:val="19"/>
              </w:rPr>
              <w:t>Unreduced eligibility age 60/5 and age 50/25; 1.7% and 2.0% multipliers; 36-month AFC; hazardous-duty supplement rules; prior service counts toward eligibility</w:t>
            </w:r>
          </w:p>
        </w:tc>
      </w:tr>
      <w:tr>
        <w:tc>
          <w:tcPr>
            <w:tcW w:type="dxa" w:w="4824"/>
          </w:tcPr>
          <w:p>
            <w:r>
              <w:rPr>
                <w:sz w:val="19"/>
              </w:rPr>
            </w:r>
            <w:r>
              <w:rPr>
                <w:sz w:val="19"/>
              </w:rPr>
              <w:t xml:space="preserve">VRS, </w:t>
            </w:r>
            <w:r>
              <w:rPr>
                <w:i/>
                <w:sz w:val="19"/>
              </w:rPr>
              <w:t>Plan 2: Virginia Law Officers' Retirement System</w:t>
            </w:r>
            <w:r>
              <w:rPr>
                <w:sz w:val="19"/>
              </w:rPr>
              <w:t xml:space="preserve"> overview, 04-2026</w:t>
            </w:r>
          </w:p>
        </w:tc>
        <w:tc>
          <w:tcPr>
            <w:tcW w:type="dxa" w:w="4824"/>
          </w:tcPr>
          <w:p>
            <w:r>
              <w:rPr>
                <w:sz w:val="19"/>
              </w:rPr>
            </w:r>
            <w:r>
              <w:rPr>
                <w:sz w:val="19"/>
              </w:rPr>
              <w:t>Identical unreduced eligibility; 2.0% multiplier; 60-month AFC</w:t>
            </w:r>
          </w:p>
        </w:tc>
      </w:tr>
      <w:tr>
        <w:tc>
          <w:tcPr>
            <w:tcW w:type="dxa" w:w="4824"/>
          </w:tcPr>
          <w:p>
            <w:r>
              <w:rPr>
                <w:sz w:val="19"/>
              </w:rPr>
            </w:r>
            <w:r>
              <w:rPr>
                <w:sz w:val="19"/>
              </w:rPr>
              <w:t xml:space="preserve">VRS, </w:t>
            </w:r>
            <w:r>
              <w:rPr>
                <w:i/>
                <w:sz w:val="19"/>
              </w:rPr>
              <w:t>Hazardous Duty Benefits FAQ for Members</w:t>
            </w:r>
            <w:r>
              <w:rPr>
                <w:sz w:val="19"/>
              </w:rPr>
              <w:t>, April 2026</w:t>
            </w:r>
          </w:p>
        </w:tc>
        <w:tc>
          <w:tcPr>
            <w:tcW w:type="dxa" w:w="4824"/>
          </w:tcPr>
          <w:p>
            <w:r>
              <w:rPr>
                <w:sz w:val="19"/>
              </w:rPr>
            </w:r>
            <w:r>
              <w:rPr>
                <w:sz w:val="19"/>
              </w:rPr>
              <w:t>Eligibility rules confirmed for SPORS and VaLORS together; the five-years-of-hazardous-duty requirement; purchased military service excluded from the 20-year supplement test; SPORS mandatory retirement at 70</w:t>
            </w:r>
          </w:p>
        </w:tc>
      </w:tr>
      <w:tr>
        <w:tc>
          <w:tcPr>
            <w:tcW w:type="dxa" w:w="4824"/>
          </w:tcPr>
          <w:p>
            <w:r>
              <w:rPr>
                <w:sz w:val="19"/>
              </w:rPr>
            </w:r>
            <w:r>
              <w:rPr>
                <w:sz w:val="19"/>
              </w:rPr>
              <w:t>VRS, Hybrid Retirement Plan eligibility — hazardous-duty exclusion</w:t>
            </w:r>
          </w:p>
        </w:tc>
        <w:tc>
          <w:tcPr>
            <w:tcW w:type="dxa" w:w="4824"/>
          </w:tcPr>
          <w:p>
            <w:r>
              <w:rPr>
                <w:sz w:val="19"/>
              </w:rPr>
            </w:r>
            <w:r>
              <w:rPr>
                <w:sz w:val="19"/>
              </w:rPr>
              <w:t>No VaLORS or SPORS Hybrid tier; membership on or after 1 July 2010 is Plan 2 regardless of date</w:t>
            </w:r>
          </w:p>
        </w:tc>
      </w:tr>
      <w:tr>
        <w:tc>
          <w:tcPr>
            <w:tcW w:type="dxa" w:w="4824"/>
          </w:tcPr>
          <w:p>
            <w:r>
              <w:rPr>
                <w:sz w:val="19"/>
              </w:rPr>
            </w:r>
            <w:r>
              <w:rPr>
                <w:sz w:val="19"/>
              </w:rPr>
              <w:t>DHRM, presentation to Senate Finance and Appropriations, 21 January 2025, slide 8</w:t>
            </w:r>
          </w:p>
        </w:tc>
        <w:tc>
          <w:tcPr>
            <w:tcW w:type="dxa" w:w="4824"/>
          </w:tcPr>
          <w:p>
            <w:r>
              <w:rPr>
                <w:sz w:val="19"/>
              </w:rPr>
            </w:r>
            <w:r>
              <w:rPr>
                <w:sz w:val="19"/>
              </w:rPr>
              <w:t>Veterans 6% of the classified state workforce, as of 30 June 2024. Used as a floor</w:t>
            </w:r>
          </w:p>
        </w:tc>
      </w:tr>
    </w:tbl>
    <w:p/>
    <w:p>
      <w:r>
        <w:rPr>
          <w:b/>
        </w:rPr>
        <w:t>Derived, not published:</w:t>
      </w:r>
      <w:r>
        <w:t xml:space="preserve"> the plan-tier split; both pathway pools; all average salaries by cohort; the months-needed distribution; the roll-forward. </w:t>
      </w:r>
      <w:r>
        <w:rPr>
          <w:b/>
        </w:rPr>
        <w:t>Assumptions, labelled per G23:</w:t>
      </w:r>
      <w:r>
        <w:t xml:space="preserve"> veteran share; qualifying-service share; take-up; uniform distribution within published age and service bands; salary as a proxy for average final compensation; k as a ratio rather than a value. </w:t>
      </w:r>
      <w:r>
        <w:rPr>
          <w:b/>
        </w:rPr>
        <w:t>Judgment with no source, and marked as such in Table 8:</w:t>
      </w:r>
      <w:r>
        <w:t xml:space="preserve"> the veteran-share multipliers for law-enforcement cohorts.</w:t>
      </w:r>
    </w:p>
    <w:p>
      <w:r>
        <w:rPr>
          <w:i/>
        </w:rPr>
        <w:t>Nothing in this annex is a VRS actuarial result, and it contains no claim that any part of the proposal is actuarially neutral, minimal in impact or self-funding.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