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fiscal model — Retirement Bridge and Retirement Incentive</w:t>
      </w:r>
    </w:p>
    <w:p>
      <w:r>
        <w:rPr>
          <w:i/>
          <w:color w:val="555555"/>
          <w:sz w:val="19"/>
        </w:rPr>
        <w:t>Policy Director · built 12 October 2026 · internal, pre-decisional · MOO-100</w:t>
      </w:r>
    </w:p>
    <w:p>
      <w:r>
        <w:t>Governed by V2-goal-set.docx / .pdf. Built to G10 (ranges, not a forecast), G11 (three separate ledgers), G12 (pathways priced separately), G13 (no "minimal impact" claim), G23 (facts separated from assumptions) and G25 (primary sources, dated).</w:t>
      </w:r>
    </w:p>
    <w:p>
      <w:r>
        <w:t>Two board decisions are applied here, both dated 12 October 2026:</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Decision</w:t>
            </w:r>
          </w:p>
        </w:tc>
        <w:tc>
          <w:tcPr>
            <w:tcW w:type="dxa" w:w="4824"/>
          </w:tcPr>
          <w:p>
            <w:r>
              <w:rPr>
                <w:b/>
                <w:sz w:val="19"/>
              </w:rPr>
            </w:r>
            <w:r>
              <w:rPr>
                <w:b/>
                <w:sz w:val="19"/>
              </w:rPr>
              <w:t>Applied as</w:t>
            </w:r>
          </w:p>
        </w:tc>
      </w:tr>
      <w:tr>
        <w:tc>
          <w:tcPr>
            <w:tcW w:type="dxa" w:w="4824"/>
          </w:tcPr>
          <w:p>
            <w:r>
              <w:rPr>
                <w:sz w:val="19"/>
              </w:rPr>
            </w:r>
            <w:r>
              <w:rPr>
                <w:sz w:val="19"/>
              </w:rPr>
              <w:t>Keep 177,807 as the system-wide context figure; make the state-agency Plan 1/Plan 2 count the modeling denominator</w:t>
            </w:r>
          </w:p>
        </w:tc>
        <w:tc>
          <w:tcPr>
            <w:tcW w:type="dxa" w:w="4824"/>
          </w:tcPr>
          <w:p>
            <w:r>
              <w:rPr>
                <w:sz w:val="19"/>
              </w:rPr>
            </w:r>
            <w:r>
              <w:rPr>
                <w:sz w:val="19"/>
              </w:rPr>
              <w:t>Stage A below. 177,807 appears nowhere in the arithmetic.</w:t>
            </w:r>
          </w:p>
        </w:tc>
      </w:tr>
      <w:tr>
        <w:tc>
          <w:tcPr>
            <w:tcW w:type="dxa" w:w="4824"/>
          </w:tcPr>
          <w:p>
            <w:r>
              <w:rPr>
                <w:sz w:val="19"/>
              </w:rPr>
            </w:r>
            <w:r>
              <w:rPr>
                <w:sz w:val="19"/>
              </w:rPr>
              <w:t>Reach bounds: low 5% / mid 12% / high 25% take-up</w:t>
            </w:r>
          </w:p>
        </w:tc>
        <w:tc>
          <w:tcPr>
            <w:tcW w:type="dxa" w:w="4824"/>
          </w:tcPr>
          <w:p>
            <w:r>
              <w:rPr>
                <w:sz w:val="19"/>
              </w:rPr>
            </w:r>
            <w:r>
              <w:rPr>
                <w:sz w:val="19"/>
              </w:rPr>
              <w:t>Stage E below.</w:t>
            </w:r>
          </w:p>
        </w:tc>
      </w:tr>
    </w:tbl>
    <w:p/>
    <w:p>
      <w:r>
        <w:t>Nothing in this document is a VRS actuarial result. Ledger 1 deliberately stops at the member payment and expresses the trust-fund cost as a ratio VRS must supply. That is the G13 discipline, not a gap in the work.</w:t>
      </w:r>
    </w:p>
    <w:p>
      <w:r>
        <w:rPr>
          <w:b/>
        </w:rPr>
        <w:t>Amendment 1, 12 October 2026 — §6.1 added</w:t>
      </w:r>
      <w:r>
        <w:t>, recording that both pathway pools are a 30 June 2025 snapshot and understate. No figure in sections 0 to 5 changed. Found while building V2-annex-VaLORS-prescore.</w:t>
      </w:r>
    </w:p>
    <w:p>
      <w:pPr>
        <w:jc w:val="left"/>
      </w:pPr>
      <w:r>
        <w:rPr>
          <w:color w:val="BBBBBB"/>
        </w:rPr>
        <w:t>______________________________________________________________________________________</w:t>
      </w:r>
    </w:p>
    <w:p>
      <w:pPr>
        <w:pStyle w:val="Heading1"/>
      </w:pPr>
      <w:r>
        <w:t>0. Headline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p>
        </w:tc>
        <w:tc>
          <w:tcPr>
            <w:tcW w:type="dxa" w:w="2412"/>
          </w:tcPr>
          <w:p>
            <w:r>
              <w:rPr>
                <w:b/>
                <w:sz w:val="19"/>
              </w:rPr>
            </w:r>
            <w:r>
              <w:rPr>
                <w:b/>
                <w:sz w:val="19"/>
              </w:rPr>
              <w:t>Low</w:t>
            </w:r>
          </w:p>
        </w:tc>
        <w:tc>
          <w:tcPr>
            <w:tcW w:type="dxa" w:w="2412"/>
          </w:tcPr>
          <w:p>
            <w:r>
              <w:rPr>
                <w:b/>
                <w:sz w:val="19"/>
              </w:rPr>
            </w:r>
            <w:r>
              <w:rPr>
                <w:b/>
                <w:sz w:val="19"/>
              </w:rPr>
              <w:t>Mid</w:t>
            </w:r>
          </w:p>
        </w:tc>
        <w:tc>
          <w:tcPr>
            <w:tcW w:type="dxa" w:w="2412"/>
          </w:tcPr>
          <w:p>
            <w:r>
              <w:rPr>
                <w:b/>
                <w:sz w:val="19"/>
              </w:rPr>
            </w:r>
            <w:r>
              <w:rPr>
                <w:b/>
                <w:sz w:val="19"/>
              </w:rPr>
              <w:t>High</w:t>
            </w:r>
          </w:p>
        </w:tc>
      </w:tr>
      <w:tr>
        <w:tc>
          <w:tcPr>
            <w:tcW w:type="dxa" w:w="2412"/>
          </w:tcPr>
          <w:p>
            <w:r>
              <w:rPr>
                <w:sz w:val="19"/>
              </w:rPr>
            </w:r>
            <w:r>
              <w:rPr>
                <w:sz w:val="19"/>
              </w:rPr>
              <w:t>Participants over the four-year pilot</w:t>
            </w:r>
          </w:p>
        </w:tc>
        <w:tc>
          <w:tcPr>
            <w:tcW w:type="dxa" w:w="2412"/>
          </w:tcPr>
          <w:p>
            <w:r>
              <w:rPr>
                <w:sz w:val="19"/>
              </w:rPr>
            </w:r>
            <w:r>
              <w:rPr>
                <w:sz w:val="19"/>
              </w:rPr>
              <w:t>17</w:t>
            </w:r>
          </w:p>
        </w:tc>
        <w:tc>
          <w:tcPr>
            <w:tcW w:type="dxa" w:w="2412"/>
          </w:tcPr>
          <w:p>
            <w:r>
              <w:rPr>
                <w:sz w:val="19"/>
              </w:rPr>
            </w:r>
            <w:r>
              <w:rPr>
                <w:sz w:val="19"/>
              </w:rPr>
              <w:t>42</w:t>
            </w:r>
          </w:p>
        </w:tc>
        <w:tc>
          <w:tcPr>
            <w:tcW w:type="dxa" w:w="2412"/>
          </w:tcPr>
          <w:p>
            <w:r>
              <w:rPr>
                <w:sz w:val="19"/>
              </w:rPr>
            </w:r>
            <w:r>
              <w:rPr>
                <w:sz w:val="19"/>
              </w:rPr>
              <w:t>86</w:t>
            </w:r>
          </w:p>
        </w:tc>
      </w:tr>
      <w:tr>
        <w:tc>
          <w:tcPr>
            <w:tcW w:type="dxa" w:w="2412"/>
          </w:tcPr>
          <w:p>
            <w:r>
              <w:rPr>
                <w:sz w:val="19"/>
              </w:rPr>
            </w:r>
            <w:r>
              <w:rPr>
                <w:sz w:val="19"/>
              </w:rPr>
              <w:t>— Retirement Incentive</w:t>
            </w:r>
          </w:p>
        </w:tc>
        <w:tc>
          <w:tcPr>
            <w:tcW w:type="dxa" w:w="2412"/>
          </w:tcPr>
          <w:p>
            <w:r>
              <w:rPr>
                <w:sz w:val="19"/>
              </w:rPr>
            </w:r>
            <w:r>
              <w:rPr>
                <w:sz w:val="19"/>
              </w:rPr>
              <w:t>12</w:t>
            </w:r>
          </w:p>
        </w:tc>
        <w:tc>
          <w:tcPr>
            <w:tcW w:type="dxa" w:w="2412"/>
          </w:tcPr>
          <w:p>
            <w:r>
              <w:rPr>
                <w:sz w:val="19"/>
              </w:rPr>
            </w:r>
            <w:r>
              <w:rPr>
                <w:sz w:val="19"/>
              </w:rPr>
              <w:t>30</w:t>
            </w:r>
          </w:p>
        </w:tc>
        <w:tc>
          <w:tcPr>
            <w:tcW w:type="dxa" w:w="2412"/>
          </w:tcPr>
          <w:p>
            <w:r>
              <w:rPr>
                <w:sz w:val="19"/>
              </w:rPr>
            </w:r>
            <w:r>
              <w:rPr>
                <w:sz w:val="19"/>
              </w:rPr>
              <w:t>62</w:t>
            </w:r>
          </w:p>
        </w:tc>
      </w:tr>
      <w:tr>
        <w:tc>
          <w:tcPr>
            <w:tcW w:type="dxa" w:w="2412"/>
          </w:tcPr>
          <w:p>
            <w:r>
              <w:rPr>
                <w:sz w:val="19"/>
              </w:rPr>
            </w:r>
            <w:r>
              <w:rPr>
                <w:sz w:val="19"/>
              </w:rPr>
              <w:t>— Retirement Bridge</w:t>
            </w:r>
          </w:p>
        </w:tc>
        <w:tc>
          <w:tcPr>
            <w:tcW w:type="dxa" w:w="2412"/>
          </w:tcPr>
          <w:p>
            <w:r>
              <w:rPr>
                <w:sz w:val="19"/>
              </w:rPr>
            </w:r>
            <w:r>
              <w:rPr>
                <w:sz w:val="19"/>
              </w:rPr>
              <w:t>5</w:t>
            </w:r>
          </w:p>
        </w:tc>
        <w:tc>
          <w:tcPr>
            <w:tcW w:type="dxa" w:w="2412"/>
          </w:tcPr>
          <w:p>
            <w:r>
              <w:rPr>
                <w:sz w:val="19"/>
              </w:rPr>
            </w:r>
            <w:r>
              <w:rPr>
                <w:sz w:val="19"/>
              </w:rPr>
              <w:t>12</w:t>
            </w:r>
          </w:p>
        </w:tc>
        <w:tc>
          <w:tcPr>
            <w:tcW w:type="dxa" w:w="2412"/>
          </w:tcPr>
          <w:p>
            <w:r>
              <w:rPr>
                <w:sz w:val="19"/>
              </w:rPr>
            </w:r>
            <w:r>
              <w:rPr>
                <w:sz w:val="19"/>
              </w:rPr>
              <w:t>24</w:t>
            </w:r>
          </w:p>
        </w:tc>
      </w:tr>
      <w:tr>
        <w:tc>
          <w:tcPr>
            <w:tcW w:type="dxa" w:w="2412"/>
          </w:tcPr>
          <w:p>
            <w:r>
              <w:rPr>
                <w:sz w:val="19"/>
              </w:rPr>
            </w:r>
            <w:r>
              <w:rPr>
                <w:sz w:val="19"/>
              </w:rPr>
              <w:t>Member payments into the trust fund</w:t>
            </w:r>
          </w:p>
        </w:tc>
        <w:tc>
          <w:tcPr>
            <w:tcW w:type="dxa" w:w="2412"/>
          </w:tcPr>
          <w:p>
            <w:r>
              <w:rPr>
                <w:sz w:val="19"/>
              </w:rPr>
            </w:r>
            <w:r>
              <w:rPr>
                <w:sz w:val="19"/>
              </w:rPr>
              <w:t>$231,000</w:t>
            </w:r>
          </w:p>
        </w:tc>
        <w:tc>
          <w:tcPr>
            <w:tcW w:type="dxa" w:w="2412"/>
          </w:tcPr>
          <w:p>
            <w:r>
              <w:rPr>
                <w:sz w:val="19"/>
              </w:rPr>
            </w:r>
            <w:r>
              <w:rPr>
                <w:sz w:val="19"/>
              </w:rPr>
              <w:t>$555,000</w:t>
            </w:r>
          </w:p>
        </w:tc>
        <w:tc>
          <w:tcPr>
            <w:tcW w:type="dxa" w:w="2412"/>
          </w:tcPr>
          <w:p>
            <w:r>
              <w:rPr>
                <w:sz w:val="19"/>
              </w:rPr>
            </w:r>
            <w:r>
              <w:rPr>
                <w:sz w:val="19"/>
              </w:rPr>
              <w:t>$1,156,000</w:t>
            </w:r>
          </w:p>
        </w:tc>
      </w:tr>
      <w:tr>
        <w:tc>
          <w:tcPr>
            <w:tcW w:type="dxa" w:w="2412"/>
          </w:tcPr>
          <w:p>
            <w:r>
              <w:rPr>
                <w:sz w:val="19"/>
              </w:rPr>
            </w:r>
            <w:r>
              <w:rPr>
                <w:sz w:val="19"/>
              </w:rPr>
              <w:t>Trust-fund subsidy, if actuarial cost is 2× ANC</w:t>
            </w:r>
          </w:p>
        </w:tc>
        <w:tc>
          <w:tcPr>
            <w:tcW w:type="dxa" w:w="2412"/>
          </w:tcPr>
          <w:p>
            <w:r>
              <w:rPr>
                <w:sz w:val="19"/>
              </w:rPr>
            </w:r>
            <w:r>
              <w:rPr>
                <w:sz w:val="19"/>
              </w:rPr>
              <w:t>$231,000</w:t>
            </w:r>
          </w:p>
        </w:tc>
        <w:tc>
          <w:tcPr>
            <w:tcW w:type="dxa" w:w="2412"/>
          </w:tcPr>
          <w:p>
            <w:r>
              <w:rPr>
                <w:sz w:val="19"/>
              </w:rPr>
            </w:r>
            <w:r>
              <w:rPr>
                <w:sz w:val="19"/>
              </w:rPr>
              <w:t>$555,000</w:t>
            </w:r>
          </w:p>
        </w:tc>
        <w:tc>
          <w:tcPr>
            <w:tcW w:type="dxa" w:w="2412"/>
          </w:tcPr>
          <w:p>
            <w:r>
              <w:rPr>
                <w:sz w:val="19"/>
              </w:rPr>
            </w:r>
            <w:r>
              <w:rPr>
                <w:sz w:val="19"/>
              </w:rPr>
              <w:t>$1,156,000</w:t>
            </w:r>
          </w:p>
        </w:tc>
      </w:tr>
      <w:tr>
        <w:tc>
          <w:tcPr>
            <w:tcW w:type="dxa" w:w="2412"/>
          </w:tcPr>
          <w:p>
            <w:r>
              <w:rPr>
                <w:sz w:val="19"/>
              </w:rPr>
            </w:r>
            <w:r>
              <w:rPr>
                <w:sz w:val="19"/>
              </w:rPr>
              <w:t>Agency payroll saving, annual run-rate (replacement at 85%, 3% not refilled)</w:t>
            </w:r>
          </w:p>
        </w:tc>
        <w:tc>
          <w:tcPr>
            <w:tcW w:type="dxa" w:w="2412"/>
          </w:tcPr>
          <w:p>
            <w:r>
              <w:rPr>
                <w:sz w:val="19"/>
              </w:rPr>
            </w:r>
            <w:r>
              <w:rPr>
                <w:sz w:val="19"/>
              </w:rPr>
              <w:t>$287,000</w:t>
            </w:r>
          </w:p>
        </w:tc>
        <w:tc>
          <w:tcPr>
            <w:tcW w:type="dxa" w:w="2412"/>
          </w:tcPr>
          <w:p>
            <w:r>
              <w:rPr>
                <w:sz w:val="19"/>
              </w:rPr>
            </w:r>
            <w:r>
              <w:rPr>
                <w:sz w:val="19"/>
              </w:rPr>
              <w:t>$690,000</w:t>
            </w:r>
          </w:p>
        </w:tc>
        <w:tc>
          <w:tcPr>
            <w:tcW w:type="dxa" w:w="2412"/>
          </w:tcPr>
          <w:p>
            <w:r>
              <w:rPr>
                <w:sz w:val="19"/>
              </w:rPr>
            </w:r>
            <w:r>
              <w:rPr>
                <w:sz w:val="19"/>
              </w:rPr>
              <w:t>$1,437,000</w:t>
            </w:r>
          </w:p>
        </w:tc>
      </w:tr>
    </w:tbl>
    <w:p/>
    <w:p>
      <w:r>
        <w:t>Reach on the mid case is 42 veterans over four years out of 28,994 Plan 1/Plan 2 state employees. The three dials are take-up (board-set), veteran share, and share holding qualifying purchasable service. Moving all three together instead of take-up alone gives a range of 9 to 141 — section 6.</w:t>
      </w:r>
    </w:p>
    <w:p>
      <w:pPr>
        <w:jc w:val="left"/>
      </w:pPr>
      <w:r>
        <w:rPr>
          <w:color w:val="BBBBBB"/>
        </w:rPr>
        <w:t>______________________________________________________________________________________</w:t>
      </w:r>
    </w:p>
    <w:p>
      <w:pPr>
        <w:pStyle w:val="Heading1"/>
      </w:pPr>
      <w:r>
        <w:t>1. Stage A — the denominator</w:t>
      </w:r>
    </w:p>
    <w:p>
      <w:r>
        <w:t xml:space="preserve">Source of record: VRS </w:t>
      </w:r>
      <w:r>
        <w:rPr>
          <w:i/>
        </w:rPr>
        <w:t>Annual Actuarial Valuation, June 30, 2025</w:t>
      </w:r>
      <w:r>
        <w:t>, "Active Participant Detail," p. 49, and "Active Participants — Tabulated by Age and Total Service — State Employees," p. 50. Retrieved 12 October 2026.</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Verified fact</w:t>
            </w:r>
          </w:p>
        </w:tc>
        <w:tc>
          <w:tcPr>
            <w:tcW w:type="dxa" w:w="4824"/>
          </w:tcPr>
          <w:p>
            <w:r>
              <w:rPr>
                <w:b/>
                <w:sz w:val="19"/>
              </w:rPr>
            </w:r>
            <w:r>
              <w:rPr>
                <w:b/>
                <w:sz w:val="19"/>
              </w:rPr>
              <w:t>Value</w:t>
            </w:r>
          </w:p>
        </w:tc>
      </w:tr>
      <w:tr>
        <w:tc>
          <w:tcPr>
            <w:tcW w:type="dxa" w:w="4824"/>
          </w:tcPr>
          <w:p>
            <w:r>
              <w:rPr>
                <w:sz w:val="19"/>
              </w:rPr>
            </w:r>
            <w:r>
              <w:rPr>
                <w:sz w:val="19"/>
              </w:rPr>
              <w:t>Active participants, VRS State Employees plan</w:t>
            </w:r>
          </w:p>
        </w:tc>
        <w:tc>
          <w:tcPr>
            <w:tcW w:type="dxa" w:w="4824"/>
          </w:tcPr>
          <w:p>
            <w:r>
              <w:rPr>
                <w:sz w:val="19"/>
              </w:rPr>
            </w:r>
            <w:r>
              <w:rPr>
                <w:sz w:val="19"/>
              </w:rPr>
              <w:t>81,274</w:t>
            </w:r>
          </w:p>
        </w:tc>
      </w:tr>
      <w:tr>
        <w:tc>
          <w:tcPr>
            <w:tcW w:type="dxa" w:w="4824"/>
          </w:tcPr>
          <w:p>
            <w:r>
              <w:rPr>
                <w:sz w:val="19"/>
              </w:rPr>
            </w:r>
            <w:r>
              <w:rPr>
                <w:sz w:val="19"/>
              </w:rPr>
              <w:t>Annual compensation</w:t>
            </w:r>
          </w:p>
        </w:tc>
        <w:tc>
          <w:tcPr>
            <w:tcW w:type="dxa" w:w="4824"/>
          </w:tcPr>
          <w:p>
            <w:r>
              <w:rPr>
                <w:sz w:val="19"/>
              </w:rPr>
            </w:r>
            <w:r>
              <w:rPr>
                <w:sz w:val="19"/>
              </w:rPr>
              <w:t>$6,275,603,114</w:t>
            </w:r>
          </w:p>
        </w:tc>
      </w:tr>
      <w:tr>
        <w:tc>
          <w:tcPr>
            <w:tcW w:type="dxa" w:w="4824"/>
          </w:tcPr>
          <w:p>
            <w:r>
              <w:rPr>
                <w:sz w:val="19"/>
              </w:rPr>
            </w:r>
            <w:r>
              <w:rPr>
                <w:sz w:val="19"/>
              </w:rPr>
              <w:t>Average annual compensation</w:t>
            </w:r>
          </w:p>
        </w:tc>
        <w:tc>
          <w:tcPr>
            <w:tcW w:type="dxa" w:w="4824"/>
          </w:tcPr>
          <w:p>
            <w:r>
              <w:rPr>
                <w:sz w:val="19"/>
              </w:rPr>
            </w:r>
            <w:r>
              <w:rPr>
                <w:sz w:val="19"/>
              </w:rPr>
              <w:t>$77,215</w:t>
            </w:r>
          </w:p>
        </w:tc>
      </w:tr>
      <w:tr>
        <w:tc>
          <w:tcPr>
            <w:tcW w:type="dxa" w:w="4824"/>
          </w:tcPr>
          <w:p>
            <w:r>
              <w:rPr>
                <w:sz w:val="19"/>
              </w:rPr>
            </w:r>
            <w:r>
              <w:rPr>
                <w:sz w:val="19"/>
              </w:rPr>
              <w:t>Average age</w:t>
            </w:r>
          </w:p>
        </w:tc>
        <w:tc>
          <w:tcPr>
            <w:tcW w:type="dxa" w:w="4824"/>
          </w:tcPr>
          <w:p>
            <w:r>
              <w:rPr>
                <w:sz w:val="19"/>
              </w:rPr>
            </w:r>
            <w:r>
              <w:rPr>
                <w:sz w:val="19"/>
              </w:rPr>
              <w:t>46.9</w:t>
            </w:r>
          </w:p>
        </w:tc>
      </w:tr>
      <w:tr>
        <w:tc>
          <w:tcPr>
            <w:tcW w:type="dxa" w:w="4824"/>
          </w:tcPr>
          <w:p>
            <w:r>
              <w:rPr>
                <w:sz w:val="19"/>
              </w:rPr>
            </w:r>
            <w:r>
              <w:rPr>
                <w:sz w:val="19"/>
              </w:rPr>
              <w:t>Average total service</w:t>
            </w:r>
          </w:p>
        </w:tc>
        <w:tc>
          <w:tcPr>
            <w:tcW w:type="dxa" w:w="4824"/>
          </w:tcPr>
          <w:p>
            <w:r>
              <w:rPr>
                <w:sz w:val="19"/>
              </w:rPr>
            </w:r>
            <w:r>
              <w:rPr>
                <w:sz w:val="19"/>
              </w:rPr>
              <w:t>11.0</w:t>
            </w:r>
          </w:p>
        </w:tc>
      </w:tr>
      <w:tr>
        <w:tc>
          <w:tcPr>
            <w:tcW w:type="dxa" w:w="4824"/>
          </w:tcPr>
          <w:p>
            <w:r>
              <w:rPr>
                <w:sz w:val="19"/>
              </w:rPr>
            </w:r>
            <w:r>
              <w:rPr>
                <w:sz w:val="19"/>
              </w:rPr>
              <w:t>Average entry age</w:t>
            </w:r>
          </w:p>
        </w:tc>
        <w:tc>
          <w:tcPr>
            <w:tcW w:type="dxa" w:w="4824"/>
          </w:tcPr>
          <w:p>
            <w:r>
              <w:rPr>
                <w:sz w:val="19"/>
              </w:rPr>
            </w:r>
            <w:r>
              <w:rPr>
                <w:sz w:val="19"/>
              </w:rPr>
              <w:t>36.8</w:t>
            </w:r>
          </w:p>
        </w:tc>
      </w:tr>
    </w:tbl>
    <w:p/>
    <w:p>
      <w:r>
        <w:t>Plan-tier split. VRS does not publish the State Employees plan broken out by Plan 1 / Plan 2 / Hybrid. G24 asks for exactly that count. Until it arrives, the split is derived from the published age × total-service table using the statutory tier boundaries:</w:t>
      </w:r>
    </w:p>
    <w:p>
      <w:pPr>
        <w:pStyle w:val="ListBullet"/>
      </w:pPr>
      <w:r>
        <w:t>Plan 1 — hired before 1 July 2010 → total service ≥ 15.0 years at 30 June 2025</w:t>
      </w:r>
    </w:p>
    <w:p>
      <w:pPr>
        <w:pStyle w:val="ListBullet"/>
      </w:pPr>
      <w:r>
        <w:t>Plan 2 — hired 1 July 2010 to 31 December 2013 → total service 11.5–15.0 years</w:t>
      </w:r>
    </w:p>
    <w:p>
      <w:pPr>
        <w:pStyle w:val="ListBullet"/>
      </w:pPr>
      <w:r>
        <w:t>Hybrid — hired on or after 1 January 2014 → total service &lt; 11.5 years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Tier</w:t>
            </w:r>
          </w:p>
        </w:tc>
        <w:tc>
          <w:tcPr>
            <w:tcW w:type="dxa" w:w="3216"/>
          </w:tcPr>
          <w:p>
            <w:r>
              <w:rPr>
                <w:b/>
                <w:sz w:val="19"/>
              </w:rPr>
            </w:r>
            <w:r>
              <w:rPr>
                <w:b/>
                <w:sz w:val="19"/>
              </w:rPr>
              <w:t>State employees (derived)</w:t>
            </w:r>
          </w:p>
        </w:tc>
        <w:tc>
          <w:tcPr>
            <w:tcW w:type="dxa" w:w="3216"/>
          </w:tcPr>
          <w:p>
            <w:r>
              <w:rPr>
                <w:b/>
                <w:sz w:val="19"/>
              </w:rPr>
            </w:r>
            <w:r>
              <w:rPr>
                <w:b/>
                <w:sz w:val="19"/>
              </w:rPr>
              <w:t>Average salary</w:t>
            </w:r>
          </w:p>
        </w:tc>
      </w:tr>
      <w:tr>
        <w:tc>
          <w:tcPr>
            <w:tcW w:type="dxa" w:w="3216"/>
          </w:tcPr>
          <w:p>
            <w:r>
              <w:rPr>
                <w:sz w:val="19"/>
              </w:rPr>
            </w:r>
            <w:r>
              <w:rPr>
                <w:sz w:val="19"/>
              </w:rPr>
              <w:t>Plan 1</w:t>
            </w:r>
          </w:p>
        </w:tc>
        <w:tc>
          <w:tcPr>
            <w:tcW w:type="dxa" w:w="3216"/>
          </w:tcPr>
          <w:p>
            <w:r>
              <w:rPr>
                <w:sz w:val="19"/>
              </w:rPr>
            </w:r>
            <w:r>
              <w:rPr>
                <w:sz w:val="19"/>
              </w:rPr>
              <w:t>20,872</w:t>
            </w:r>
          </w:p>
        </w:tc>
        <w:tc>
          <w:tcPr>
            <w:tcW w:type="dxa" w:w="3216"/>
          </w:tcPr>
          <w:p>
            <w:r>
              <w:rPr>
                <w:sz w:val="19"/>
              </w:rPr>
            </w:r>
            <w:r>
              <w:rPr>
                <w:sz w:val="19"/>
              </w:rPr>
              <w:t>$83,307</w:t>
            </w:r>
          </w:p>
        </w:tc>
      </w:tr>
      <w:tr>
        <w:tc>
          <w:tcPr>
            <w:tcW w:type="dxa" w:w="3216"/>
          </w:tcPr>
          <w:p>
            <w:r>
              <w:rPr>
                <w:sz w:val="19"/>
              </w:rPr>
            </w:r>
            <w:r>
              <w:rPr>
                <w:sz w:val="19"/>
              </w:rPr>
              <w:t>Plan 2</w:t>
            </w:r>
          </w:p>
        </w:tc>
        <w:tc>
          <w:tcPr>
            <w:tcW w:type="dxa" w:w="3216"/>
          </w:tcPr>
          <w:p>
            <w:r>
              <w:rPr>
                <w:sz w:val="19"/>
              </w:rPr>
            </w:r>
            <w:r>
              <w:rPr>
                <w:sz w:val="19"/>
              </w:rPr>
              <w:t>8,122</w:t>
            </w:r>
          </w:p>
        </w:tc>
        <w:tc>
          <w:tcPr>
            <w:tcW w:type="dxa" w:w="3216"/>
          </w:tcPr>
          <w:p>
            <w:r>
              <w:rPr>
                <w:sz w:val="19"/>
              </w:rPr>
            </w:r>
            <w:r>
              <w:rPr>
                <w:sz w:val="19"/>
              </w:rPr>
              <w:t>$81,071</w:t>
            </w:r>
          </w:p>
        </w:tc>
      </w:tr>
      <w:tr>
        <w:tc>
          <w:tcPr>
            <w:tcW w:type="dxa" w:w="3216"/>
          </w:tcPr>
          <w:p>
            <w:r>
              <w:rPr>
                <w:sz w:val="19"/>
              </w:rPr>
            </w:r>
            <w:r>
              <w:rPr>
                <w:sz w:val="19"/>
              </w:rPr>
              <w:t>Plan 1 + Plan 2 — the modeling denominator</w:t>
            </w:r>
          </w:p>
        </w:tc>
        <w:tc>
          <w:tcPr>
            <w:tcW w:type="dxa" w:w="3216"/>
          </w:tcPr>
          <w:p>
            <w:r>
              <w:rPr>
                <w:sz w:val="19"/>
              </w:rPr>
            </w:r>
            <w:r>
              <w:rPr>
                <w:sz w:val="19"/>
              </w:rPr>
              <w:t>28,994</w:t>
            </w:r>
          </w:p>
        </w:tc>
        <w:tc>
          <w:tcPr>
            <w:tcW w:type="dxa" w:w="3216"/>
          </w:tcPr>
          <w:p>
            <w:r>
              <w:rPr>
                <w:sz w:val="19"/>
              </w:rPr>
            </w:r>
            <w:r>
              <w:rPr>
                <w:sz w:val="19"/>
              </w:rPr>
              <w:t>$82,680</w:t>
            </w:r>
          </w:p>
        </w:tc>
      </w:tr>
      <w:tr>
        <w:tc>
          <w:tcPr>
            <w:tcW w:type="dxa" w:w="3216"/>
          </w:tcPr>
          <w:p>
            <w:r>
              <w:rPr>
                <w:sz w:val="19"/>
              </w:rPr>
            </w:r>
            <w:r>
              <w:rPr>
                <w:sz w:val="19"/>
              </w:rPr>
              <w:t>Hybrid (excluded by G15)</w:t>
            </w:r>
          </w:p>
        </w:tc>
        <w:tc>
          <w:tcPr>
            <w:tcW w:type="dxa" w:w="3216"/>
          </w:tcPr>
          <w:p>
            <w:r>
              <w:rPr>
                <w:sz w:val="19"/>
              </w:rPr>
            </w:r>
            <w:r>
              <w:rPr>
                <w:sz w:val="19"/>
              </w:rPr>
              <w:t>52,280</w:t>
            </w:r>
          </w:p>
        </w:tc>
        <w:tc>
          <w:tcPr>
            <w:tcW w:type="dxa" w:w="3216"/>
          </w:tcPr>
          <w:p>
            <w:r>
              <w:rPr>
                <w:sz w:val="19"/>
              </w:rPr>
            </w:r>
            <w:r>
              <w:rPr>
                <w:sz w:val="19"/>
              </w:rPr>
              <w:t>$74,184</w:t>
            </w:r>
          </w:p>
        </w:tc>
      </w:tr>
    </w:tbl>
    <w:p/>
    <w:p>
      <w:r>
        <w:t>This is materially smaller than the pro-rata illustration. The earlier note in V2-goal-set.docx / .pdf §6.2(a) estimated roughly 39,000 Plan 1/Plan 2 state employees by applying the system-wide plan mix. The derived figure is 28,994 — about 26% lower. State service churns faster than the teacher population, so it is more Hybrid-weighted than the system as a whole. Every participant figure below would be overstated by a third if the pro-rata number were used.</w:t>
      </w:r>
    </w:p>
    <w:p>
      <w:r>
        <w:t>Known weaknesses of the service proxy, all resolved by the G24 count: a member who refunded and returned, bought prior service, or had a break in service can hold total service that does not match their hire date. Section 6 tests the boundaries; the derived total moves between 26,964 and 28,994 and the pathway pools move by less than 3%.</w:t>
      </w:r>
    </w:p>
    <w:p>
      <w:r>
        <w:t>Scope note — decision 4 applied. This is the VRS State Employees (non-hazardous-duty) plan only. State Police (1,902), Judicial (473) and Virginia Law Officers (7,459) are separate state plans with much higher approximate-normal-cost price rates — 23.78% hazardous and 31.97% judicial against 12.50% for Plan 1 non-hazardous, so roughly 1.9× and 2.6× the price per year purchased. The board decided on 12 October 2026 to exclude them and to state the exclusion expressly in the bill. This is no longer a gap in the goal set; it is a scope decision carried in G20 and in the drafting request.</w:t>
      </w:r>
    </w:p>
    <w:p>
      <w:pPr>
        <w:jc w:val="left"/>
      </w:pPr>
      <w:r>
        <w:rPr>
          <w:color w:val="BBBBBB"/>
        </w:rPr>
        <w:t>______________________________________________________________________________________</w:t>
      </w:r>
    </w:p>
    <w:p>
      <w:pPr>
        <w:pStyle w:val="Heading1"/>
      </w:pPr>
      <w:r>
        <w:t>2. Stage B — who each pathway can actually reach</w:t>
      </w:r>
    </w:p>
    <w:p>
      <w:r>
        <w:t>Computed cell by cell from the p. 50 age × service table, using the statutory eligibility rules, both verified verbatim:</w:t>
      </w:r>
    </w:p>
    <w:p>
      <w:pPr>
        <w:pStyle w:val="ListBullet"/>
      </w:pPr>
      <w:r>
        <w:t>Plan 1 unreduced: "age 65 with at least five years of service credit or at age 50 with at least 30 years of service credit" — VRS Plan 1 Handbook for Members, Unreduced Retirement.</w:t>
      </w:r>
    </w:p>
    <w:p>
      <w:pPr>
        <w:pStyle w:val="ListBullet"/>
      </w:pPr>
      <w:r>
        <w:t>Plan 2 unreduced: "normal Social Security retirement age with at least five years of service credit or when your age and service credit equal 90" — VRS Plan 2 Handbook for Members, Unreduced Retirement. Modeled at age 67.</w:t>
      </w:r>
    </w:p>
    <w:p>
      <w:pPr>
        <w:pStyle w:val="Heading2"/>
      </w:pPr>
      <w:r>
        <w:t>2.1 The finding that should change how G9 is used</w:t>
      </w:r>
    </w:p>
    <w:p>
      <w:r>
        <w:t>G9 screens on members "within 4 years of the unreduced threshold." For the Incentive that screen is irrelevant — the Incentive cohort is already past the threshold. For the Bridge that screen is simply the wrong test, and it roughly doubles the pool.</w:t>
      </w:r>
    </w:p>
    <w:p>
      <w:r>
        <w:t>Purchased service credit adds service. It does not add age. So the Bridge can only help a member whose eligibility path is service-based:</w:t>
      </w:r>
    </w:p>
    <w:p>
      <w:pPr>
        <w:pStyle w:val="ListBullet"/>
      </w:pPr>
      <w:r>
        <w:t>Plan 1's age 50 + 30 years rule — purchasable, if the member is already 50 or older.</w:t>
      </w:r>
    </w:p>
    <w:p>
      <w:pPr>
        <w:pStyle w:val="ListBullet"/>
      </w:pPr>
      <w:r>
        <w:t>Plan 2's Rule of 90 — purchasable in principle.</w:t>
      </w:r>
    </w:p>
    <w:p>
      <w:pPr>
        <w:pStyle w:val="ListBullet"/>
      </w:pPr>
      <w:r>
        <w:t>Plan 1's age 65 rule and Plan 2's age-67 rule — not purchasable at any price. A 61-year-old Plan 1 member with 12 years of service is "within 4 years of the threshold" and cannot be bridged at all. Four years of military credit moves their eligibility date by zero days.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Screen</w:t>
            </w:r>
          </w:p>
        </w:tc>
        <w:tc>
          <w:tcPr>
            <w:tcW w:type="dxa" w:w="2412"/>
          </w:tcPr>
          <w:p>
            <w:r>
              <w:rPr>
                <w:b/>
                <w:sz w:val="19"/>
              </w:rPr>
            </w:r>
            <w:r>
              <w:rPr>
                <w:b/>
                <w:sz w:val="19"/>
              </w:rPr>
              <w:t>Plan 1</w:t>
            </w:r>
          </w:p>
        </w:tc>
        <w:tc>
          <w:tcPr>
            <w:tcW w:type="dxa" w:w="2412"/>
          </w:tcPr>
          <w:p>
            <w:r>
              <w:rPr>
                <w:b/>
                <w:sz w:val="19"/>
              </w:rPr>
            </w:r>
            <w:r>
              <w:rPr>
                <w:b/>
                <w:sz w:val="19"/>
              </w:rPr>
              <w:t>Plan 2</w:t>
            </w:r>
          </w:p>
        </w:tc>
        <w:tc>
          <w:tcPr>
            <w:tcW w:type="dxa" w:w="2412"/>
          </w:tcPr>
          <w:p>
            <w:r>
              <w:rPr>
                <w:b/>
                <w:sz w:val="19"/>
              </w:rPr>
            </w:r>
            <w:r>
              <w:rPr>
                <w:b/>
                <w:sz w:val="19"/>
              </w:rPr>
              <w:t>Total</w:t>
            </w:r>
          </w:p>
        </w:tc>
      </w:tr>
      <w:tr>
        <w:tc>
          <w:tcPr>
            <w:tcW w:type="dxa" w:w="2412"/>
          </w:tcPr>
          <w:p>
            <w:r>
              <w:rPr>
                <w:sz w:val="19"/>
              </w:rPr>
            </w:r>
            <w:r>
              <w:rPr>
                <w:sz w:val="19"/>
              </w:rPr>
              <w:t>G9 as written — within 4 years of the threshold</w:t>
            </w:r>
          </w:p>
        </w:tc>
        <w:tc>
          <w:tcPr>
            <w:tcW w:type="dxa" w:w="2412"/>
          </w:tcPr>
          <w:p>
            <w:r>
              <w:rPr>
                <w:sz w:val="19"/>
              </w:rPr>
            </w:r>
            <w:r>
              <w:rPr>
                <w:sz w:val="19"/>
              </w:rPr>
              <w:t>4,635</w:t>
            </w:r>
          </w:p>
        </w:tc>
        <w:tc>
          <w:tcPr>
            <w:tcW w:type="dxa" w:w="2412"/>
          </w:tcPr>
          <w:p>
            <w:r>
              <w:rPr>
                <w:sz w:val="19"/>
              </w:rPr>
            </w:r>
            <w:r>
              <w:rPr>
                <w:sz w:val="19"/>
              </w:rPr>
              <w:t>542</w:t>
            </w:r>
          </w:p>
        </w:tc>
        <w:tc>
          <w:tcPr>
            <w:tcW w:type="dxa" w:w="2412"/>
          </w:tcPr>
          <w:p>
            <w:r>
              <w:rPr>
                <w:sz w:val="19"/>
              </w:rPr>
            </w:r>
            <w:r>
              <w:rPr>
                <w:sz w:val="19"/>
              </w:rPr>
              <w:t>5,177</w:t>
            </w:r>
          </w:p>
        </w:tc>
      </w:tr>
      <w:tr>
        <w:tc>
          <w:tcPr>
            <w:tcW w:type="dxa" w:w="2412"/>
          </w:tcPr>
          <w:p>
            <w:r>
              <w:rPr>
                <w:sz w:val="19"/>
              </w:rPr>
            </w:r>
            <w:r>
              <w:rPr>
                <w:sz w:val="19"/>
              </w:rPr>
              <w:t>Can actually be bridged — reaches the threshold today with ≤48 months purchased</w:t>
            </w:r>
          </w:p>
        </w:tc>
        <w:tc>
          <w:tcPr>
            <w:tcW w:type="dxa" w:w="2412"/>
          </w:tcPr>
          <w:p>
            <w:r>
              <w:rPr>
                <w:sz w:val="19"/>
              </w:rPr>
            </w:r>
            <w:r>
              <w:rPr>
                <w:sz w:val="19"/>
              </w:rPr>
              <w:t>2,396</w:t>
            </w:r>
          </w:p>
        </w:tc>
        <w:tc>
          <w:tcPr>
            <w:tcW w:type="dxa" w:w="2412"/>
          </w:tcPr>
          <w:p>
            <w:r>
              <w:rPr>
                <w:sz w:val="19"/>
              </w:rPr>
            </w:r>
            <w:r>
              <w:rPr>
                <w:sz w:val="19"/>
              </w:rPr>
              <w:t>0</w:t>
            </w:r>
          </w:p>
        </w:tc>
        <w:tc>
          <w:tcPr>
            <w:tcW w:type="dxa" w:w="2412"/>
          </w:tcPr>
          <w:p>
            <w:r>
              <w:rPr>
                <w:sz w:val="19"/>
              </w:rPr>
            </w:r>
            <w:r>
              <w:rPr>
                <w:sz w:val="19"/>
              </w:rPr>
              <w:t>2,396</w:t>
            </w:r>
          </w:p>
        </w:tc>
      </w:tr>
    </w:tbl>
    <w:p/>
    <w:p>
      <w:r>
        <w:t>The G9 screen overstates the Bridge pool by 2.2×. Decision 3, taken 12 October 2026: the purchasable screen governs. The Bridge population is "members who can reach the unreduced threshold by purchasing up to 48 months of service credit" — 2,396. G9's "within four years" screen is retired as a Bridge figure; it may appear in a fiscal note only if labelled as the superseded screen, with the reason. No goal text changed; the application did.</w:t>
      </w:r>
    </w:p>
    <w:p>
      <w:pPr>
        <w:pStyle w:val="Heading2"/>
      </w:pPr>
      <w:r>
        <w:t>2.2 The Bridge is a Plan 1 mechanism</w:t>
      </w:r>
    </w:p>
    <w:p>
      <w:r>
        <w:t>Plan 2 Bridge population: zero. Not small — structurally zero, and it will stay zero for the whole pilot. A Plan 2 member holds at most 15.5 years of service. Rule of 90 therefore needs age 74.5 or more, and anyone that old already qualified at 67 under the age rule, which puts them in the Incentive pathway. There is no Plan 2 member for whom buying service accelerates eligibility.</w:t>
      </w:r>
    </w:p>
    <w:p>
      <w:r>
        <w:t>G2 names Plan 1 and Plan 2 for the Bridge. That is correct drafting — Plan 2 members should be legally eligible — but the fiscal note must say the expected Plan 2 Bridge count is zero, or VRS will reasonably reserve for a population that does not exist. Decision 5(a), taken 12 October 2026: confirmed. Plan 2 stays legally eligible and is scored at zero for the whole pilot. The zero is a feature of the calendar, not of the plan — Plan 2 members keep accruing service, so a Plan 2 Rule-of-90 Bridge cohort does eventually exist. It does not exist inside a pilot running 2027–2031.</w:t>
      </w:r>
    </w:p>
    <w:p>
      <w:pPr>
        <w:pStyle w:val="Heading2"/>
      </w:pPr>
      <w:r>
        <w:t>2.3 Pathway pools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Pool</w:t>
            </w:r>
          </w:p>
        </w:tc>
        <w:tc>
          <w:tcPr>
            <w:tcW w:type="dxa" w:w="2412"/>
          </w:tcPr>
          <w:p>
            <w:r>
              <w:rPr>
                <w:b/>
                <w:sz w:val="19"/>
              </w:rPr>
            </w:r>
            <w:r>
              <w:rPr>
                <w:b/>
                <w:sz w:val="19"/>
              </w:rPr>
              <w:t>Count</w:t>
            </w:r>
          </w:p>
        </w:tc>
        <w:tc>
          <w:tcPr>
            <w:tcW w:type="dxa" w:w="2412"/>
          </w:tcPr>
          <w:p>
            <w:r>
              <w:rPr>
                <w:b/>
                <w:sz w:val="19"/>
              </w:rPr>
            </w:r>
            <w:r>
              <w:rPr>
                <w:b/>
                <w:sz w:val="19"/>
              </w:rPr>
              <w:t>Average salary</w:t>
            </w:r>
          </w:p>
        </w:tc>
        <w:tc>
          <w:tcPr>
            <w:tcW w:type="dxa" w:w="2412"/>
          </w:tcPr>
          <w:p>
            <w:r>
              <w:rPr>
                <w:b/>
                <w:sz w:val="19"/>
              </w:rPr>
            </w:r>
            <w:r>
              <w:rPr>
                <w:b/>
                <w:sz w:val="19"/>
              </w:rPr>
              <w:t>Composition</w:t>
            </w:r>
          </w:p>
        </w:tc>
      </w:tr>
      <w:tr>
        <w:tc>
          <w:tcPr>
            <w:tcW w:type="dxa" w:w="2412"/>
          </w:tcPr>
          <w:p>
            <w:r>
              <w:rPr>
                <w:sz w:val="19"/>
              </w:rPr>
            </w:r>
            <w:r>
              <w:rPr>
                <w:sz w:val="19"/>
              </w:rPr>
              <w:t>Incentive — already eligible for unreduced retirement</w:t>
            </w:r>
          </w:p>
        </w:tc>
        <w:tc>
          <w:tcPr>
            <w:tcW w:type="dxa" w:w="2412"/>
          </w:tcPr>
          <w:p>
            <w:r>
              <w:rPr>
                <w:sz w:val="19"/>
              </w:rPr>
            </w:r>
            <w:r>
              <w:rPr>
                <w:sz w:val="19"/>
              </w:rPr>
              <w:t>6,254</w:t>
            </w:r>
          </w:p>
        </w:tc>
        <w:tc>
          <w:tcPr>
            <w:tcW w:type="dxa" w:w="2412"/>
          </w:tcPr>
          <w:p>
            <w:r>
              <w:rPr>
                <w:sz w:val="19"/>
              </w:rPr>
            </w:r>
            <w:r>
              <w:rPr>
                <w:sz w:val="19"/>
              </w:rPr>
              <w:t>$84,753</w:t>
            </w:r>
          </w:p>
        </w:tc>
        <w:tc>
          <w:tcPr>
            <w:tcW w:type="dxa" w:w="2412"/>
          </w:tcPr>
          <w:p>
            <w:r>
              <w:rPr>
                <w:sz w:val="19"/>
              </w:rPr>
            </w:r>
            <w:r>
              <w:rPr>
                <w:sz w:val="19"/>
              </w:rPr>
              <w:t>Plan 1 5,928 (94.8%) · Plan 2 326</w:t>
            </w:r>
          </w:p>
        </w:tc>
      </w:tr>
      <w:tr>
        <w:tc>
          <w:tcPr>
            <w:tcW w:type="dxa" w:w="2412"/>
          </w:tcPr>
          <w:p>
            <w:r>
              <w:rPr>
                <w:sz w:val="19"/>
              </w:rPr>
            </w:r>
            <w:r>
              <w:rPr>
                <w:sz w:val="19"/>
              </w:rPr>
              <w:t>Bridge — reaches the threshold with ≤48 months purchased</w:t>
            </w:r>
          </w:p>
        </w:tc>
        <w:tc>
          <w:tcPr>
            <w:tcW w:type="dxa" w:w="2412"/>
          </w:tcPr>
          <w:p>
            <w:r>
              <w:rPr>
                <w:sz w:val="19"/>
              </w:rPr>
            </w:r>
            <w:r>
              <w:rPr>
                <w:sz w:val="19"/>
              </w:rPr>
              <w:t>2,396</w:t>
            </w:r>
          </w:p>
        </w:tc>
        <w:tc>
          <w:tcPr>
            <w:tcW w:type="dxa" w:w="2412"/>
          </w:tcPr>
          <w:p>
            <w:r>
              <w:rPr>
                <w:sz w:val="19"/>
              </w:rPr>
            </w:r>
            <w:r>
              <w:rPr>
                <w:sz w:val="19"/>
              </w:rPr>
              <w:t>$83,222</w:t>
            </w:r>
          </w:p>
        </w:tc>
        <w:tc>
          <w:tcPr>
            <w:tcW w:type="dxa" w:w="2412"/>
          </w:tcPr>
          <w:p>
            <w:r>
              <w:rPr>
                <w:sz w:val="19"/>
              </w:rPr>
            </w:r>
            <w:r>
              <w:rPr>
                <w:sz w:val="19"/>
              </w:rPr>
              <w:t>Plan 1 2,396 · Plan 2 0</w:t>
            </w:r>
          </w:p>
        </w:tc>
      </w:tr>
      <w:tr>
        <w:tc>
          <w:tcPr>
            <w:tcW w:type="dxa" w:w="2412"/>
          </w:tcPr>
          <w:p>
            <w:r>
              <w:rPr>
                <w:sz w:val="19"/>
              </w:rPr>
            </w:r>
            <w:r>
              <w:rPr>
                <w:sz w:val="19"/>
              </w:rPr>
              <w:t>Combined pathway-eligible</w:t>
            </w:r>
          </w:p>
        </w:tc>
        <w:tc>
          <w:tcPr>
            <w:tcW w:type="dxa" w:w="2412"/>
          </w:tcPr>
          <w:p>
            <w:r>
              <w:rPr>
                <w:sz w:val="19"/>
              </w:rPr>
            </w:r>
            <w:r>
              <w:rPr>
                <w:sz w:val="19"/>
              </w:rPr>
              <w:t>8,650</w:t>
            </w:r>
          </w:p>
        </w:tc>
        <w:tc>
          <w:tcPr>
            <w:tcW w:type="dxa" w:w="2412"/>
          </w:tcPr>
          <w:p>
            <w:r>
              <w:rPr>
                <w:sz w:val="19"/>
              </w:rPr>
            </w:r>
            <w:r>
              <w:rPr>
                <w:sz w:val="19"/>
              </w:rPr>
              <w:t>$84,329</w:t>
            </w:r>
          </w:p>
        </w:tc>
        <w:tc>
          <w:tcPr>
            <w:tcW w:type="dxa" w:w="2412"/>
          </w:tcPr>
          <w:p>
            <w:r>
              <w:rPr>
                <w:sz w:val="19"/>
              </w:rPr>
            </w:r>
            <w:r>
              <w:rPr>
                <w:sz w:val="19"/>
              </w:rPr>
              <w:t>29.8% of the 28,994 denominator</w:t>
            </w:r>
          </w:p>
        </w:tc>
      </w:tr>
    </w:tbl>
    <w:p/>
    <w:p>
      <w:r>
        <w:t>Months the Bridge members need: modeled average 24.0 months, spread uniformly 1–48. Treat the spread as an artefact, not a finding — the entire Bridge pool sits inside the published "25–29 years" service band at ages 50–64, so a uniform assumption inside that band produces a uniform months-needed distribution by construction. G24's "average qualifying military months" and the real service distribution both bear on this. The average of 24.0 is robust; the shape is not.</w:t>
      </w:r>
    </w:p>
    <w:p>
      <w:pPr>
        <w:pStyle w:val="Heading2"/>
      </w:pPr>
      <w:r>
        <w:t>2.4 How the derived cohorts compare with G9's planning assumptions</w:t>
      </w:r>
    </w:p>
    <w:p>
      <w:r>
        <w:t>G23 requires the 25/13/35/12 percentages to be labelled assumptions. They now have something to be checked against: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p>
        </w:tc>
        <w:tc>
          <w:tcPr>
            <w:tcW w:type="dxa" w:w="2412"/>
          </w:tcPr>
          <w:p>
            <w:r>
              <w:rPr>
                <w:b/>
                <w:sz w:val="19"/>
              </w:rPr>
            </w:r>
            <w:r>
              <w:rPr>
                <w:b/>
                <w:sz w:val="19"/>
              </w:rPr>
              <w:t>G9 assumption</w:t>
            </w:r>
          </w:p>
        </w:tc>
        <w:tc>
          <w:tcPr>
            <w:tcW w:type="dxa" w:w="2412"/>
          </w:tcPr>
          <w:p>
            <w:r>
              <w:rPr>
                <w:b/>
                <w:sz w:val="19"/>
              </w:rPr>
            </w:r>
            <w:r>
              <w:rPr>
                <w:b/>
                <w:sz w:val="19"/>
              </w:rPr>
              <w:t>Derived from VRS table</w:t>
            </w:r>
          </w:p>
        </w:tc>
        <w:tc>
          <w:tcPr>
            <w:tcW w:type="dxa" w:w="2412"/>
          </w:tcPr>
          <w:p>
            <w:r>
              <w:rPr>
                <w:b/>
                <w:sz w:val="19"/>
              </w:rPr>
            </w:r>
            <w:r>
              <w:rPr>
                <w:b/>
                <w:sz w:val="19"/>
              </w:rPr>
              <w:t>Read</w:t>
            </w:r>
          </w:p>
        </w:tc>
      </w:tr>
      <w:tr>
        <w:tc>
          <w:tcPr>
            <w:tcW w:type="dxa" w:w="2412"/>
          </w:tcPr>
          <w:p>
            <w:r>
              <w:rPr>
                <w:sz w:val="19"/>
              </w:rPr>
            </w:r>
            <w:r>
              <w:rPr>
                <w:sz w:val="19"/>
              </w:rPr>
              <w:t>Plan 1 already beyond threshold</w:t>
            </w:r>
          </w:p>
        </w:tc>
        <w:tc>
          <w:tcPr>
            <w:tcW w:type="dxa" w:w="2412"/>
          </w:tcPr>
          <w:p>
            <w:r>
              <w:rPr>
                <w:sz w:val="19"/>
              </w:rPr>
            </w:r>
            <w:r>
              <w:rPr>
                <w:sz w:val="19"/>
              </w:rPr>
              <w:t>35%</w:t>
            </w:r>
          </w:p>
        </w:tc>
        <w:tc>
          <w:tcPr>
            <w:tcW w:type="dxa" w:w="2412"/>
          </w:tcPr>
          <w:p>
            <w:r>
              <w:rPr>
                <w:sz w:val="19"/>
              </w:rPr>
            </w:r>
            <w:r>
              <w:rPr>
                <w:sz w:val="19"/>
              </w:rPr>
              <w:t>28.4%</w:t>
            </w:r>
          </w:p>
        </w:tc>
        <w:tc>
          <w:tcPr>
            <w:tcW w:type="dxa" w:w="2412"/>
          </w:tcPr>
          <w:p>
            <w:r>
              <w:rPr>
                <w:sz w:val="19"/>
              </w:rPr>
            </w:r>
            <w:r>
              <w:rPr>
                <w:sz w:val="19"/>
              </w:rPr>
              <w:t>Assumption is ~23% high. Close enough to use.</w:t>
            </w:r>
          </w:p>
        </w:tc>
      </w:tr>
      <w:tr>
        <w:tc>
          <w:tcPr>
            <w:tcW w:type="dxa" w:w="2412"/>
          </w:tcPr>
          <w:p>
            <w:r>
              <w:rPr>
                <w:sz w:val="19"/>
              </w:rPr>
            </w:r>
            <w:r>
              <w:rPr>
                <w:sz w:val="19"/>
              </w:rPr>
              <w:t>Plan 1 within 4 years</w:t>
            </w:r>
          </w:p>
        </w:tc>
        <w:tc>
          <w:tcPr>
            <w:tcW w:type="dxa" w:w="2412"/>
          </w:tcPr>
          <w:p>
            <w:r>
              <w:rPr>
                <w:sz w:val="19"/>
              </w:rPr>
            </w:r>
            <w:r>
              <w:rPr>
                <w:sz w:val="19"/>
              </w:rPr>
              <w:t>25%</w:t>
            </w:r>
          </w:p>
        </w:tc>
        <w:tc>
          <w:tcPr>
            <w:tcW w:type="dxa" w:w="2412"/>
          </w:tcPr>
          <w:p>
            <w:r>
              <w:rPr>
                <w:sz w:val="19"/>
              </w:rPr>
            </w:r>
            <w:r>
              <w:rPr>
                <w:sz w:val="19"/>
              </w:rPr>
              <w:t>22.2%</w:t>
            </w:r>
          </w:p>
        </w:tc>
        <w:tc>
          <w:tcPr>
            <w:tcW w:type="dxa" w:w="2412"/>
          </w:tcPr>
          <w:p>
            <w:r>
              <w:rPr>
                <w:sz w:val="19"/>
              </w:rPr>
            </w:r>
            <w:r>
              <w:rPr>
                <w:sz w:val="19"/>
              </w:rPr>
              <w:t>Good.</w:t>
            </w:r>
          </w:p>
        </w:tc>
      </w:tr>
      <w:tr>
        <w:tc>
          <w:tcPr>
            <w:tcW w:type="dxa" w:w="2412"/>
          </w:tcPr>
          <w:p>
            <w:r>
              <w:rPr>
                <w:sz w:val="19"/>
              </w:rPr>
            </w:r>
            <w:r>
              <w:rPr>
                <w:sz w:val="19"/>
              </w:rPr>
              <w:t>Plan 2 already beyond threshold</w:t>
            </w:r>
          </w:p>
        </w:tc>
        <w:tc>
          <w:tcPr>
            <w:tcW w:type="dxa" w:w="2412"/>
          </w:tcPr>
          <w:p>
            <w:r>
              <w:rPr>
                <w:sz w:val="19"/>
              </w:rPr>
            </w:r>
            <w:r>
              <w:rPr>
                <w:sz w:val="19"/>
              </w:rPr>
              <w:t>12%</w:t>
            </w:r>
          </w:p>
        </w:tc>
        <w:tc>
          <w:tcPr>
            <w:tcW w:type="dxa" w:w="2412"/>
          </w:tcPr>
          <w:p>
            <w:r>
              <w:rPr>
                <w:sz w:val="19"/>
              </w:rPr>
            </w:r>
            <w:r>
              <w:rPr>
                <w:sz w:val="19"/>
              </w:rPr>
              <w:t>4.0%</w:t>
            </w:r>
          </w:p>
        </w:tc>
        <w:tc>
          <w:tcPr>
            <w:tcW w:type="dxa" w:w="2412"/>
          </w:tcPr>
          <w:p>
            <w:r>
              <w:rPr>
                <w:sz w:val="19"/>
              </w:rPr>
            </w:r>
            <w:r>
              <w:rPr>
                <w:sz w:val="19"/>
              </w:rPr>
              <w:t>Assumption is 3× high.</w:t>
            </w:r>
          </w:p>
        </w:tc>
      </w:tr>
      <w:tr>
        <w:tc>
          <w:tcPr>
            <w:tcW w:type="dxa" w:w="2412"/>
          </w:tcPr>
          <w:p>
            <w:r>
              <w:rPr>
                <w:sz w:val="19"/>
              </w:rPr>
            </w:r>
            <w:r>
              <w:rPr>
                <w:sz w:val="19"/>
              </w:rPr>
              <w:t>Plan 2 within 4 years</w:t>
            </w:r>
          </w:p>
        </w:tc>
        <w:tc>
          <w:tcPr>
            <w:tcW w:type="dxa" w:w="2412"/>
          </w:tcPr>
          <w:p>
            <w:r>
              <w:rPr>
                <w:sz w:val="19"/>
              </w:rPr>
            </w:r>
            <w:r>
              <w:rPr>
                <w:sz w:val="19"/>
              </w:rPr>
              <w:t>13%</w:t>
            </w:r>
          </w:p>
        </w:tc>
        <w:tc>
          <w:tcPr>
            <w:tcW w:type="dxa" w:w="2412"/>
          </w:tcPr>
          <w:p>
            <w:r>
              <w:rPr>
                <w:sz w:val="19"/>
              </w:rPr>
            </w:r>
            <w:r>
              <w:rPr>
                <w:sz w:val="19"/>
              </w:rPr>
              <w:t>6.7%</w:t>
            </w:r>
          </w:p>
        </w:tc>
        <w:tc>
          <w:tcPr>
            <w:tcW w:type="dxa" w:w="2412"/>
          </w:tcPr>
          <w:p>
            <w:r>
              <w:rPr>
                <w:sz w:val="19"/>
              </w:rPr>
            </w:r>
            <w:r>
              <w:rPr>
                <w:sz w:val="19"/>
              </w:rPr>
              <w:t>Assumption is 2× high.</w:t>
            </w:r>
          </w:p>
        </w:tc>
      </w:tr>
    </w:tbl>
    <w:p/>
    <w:p>
      <w:r>
        <w:t xml:space="preserve">The Plan 1 assumptions hold up. The Plan 2 assumptions do not, and the reason is structural: Plan 2 members cannot have more than 15.5 years of service, so almost none of them are near either eligibility rule. Decision 5(b), taken 12 October 2026: the Plan 2 percentages of 12% and 13% are withdrawn from every V2 document and must not be quoted again. The derived 4.0% and 6.7% govern, labelled </w:t>
      </w:r>
      <w:r>
        <w:rPr>
          <w:i/>
        </w:rPr>
        <w:t>derived from the published VRS age × total-service table</w:t>
      </w:r>
      <w:r>
        <w:t xml:space="preserve"> — stronger than "assumption," still not a VRS finding. Plan 1's 25% and 35% stand as assumptions under G23, and G24 remains the final word on all four.</w:t>
      </w:r>
    </w:p>
    <w:p>
      <w:pPr>
        <w:jc w:val="left"/>
      </w:pPr>
      <w:r>
        <w:rPr>
          <w:color w:val="BBBBBB"/>
        </w:rPr>
        <w:t>______________________________________________________________________________________</w:t>
      </w:r>
    </w:p>
    <w:p>
      <w:pPr>
        <w:pStyle w:val="Heading1"/>
      </w:pPr>
      <w:r>
        <w:t>3. Stage C and D — the two filters I cannot verify</w:t>
      </w:r>
    </w:p>
    <w:p>
      <w:pPr>
        <w:pStyle w:val="Heading2"/>
      </w:pPr>
      <w:r>
        <w:t>3.1 Veteran share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Value</w:t>
            </w:r>
          </w:p>
        </w:tc>
        <w:tc>
          <w:tcPr>
            <w:tcW w:type="dxa" w:w="3216"/>
          </w:tcPr>
          <w:p>
            <w:r>
              <w:rPr>
                <w:b/>
                <w:sz w:val="19"/>
              </w:rPr>
            </w:r>
            <w:r>
              <w:rPr>
                <w:b/>
                <w:sz w:val="19"/>
              </w:rPr>
              <w:t>Basis</w:t>
            </w:r>
          </w:p>
        </w:tc>
        <w:tc>
          <w:tcPr>
            <w:tcW w:type="dxa" w:w="3216"/>
          </w:tcPr>
          <w:p>
            <w:r>
              <w:rPr>
                <w:b/>
                <w:sz w:val="19"/>
              </w:rPr>
            </w:r>
            <w:r>
              <w:rPr>
                <w:b/>
                <w:sz w:val="19"/>
              </w:rPr>
              <w:t>Use</w:t>
            </w:r>
          </w:p>
        </w:tc>
      </w:tr>
      <w:tr>
        <w:tc>
          <w:tcPr>
            <w:tcW w:type="dxa" w:w="3216"/>
          </w:tcPr>
          <w:p>
            <w:r>
              <w:rPr>
                <w:sz w:val="19"/>
              </w:rPr>
            </w:r>
            <w:r>
              <w:rPr>
                <w:sz w:val="19"/>
              </w:rPr>
              <w:t>6%</w:t>
            </w:r>
          </w:p>
        </w:tc>
        <w:tc>
          <w:tcPr>
            <w:tcW w:type="dxa" w:w="3216"/>
          </w:tcPr>
          <w:p>
            <w:r>
              <w:rPr>
                <w:sz w:val="19"/>
              </w:rPr>
            </w:r>
            <w:r>
              <w:rPr>
                <w:sz w:val="19"/>
              </w:rPr>
              <w:t xml:space="preserve">Verified. "Veterans 6% / Non-Veterans 94%" of the classified state workforce — DHRM, </w:t>
            </w:r>
            <w:r>
              <w:rPr>
                <w:i/>
                <w:sz w:val="19"/>
              </w:rPr>
              <w:t>State Employee Workforce, Compensation, Health Benefits</w:t>
            </w:r>
            <w:r>
              <w:rPr>
                <w:sz w:val="19"/>
              </w:rPr>
              <w:t>, presentation to the Senate Finance and Appropriations Committee, 21 January 2025, slide 8, sourced to DHRM EPR Reports 06/30/2024.</w:t>
            </w:r>
          </w:p>
        </w:tc>
        <w:tc>
          <w:tcPr>
            <w:tcW w:type="dxa" w:w="3216"/>
          </w:tcPr>
          <w:p>
            <w:r>
              <w:rPr>
                <w:sz w:val="19"/>
              </w:rPr>
            </w:r>
            <w:r>
              <w:rPr>
                <w:sz w:val="19"/>
              </w:rPr>
              <w:t>Low</w:t>
            </w:r>
          </w:p>
        </w:tc>
      </w:tr>
      <w:tr>
        <w:tc>
          <w:tcPr>
            <w:tcW w:type="dxa" w:w="3216"/>
          </w:tcPr>
          <w:p>
            <w:r>
              <w:rPr>
                <w:sz w:val="19"/>
              </w:rPr>
            </w:r>
            <w:r>
              <w:rPr>
                <w:sz w:val="19"/>
              </w:rPr>
              <w:t>8%</w:t>
            </w:r>
          </w:p>
        </w:tc>
        <w:tc>
          <w:tcPr>
            <w:tcW w:type="dxa" w:w="3216"/>
          </w:tcPr>
          <w:p>
            <w:r>
              <w:rPr>
                <w:sz w:val="19"/>
              </w:rPr>
            </w:r>
            <w:r>
              <w:rPr>
                <w:sz w:val="19"/>
              </w:rPr>
              <w:t>Verified reference point, applied by judgment. Veterans were 369,000 of Virginia's 4,528,987 civilian labour force in 2025 — 8.1% — from BLS Table 6A, Employment status of veterans by state, 2025 annual averages and FRED LAUST510000000000006A.</w:t>
            </w:r>
          </w:p>
        </w:tc>
        <w:tc>
          <w:tcPr>
            <w:tcW w:type="dxa" w:w="3216"/>
          </w:tcPr>
          <w:p>
            <w:r>
              <w:rPr>
                <w:sz w:val="19"/>
              </w:rPr>
            </w:r>
            <w:r>
              <w:rPr>
                <w:sz w:val="19"/>
              </w:rPr>
              <w:t>Mid</w:t>
            </w:r>
          </w:p>
        </w:tc>
      </w:tr>
      <w:tr>
        <w:tc>
          <w:tcPr>
            <w:tcW w:type="dxa" w:w="3216"/>
          </w:tcPr>
          <w:p>
            <w:r>
              <w:rPr>
                <w:sz w:val="19"/>
              </w:rPr>
            </w:r>
            <w:r>
              <w:rPr>
                <w:sz w:val="19"/>
              </w:rPr>
              <w:t>10%</w:t>
            </w:r>
          </w:p>
        </w:tc>
        <w:tc>
          <w:tcPr>
            <w:tcW w:type="dxa" w:w="3216"/>
          </w:tcPr>
          <w:p>
            <w:r>
              <w:rPr>
                <w:sz w:val="19"/>
              </w:rPr>
            </w:r>
            <w:r>
              <w:rPr>
                <w:sz w:val="19"/>
              </w:rPr>
              <w:t>Judgment, not a source. Reflects two things pushing the real figure above the recorded 6%: the veteran-status field is badly under-recorded, and both pathway cohorts are the oldest in the workforce, where veteran share runs higher than the labour-force average.</w:t>
            </w:r>
          </w:p>
        </w:tc>
        <w:tc>
          <w:tcPr>
            <w:tcW w:type="dxa" w:w="3216"/>
          </w:tcPr>
          <w:p>
            <w:r>
              <w:rPr>
                <w:sz w:val="19"/>
              </w:rPr>
            </w:r>
            <w:r>
              <w:rPr>
                <w:sz w:val="19"/>
              </w:rPr>
              <w:t>High</w:t>
            </w:r>
          </w:p>
        </w:tc>
      </w:tr>
    </w:tbl>
    <w:p/>
    <w:p>
      <w:r>
        <w:t xml:space="preserve">The gap between 6% and 8.1% is the live question, and it matters more than it looks: it is a straight multiplier on every participant count in this model. The DHRM 6% is a </w:t>
      </w:r>
      <w:r>
        <w:rPr>
          <w:i/>
        </w:rPr>
        <w:t>recorded</w:t>
      </w:r>
      <w:r>
        <w:t xml:space="preserve"> share, from the same field V1 found reads "unknown" for 69% of members. Treat 6% as a floor, not a central estimate. G24 resolves it.</w:t>
      </w:r>
    </w:p>
    <w:p>
      <w:pPr>
        <w:pStyle w:val="Heading2"/>
      </w:pPr>
      <w:r>
        <w:t>3.2 Share holding qualifying, purchasable, unpurchased military service</w:t>
      </w:r>
    </w:p>
    <w:p>
      <w:r>
        <w:t>Assumption. No source. The weakest number in the model. A veteran must clear all four of the G6 conditions and still have the service available:</w:t>
      </w:r>
    </w:p>
    <w:p>
      <w:pPr>
        <w:pStyle w:val="ListBullet"/>
      </w:pPr>
      <w:r>
        <w:t>at least 180 consecutive days of full-time active duty;</w:t>
      </w:r>
    </w:p>
    <w:p>
      <w:pPr>
        <w:pStyle w:val="ListBullet"/>
      </w:pPr>
      <w:r>
        <w:t>discharge not dishonorable;</w:t>
      </w:r>
    </w:p>
    <w:p>
      <w:pPr>
        <w:pStyle w:val="ListBullet"/>
      </w:pPr>
      <w:r>
        <w:t>the service does not qualify them for a military pension at the time of purchase (Reserves and National Guard exempt);</w:t>
      </w:r>
    </w:p>
    <w:p>
      <w:pPr>
        <w:pStyle w:val="ListBullet"/>
      </w:pPr>
      <w:r>
        <w:t>the 48-month cap not already consumed, and the service not already purchased.</w:t>
      </w:r>
    </w:p>
    <w:p>
      <w:r>
        <w:t>Modeled at 35% low / 50% mid / 65% high. A 20-year military retiree drawing a pension is excluded outright, which removes a meaningful slice of the veteran population — and the slice most likely to be in a senior state job. G24's "members with qualifying military service available for purchase" is the item that replaces this guess, and it is the single highest-value line in the data request.</w:t>
      </w:r>
    </w:p>
    <w:p>
      <w:pPr>
        <w:jc w:val="left"/>
      </w:pPr>
      <w:r>
        <w:rPr>
          <w:color w:val="BBBBBB"/>
        </w:rPr>
        <w:t>______________________________________________________________________________________</w:t>
      </w:r>
    </w:p>
    <w:p>
      <w:pPr>
        <w:pStyle w:val="Heading1"/>
      </w:pPr>
      <w:r>
        <w:t>4. Stage E — reach (board decision applied)</w:t>
      </w:r>
    </w:p>
    <w:p>
      <w:r>
        <w:t>Take-up 5% / 12% / 25% of the qualified veteran pool over the four-year pilot, per the board's decision of 12 October 2026. Held here against veteran share 8% and qualifying share 50%, so that take-up is the only thing moving:</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Take-up</w:t>
            </w:r>
          </w:p>
        </w:tc>
        <w:tc>
          <w:tcPr>
            <w:tcW w:type="dxa" w:w="1930"/>
          </w:tcPr>
          <w:p>
            <w:r>
              <w:rPr>
                <w:b/>
                <w:sz w:val="19"/>
              </w:rPr>
            </w:r>
            <w:r>
              <w:rPr>
                <w:b/>
                <w:sz w:val="19"/>
              </w:rPr>
              <w:t>Incentive</w:t>
            </w:r>
          </w:p>
        </w:tc>
        <w:tc>
          <w:tcPr>
            <w:tcW w:type="dxa" w:w="1930"/>
          </w:tcPr>
          <w:p>
            <w:r>
              <w:rPr>
                <w:b/>
                <w:sz w:val="19"/>
              </w:rPr>
            </w:r>
            <w:r>
              <w:rPr>
                <w:b/>
                <w:sz w:val="19"/>
              </w:rPr>
              <w:t>Bridge</w:t>
            </w:r>
          </w:p>
        </w:tc>
        <w:tc>
          <w:tcPr>
            <w:tcW w:type="dxa" w:w="1930"/>
          </w:tcPr>
          <w:p>
            <w:r>
              <w:rPr>
                <w:b/>
                <w:sz w:val="19"/>
              </w:rPr>
            </w:r>
            <w:r>
              <w:rPr>
                <w:b/>
                <w:sz w:val="19"/>
              </w:rPr>
              <w:t>Total</w:t>
            </w:r>
          </w:p>
        </w:tc>
        <w:tc>
          <w:tcPr>
            <w:tcW w:type="dxa" w:w="1930"/>
          </w:tcPr>
          <w:p>
            <w:r>
              <w:rPr>
                <w:b/>
                <w:sz w:val="19"/>
              </w:rPr>
            </w:r>
            <w:r>
              <w:rPr>
                <w:b/>
                <w:sz w:val="19"/>
              </w:rPr>
              <w:t>Member payments</w:t>
            </w:r>
          </w:p>
        </w:tc>
      </w:tr>
      <w:tr>
        <w:tc>
          <w:tcPr>
            <w:tcW w:type="dxa" w:w="1930"/>
          </w:tcPr>
          <w:p>
            <w:r>
              <w:rPr>
                <w:sz w:val="19"/>
              </w:rPr>
            </w:r>
            <w:r>
              <w:rPr>
                <w:sz w:val="19"/>
              </w:rPr>
              <w:t>5% (low)</w:t>
            </w:r>
          </w:p>
        </w:tc>
        <w:tc>
          <w:tcPr>
            <w:tcW w:type="dxa" w:w="1930"/>
          </w:tcPr>
          <w:p>
            <w:r>
              <w:rPr>
                <w:sz w:val="19"/>
              </w:rPr>
            </w:r>
            <w:r>
              <w:rPr>
                <w:sz w:val="19"/>
              </w:rPr>
              <w:t>12.5</w:t>
            </w:r>
          </w:p>
        </w:tc>
        <w:tc>
          <w:tcPr>
            <w:tcW w:type="dxa" w:w="1930"/>
          </w:tcPr>
          <w:p>
            <w:r>
              <w:rPr>
                <w:sz w:val="19"/>
              </w:rPr>
            </w:r>
            <w:r>
              <w:rPr>
                <w:sz w:val="19"/>
              </w:rPr>
              <w:t>4.8</w:t>
            </w:r>
          </w:p>
        </w:tc>
        <w:tc>
          <w:tcPr>
            <w:tcW w:type="dxa" w:w="1930"/>
          </w:tcPr>
          <w:p>
            <w:r>
              <w:rPr>
                <w:sz w:val="19"/>
              </w:rPr>
            </w:r>
            <w:r>
              <w:rPr>
                <w:sz w:val="19"/>
              </w:rPr>
              <w:t>17.3</w:t>
            </w:r>
          </w:p>
        </w:tc>
        <w:tc>
          <w:tcPr>
            <w:tcW w:type="dxa" w:w="1930"/>
          </w:tcPr>
          <w:p>
            <w:r>
              <w:rPr>
                <w:sz w:val="19"/>
              </w:rPr>
            </w:r>
            <w:r>
              <w:rPr>
                <w:sz w:val="19"/>
              </w:rPr>
              <w:t>$231,218</w:t>
            </w:r>
          </w:p>
        </w:tc>
      </w:tr>
      <w:tr>
        <w:tc>
          <w:tcPr>
            <w:tcW w:type="dxa" w:w="1930"/>
          </w:tcPr>
          <w:p>
            <w:r>
              <w:rPr>
                <w:sz w:val="19"/>
              </w:rPr>
            </w:r>
            <w:r>
              <w:rPr>
                <w:sz w:val="19"/>
              </w:rPr>
              <w:t>12% (mid)</w:t>
            </w:r>
          </w:p>
        </w:tc>
        <w:tc>
          <w:tcPr>
            <w:tcW w:type="dxa" w:w="1930"/>
          </w:tcPr>
          <w:p>
            <w:r>
              <w:rPr>
                <w:sz w:val="19"/>
              </w:rPr>
            </w:r>
            <w:r>
              <w:rPr>
                <w:sz w:val="19"/>
              </w:rPr>
              <w:t>30.0</w:t>
            </w:r>
          </w:p>
        </w:tc>
        <w:tc>
          <w:tcPr>
            <w:tcW w:type="dxa" w:w="1930"/>
          </w:tcPr>
          <w:p>
            <w:r>
              <w:rPr>
                <w:sz w:val="19"/>
              </w:rPr>
            </w:r>
            <w:r>
              <w:rPr>
                <w:sz w:val="19"/>
              </w:rPr>
              <w:t>11.5</w:t>
            </w:r>
          </w:p>
        </w:tc>
        <w:tc>
          <w:tcPr>
            <w:tcW w:type="dxa" w:w="1930"/>
          </w:tcPr>
          <w:p>
            <w:r>
              <w:rPr>
                <w:sz w:val="19"/>
              </w:rPr>
            </w:r>
            <w:r>
              <w:rPr>
                <w:sz w:val="19"/>
              </w:rPr>
              <w:t>41.5</w:t>
            </w:r>
          </w:p>
        </w:tc>
        <w:tc>
          <w:tcPr>
            <w:tcW w:type="dxa" w:w="1930"/>
          </w:tcPr>
          <w:p>
            <w:r>
              <w:rPr>
                <w:sz w:val="19"/>
              </w:rPr>
            </w:r>
            <w:r>
              <w:rPr>
                <w:sz w:val="19"/>
              </w:rPr>
              <w:t>$554,922</w:t>
            </w:r>
          </w:p>
        </w:tc>
      </w:tr>
      <w:tr>
        <w:tc>
          <w:tcPr>
            <w:tcW w:type="dxa" w:w="1930"/>
          </w:tcPr>
          <w:p>
            <w:r>
              <w:rPr>
                <w:sz w:val="19"/>
              </w:rPr>
            </w:r>
            <w:r>
              <w:rPr>
                <w:sz w:val="19"/>
              </w:rPr>
              <w:t>25% (high)</w:t>
            </w:r>
          </w:p>
        </w:tc>
        <w:tc>
          <w:tcPr>
            <w:tcW w:type="dxa" w:w="1930"/>
          </w:tcPr>
          <w:p>
            <w:r>
              <w:rPr>
                <w:sz w:val="19"/>
              </w:rPr>
            </w:r>
            <w:r>
              <w:rPr>
                <w:sz w:val="19"/>
              </w:rPr>
              <w:t>62.5</w:t>
            </w:r>
          </w:p>
        </w:tc>
        <w:tc>
          <w:tcPr>
            <w:tcW w:type="dxa" w:w="1930"/>
          </w:tcPr>
          <w:p>
            <w:r>
              <w:rPr>
                <w:sz w:val="19"/>
              </w:rPr>
            </w:r>
            <w:r>
              <w:rPr>
                <w:sz w:val="19"/>
              </w:rPr>
              <w:t>24.0</w:t>
            </w:r>
          </w:p>
        </w:tc>
        <w:tc>
          <w:tcPr>
            <w:tcW w:type="dxa" w:w="1930"/>
          </w:tcPr>
          <w:p>
            <w:r>
              <w:rPr>
                <w:sz w:val="19"/>
              </w:rPr>
            </w:r>
            <w:r>
              <w:rPr>
                <w:sz w:val="19"/>
              </w:rPr>
              <w:t>86.5</w:t>
            </w:r>
          </w:p>
        </w:tc>
        <w:tc>
          <w:tcPr>
            <w:tcW w:type="dxa" w:w="1930"/>
          </w:tcPr>
          <w:p>
            <w:r>
              <w:rPr>
                <w:sz w:val="19"/>
              </w:rPr>
            </w:r>
            <w:r>
              <w:rPr>
                <w:sz w:val="19"/>
              </w:rPr>
              <w:t>$1,156,088</w:t>
            </w:r>
          </w:p>
        </w:tc>
      </w:tr>
    </w:tbl>
    <w:p/>
    <w:p>
      <w:r>
        <w:t>Full funnel, mid case: 28,994 state Plan 1/Plan 2 members → 8,650 pathway-eligible → 692 veterans → 346 with qualifying purchasable service → 42 participants.</w:t>
      </w:r>
    </w:p>
    <w:p>
      <w:pPr>
        <w:jc w:val="left"/>
      </w:pPr>
      <w:r>
        <w:rPr>
          <w:color w:val="BBBBBB"/>
        </w:rPr>
        <w:t>______________________________________________________________________________________</w:t>
      </w:r>
    </w:p>
    <w:p>
      <w:pPr>
        <w:pStyle w:val="Heading1"/>
      </w:pPr>
      <w:r>
        <w:t>5. The three ledgers (G11)</w:t>
      </w:r>
    </w:p>
    <w:p>
      <w:pPr>
        <w:pStyle w:val="Heading2"/>
      </w:pPr>
      <w:r>
        <w:t>Ledger 1 — VRS pension impact</w:t>
      </w:r>
    </w:p>
    <w:p>
      <w:r>
        <w:t xml:space="preserve">Price the member pays. Verified rates. VRS, </w:t>
      </w:r>
      <w:r>
        <w:rPr>
          <w:i/>
        </w:rPr>
        <w:t>Purchase of Prior Service Cost Rates</w:t>
      </w:r>
      <w:r>
        <w:t>, effective July 1, 2025, retrieved 12 October 2026 — rate for State, Teacher and Local Non-Hazardous Duty positions, "other types of eligible service up to two years from date of hire":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Tier</w:t>
            </w:r>
          </w:p>
        </w:tc>
        <w:tc>
          <w:tcPr>
            <w:tcW w:type="dxa" w:w="3216"/>
          </w:tcPr>
          <w:p>
            <w:r>
              <w:rPr>
                <w:b/>
                <w:sz w:val="19"/>
              </w:rPr>
            </w:r>
            <w:r>
              <w:rPr>
                <w:b/>
                <w:sz w:val="19"/>
              </w:rPr>
              <w:t>Approximate normal cost</w:t>
            </w:r>
          </w:p>
        </w:tc>
        <w:tc>
          <w:tcPr>
            <w:tcW w:type="dxa" w:w="3216"/>
          </w:tcPr>
          <w:p>
            <w:r>
              <w:rPr>
                <w:b/>
                <w:sz w:val="19"/>
              </w:rPr>
            </w:r>
            <w:r>
              <w:rPr>
                <w:b/>
                <w:sz w:val="19"/>
              </w:rPr>
              <w:t>Per year purchased</w:t>
            </w:r>
          </w:p>
        </w:tc>
      </w:tr>
      <w:tr>
        <w:tc>
          <w:tcPr>
            <w:tcW w:type="dxa" w:w="3216"/>
          </w:tcPr>
          <w:p>
            <w:r>
              <w:rPr>
                <w:sz w:val="19"/>
              </w:rPr>
            </w:r>
            <w:r>
              <w:rPr>
                <w:sz w:val="19"/>
              </w:rPr>
              <w:t>Plan 1</w:t>
            </w:r>
          </w:p>
        </w:tc>
        <w:tc>
          <w:tcPr>
            <w:tcW w:type="dxa" w:w="3216"/>
          </w:tcPr>
          <w:p>
            <w:r>
              <w:rPr>
                <w:sz w:val="19"/>
              </w:rPr>
            </w:r>
            <w:r>
              <w:rPr>
                <w:sz w:val="19"/>
              </w:rPr>
              <w:t>12.50% of salary</w:t>
            </w:r>
          </w:p>
        </w:tc>
        <w:tc>
          <w:tcPr>
            <w:tcW w:type="dxa" w:w="3216"/>
          </w:tcPr>
          <w:p>
            <w:r>
              <w:rPr>
                <w:sz w:val="19"/>
              </w:rPr>
            </w:r>
            <w:r>
              <w:rPr>
                <w:sz w:val="19"/>
              </w:rPr>
              <w:t>—</w:t>
            </w:r>
          </w:p>
        </w:tc>
      </w:tr>
      <w:tr>
        <w:tc>
          <w:tcPr>
            <w:tcW w:type="dxa" w:w="3216"/>
          </w:tcPr>
          <w:p>
            <w:r>
              <w:rPr>
                <w:sz w:val="19"/>
              </w:rPr>
            </w:r>
            <w:r>
              <w:rPr>
                <w:sz w:val="19"/>
              </w:rPr>
              <w:t>Plan 2</w:t>
            </w:r>
          </w:p>
        </w:tc>
        <w:tc>
          <w:tcPr>
            <w:tcW w:type="dxa" w:w="3216"/>
          </w:tcPr>
          <w:p>
            <w:r>
              <w:rPr>
                <w:sz w:val="19"/>
              </w:rPr>
            </w:r>
            <w:r>
              <w:rPr>
                <w:sz w:val="19"/>
              </w:rPr>
              <w:t>10.74% of salary</w:t>
            </w:r>
          </w:p>
        </w:tc>
        <w:tc>
          <w:tcPr>
            <w:tcW w:type="dxa" w:w="3216"/>
          </w:tcPr>
          <w:p>
            <w:r>
              <w:rPr>
                <w:sz w:val="19"/>
              </w:rPr>
            </w:r>
            <w:r>
              <w:rPr>
                <w:sz w:val="19"/>
              </w:rPr>
              <w:t>—</w:t>
            </w:r>
          </w:p>
        </w:tc>
      </w:tr>
      <w:tr>
        <w:tc>
          <w:tcPr>
            <w:tcW w:type="dxa" w:w="3216"/>
          </w:tcPr>
          <w:p>
            <w:r>
              <w:rPr>
                <w:sz w:val="19"/>
              </w:rPr>
            </w:r>
            <w:r>
              <w:rPr>
                <w:sz w:val="19"/>
              </w:rPr>
              <w:t>Hybrid (excluded)</w:t>
            </w:r>
          </w:p>
        </w:tc>
        <w:tc>
          <w:tcPr>
            <w:tcW w:type="dxa" w:w="3216"/>
          </w:tcPr>
          <w:p>
            <w:r>
              <w:rPr>
                <w:sz w:val="19"/>
              </w:rPr>
            </w:r>
            <w:r>
              <w:rPr>
                <w:sz w:val="19"/>
              </w:rPr>
              <w:t>6.68%</w:t>
            </w:r>
          </w:p>
        </w:tc>
        <w:tc>
          <w:tcPr>
            <w:tcW w:type="dxa" w:w="3216"/>
          </w:tcPr>
          <w:p>
            <w:r>
              <w:rPr>
                <w:sz w:val="19"/>
              </w:rPr>
            </w:r>
            <w:r>
              <w:rPr>
                <w:sz w:val="19"/>
              </w:rPr>
              <w:t>—</w:t>
            </w:r>
          </w:p>
        </w:tc>
      </w:tr>
    </w:tbl>
    <w:p/>
    <w:p>
      <w:r>
        <w:t>Charged on "their given rate of creditable compensation or average final compensation at the time of purchase, whichever is higher," so these are floors.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Pathway</w:t>
            </w:r>
          </w:p>
        </w:tc>
        <w:tc>
          <w:tcPr>
            <w:tcW w:type="dxa" w:w="2412"/>
          </w:tcPr>
          <w:p>
            <w:r>
              <w:rPr>
                <w:b/>
                <w:sz w:val="19"/>
              </w:rPr>
            </w:r>
            <w:r>
              <w:rPr>
                <w:b/>
                <w:sz w:val="19"/>
              </w:rPr>
              <w:t>Years purchased at ANC</w:t>
            </w:r>
          </w:p>
        </w:tc>
        <w:tc>
          <w:tcPr>
            <w:tcW w:type="dxa" w:w="2412"/>
          </w:tcPr>
          <w:p>
            <w:r>
              <w:rPr>
                <w:b/>
                <w:sz w:val="19"/>
              </w:rPr>
            </w:r>
            <w:r>
              <w:rPr>
                <w:b/>
                <w:sz w:val="19"/>
              </w:rPr>
              <w:t>Average salary</w:t>
            </w:r>
          </w:p>
        </w:tc>
        <w:tc>
          <w:tcPr>
            <w:tcW w:type="dxa" w:w="2412"/>
          </w:tcPr>
          <w:p>
            <w:r>
              <w:rPr>
                <w:b/>
                <w:sz w:val="19"/>
              </w:rPr>
            </w:r>
            <w:r>
              <w:rPr>
                <w:b/>
                <w:sz w:val="19"/>
              </w:rPr>
              <w:t>Member pays</w:t>
            </w:r>
          </w:p>
        </w:tc>
      </w:tr>
      <w:tr>
        <w:tc>
          <w:tcPr>
            <w:tcW w:type="dxa" w:w="2412"/>
          </w:tcPr>
          <w:p>
            <w:r>
              <w:rPr>
                <w:sz w:val="19"/>
              </w:rPr>
            </w:r>
            <w:r>
              <w:rPr>
                <w:sz w:val="19"/>
              </w:rPr>
              <w:t>Incentive (G3, G18 — 12 months maximum)</w:t>
            </w:r>
          </w:p>
        </w:tc>
        <w:tc>
          <w:tcPr>
            <w:tcW w:type="dxa" w:w="2412"/>
          </w:tcPr>
          <w:p>
            <w:r>
              <w:rPr>
                <w:sz w:val="19"/>
              </w:rPr>
            </w:r>
            <w:r>
              <w:rPr>
                <w:sz w:val="19"/>
              </w:rPr>
              <w:t>1.00</w:t>
            </w:r>
          </w:p>
        </w:tc>
        <w:tc>
          <w:tcPr>
            <w:tcW w:type="dxa" w:w="2412"/>
          </w:tcPr>
          <w:p>
            <w:r>
              <w:rPr>
                <w:sz w:val="19"/>
              </w:rPr>
            </w:r>
            <w:r>
              <w:rPr>
                <w:sz w:val="19"/>
              </w:rPr>
              <w:t>$84,753</w:t>
            </w:r>
          </w:p>
        </w:tc>
        <w:tc>
          <w:tcPr>
            <w:tcW w:type="dxa" w:w="2412"/>
          </w:tcPr>
          <w:p>
            <w:r>
              <w:rPr>
                <w:sz w:val="19"/>
              </w:rPr>
            </w:r>
            <w:r>
              <w:rPr>
                <w:sz w:val="19"/>
              </w:rPr>
              <w:t>$10,514</w:t>
            </w:r>
          </w:p>
        </w:tc>
      </w:tr>
      <w:tr>
        <w:tc>
          <w:tcPr>
            <w:tcW w:type="dxa" w:w="2412"/>
          </w:tcPr>
          <w:p>
            <w:r>
              <w:rPr>
                <w:sz w:val="19"/>
              </w:rPr>
            </w:r>
            <w:r>
              <w:rPr>
                <w:sz w:val="19"/>
              </w:rPr>
              <w:t>Bridge (G2, G18 — only the months needed)</w:t>
            </w:r>
          </w:p>
        </w:tc>
        <w:tc>
          <w:tcPr>
            <w:tcW w:type="dxa" w:w="2412"/>
          </w:tcPr>
          <w:p>
            <w:r>
              <w:rPr>
                <w:sz w:val="19"/>
              </w:rPr>
            </w:r>
            <w:r>
              <w:rPr>
                <w:sz w:val="19"/>
              </w:rPr>
              <w:t>2.00 (modeled average)</w:t>
            </w:r>
          </w:p>
        </w:tc>
        <w:tc>
          <w:tcPr>
            <w:tcW w:type="dxa" w:w="2412"/>
          </w:tcPr>
          <w:p>
            <w:r>
              <w:rPr>
                <w:sz w:val="19"/>
              </w:rPr>
            </w:r>
            <w:r>
              <w:rPr>
                <w:sz w:val="19"/>
              </w:rPr>
              <w:t>$83,222</w:t>
            </w:r>
          </w:p>
        </w:tc>
        <w:tc>
          <w:tcPr>
            <w:tcW w:type="dxa" w:w="2412"/>
          </w:tcPr>
          <w:p>
            <w:r>
              <w:rPr>
                <w:sz w:val="19"/>
              </w:rPr>
            </w:r>
            <w:r>
              <w:rPr>
                <w:sz w:val="19"/>
              </w:rPr>
              <w:t>$20,806</w:t>
            </w:r>
          </w:p>
        </w:tc>
      </w:tr>
    </w:tbl>
    <w:p/>
    <w:p>
      <w:r>
        <w:t>Cost to the trust fund. Expressed as a ratio, because only VRS can set it. VRS defines actuarial-equivalent cost as the present value of the higher benefit or earlier eligibility that the purchased service creates. Let k = actuarial-equivalent cost ÷ approximate normal cost for this cohort. The subsidy the pilot grants is then (k − 1) × member payment: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k</w:t>
            </w:r>
          </w:p>
        </w:tc>
        <w:tc>
          <w:tcPr>
            <w:tcW w:type="dxa" w:w="2412"/>
          </w:tcPr>
          <w:p>
            <w:r>
              <w:rPr>
                <w:b/>
                <w:sz w:val="19"/>
              </w:rPr>
            </w:r>
            <w:r>
              <w:rPr>
                <w:b/>
                <w:sz w:val="19"/>
              </w:rPr>
              <w:t>AE value of service granted</w:t>
            </w:r>
          </w:p>
        </w:tc>
        <w:tc>
          <w:tcPr>
            <w:tcW w:type="dxa" w:w="2412"/>
          </w:tcPr>
          <w:p>
            <w:r>
              <w:rPr>
                <w:b/>
                <w:sz w:val="19"/>
              </w:rPr>
            </w:r>
            <w:r>
              <w:rPr>
                <w:b/>
                <w:sz w:val="19"/>
              </w:rPr>
              <w:t>Member pays</w:t>
            </w:r>
          </w:p>
        </w:tc>
        <w:tc>
          <w:tcPr>
            <w:tcW w:type="dxa" w:w="2412"/>
          </w:tcPr>
          <w:p>
            <w:r>
              <w:rPr>
                <w:b/>
                <w:sz w:val="19"/>
              </w:rPr>
            </w:r>
            <w:r>
              <w:rPr>
                <w:b/>
                <w:sz w:val="19"/>
              </w:rPr>
              <w:t>Trust-fund subsidy</w:t>
            </w:r>
          </w:p>
        </w:tc>
      </w:tr>
      <w:tr>
        <w:tc>
          <w:tcPr>
            <w:tcW w:type="dxa" w:w="2412"/>
          </w:tcPr>
          <w:p>
            <w:r>
              <w:rPr>
                <w:sz w:val="19"/>
              </w:rPr>
            </w:r>
            <w:r>
              <w:rPr>
                <w:sz w:val="19"/>
              </w:rPr>
              <w:t>1.5</w:t>
            </w:r>
          </w:p>
        </w:tc>
        <w:tc>
          <w:tcPr>
            <w:tcW w:type="dxa" w:w="2412"/>
          </w:tcPr>
          <w:p>
            <w:r>
              <w:rPr>
                <w:sz w:val="19"/>
              </w:rPr>
            </w:r>
            <w:r>
              <w:rPr>
                <w:sz w:val="19"/>
              </w:rPr>
              <w:t>$832,383</w:t>
            </w:r>
          </w:p>
        </w:tc>
        <w:tc>
          <w:tcPr>
            <w:tcW w:type="dxa" w:w="2412"/>
          </w:tcPr>
          <w:p>
            <w:r>
              <w:rPr>
                <w:sz w:val="19"/>
              </w:rPr>
            </w:r>
            <w:r>
              <w:rPr>
                <w:sz w:val="19"/>
              </w:rPr>
              <w:t>$554,922</w:t>
            </w:r>
          </w:p>
        </w:tc>
        <w:tc>
          <w:tcPr>
            <w:tcW w:type="dxa" w:w="2412"/>
          </w:tcPr>
          <w:p>
            <w:r>
              <w:rPr>
                <w:sz w:val="19"/>
              </w:rPr>
            </w:r>
            <w:r>
              <w:rPr>
                <w:sz w:val="19"/>
              </w:rPr>
              <w:t>$277,461</w:t>
            </w:r>
          </w:p>
        </w:tc>
      </w:tr>
      <w:tr>
        <w:tc>
          <w:tcPr>
            <w:tcW w:type="dxa" w:w="2412"/>
          </w:tcPr>
          <w:p>
            <w:r>
              <w:rPr>
                <w:sz w:val="19"/>
              </w:rPr>
            </w:r>
            <w:r>
              <w:rPr>
                <w:sz w:val="19"/>
              </w:rPr>
              <w:t>2.0</w:t>
            </w:r>
          </w:p>
        </w:tc>
        <w:tc>
          <w:tcPr>
            <w:tcW w:type="dxa" w:w="2412"/>
          </w:tcPr>
          <w:p>
            <w:r>
              <w:rPr>
                <w:sz w:val="19"/>
              </w:rPr>
            </w:r>
            <w:r>
              <w:rPr>
                <w:sz w:val="19"/>
              </w:rPr>
              <w:t>$1,109,844</w:t>
            </w:r>
          </w:p>
        </w:tc>
        <w:tc>
          <w:tcPr>
            <w:tcW w:type="dxa" w:w="2412"/>
          </w:tcPr>
          <w:p>
            <w:r>
              <w:rPr>
                <w:sz w:val="19"/>
              </w:rPr>
            </w:r>
            <w:r>
              <w:rPr>
                <w:sz w:val="19"/>
              </w:rPr>
              <w:t>$554,922</w:t>
            </w:r>
          </w:p>
        </w:tc>
        <w:tc>
          <w:tcPr>
            <w:tcW w:type="dxa" w:w="2412"/>
          </w:tcPr>
          <w:p>
            <w:r>
              <w:rPr>
                <w:sz w:val="19"/>
              </w:rPr>
            </w:r>
            <w:r>
              <w:rPr>
                <w:sz w:val="19"/>
              </w:rPr>
              <w:t>$554,922</w:t>
            </w:r>
          </w:p>
        </w:tc>
      </w:tr>
      <w:tr>
        <w:tc>
          <w:tcPr>
            <w:tcW w:type="dxa" w:w="2412"/>
          </w:tcPr>
          <w:p>
            <w:r>
              <w:rPr>
                <w:sz w:val="19"/>
              </w:rPr>
            </w:r>
            <w:r>
              <w:rPr>
                <w:sz w:val="19"/>
              </w:rPr>
              <w:t>2.5</w:t>
            </w:r>
          </w:p>
        </w:tc>
        <w:tc>
          <w:tcPr>
            <w:tcW w:type="dxa" w:w="2412"/>
          </w:tcPr>
          <w:p>
            <w:r>
              <w:rPr>
                <w:sz w:val="19"/>
              </w:rPr>
            </w:r>
            <w:r>
              <w:rPr>
                <w:sz w:val="19"/>
              </w:rPr>
              <w:t>$1,387,306</w:t>
            </w:r>
          </w:p>
        </w:tc>
        <w:tc>
          <w:tcPr>
            <w:tcW w:type="dxa" w:w="2412"/>
          </w:tcPr>
          <w:p>
            <w:r>
              <w:rPr>
                <w:sz w:val="19"/>
              </w:rPr>
            </w:r>
            <w:r>
              <w:rPr>
                <w:sz w:val="19"/>
              </w:rPr>
              <w:t>$554,922</w:t>
            </w:r>
          </w:p>
        </w:tc>
        <w:tc>
          <w:tcPr>
            <w:tcW w:type="dxa" w:w="2412"/>
          </w:tcPr>
          <w:p>
            <w:r>
              <w:rPr>
                <w:sz w:val="19"/>
              </w:rPr>
            </w:r>
            <w:r>
              <w:rPr>
                <w:sz w:val="19"/>
              </w:rPr>
              <w:t>$832,383</w:t>
            </w:r>
          </w:p>
        </w:tc>
      </w:tr>
      <w:tr>
        <w:tc>
          <w:tcPr>
            <w:tcW w:type="dxa" w:w="2412"/>
          </w:tcPr>
          <w:p>
            <w:r>
              <w:rPr>
                <w:sz w:val="19"/>
              </w:rPr>
            </w:r>
            <w:r>
              <w:rPr>
                <w:sz w:val="19"/>
              </w:rPr>
              <w:t>3.0</w:t>
            </w:r>
          </w:p>
        </w:tc>
        <w:tc>
          <w:tcPr>
            <w:tcW w:type="dxa" w:w="2412"/>
          </w:tcPr>
          <w:p>
            <w:r>
              <w:rPr>
                <w:sz w:val="19"/>
              </w:rPr>
            </w:r>
            <w:r>
              <w:rPr>
                <w:sz w:val="19"/>
              </w:rPr>
              <w:t>$1,664,767</w:t>
            </w:r>
          </w:p>
        </w:tc>
        <w:tc>
          <w:tcPr>
            <w:tcW w:type="dxa" w:w="2412"/>
          </w:tcPr>
          <w:p>
            <w:r>
              <w:rPr>
                <w:sz w:val="19"/>
              </w:rPr>
            </w:r>
            <w:r>
              <w:rPr>
                <w:sz w:val="19"/>
              </w:rPr>
              <w:t>$554,922</w:t>
            </w:r>
          </w:p>
        </w:tc>
        <w:tc>
          <w:tcPr>
            <w:tcW w:type="dxa" w:w="2412"/>
          </w:tcPr>
          <w:p>
            <w:r>
              <w:rPr>
                <w:sz w:val="19"/>
              </w:rPr>
            </w:r>
            <w:r>
              <w:rPr>
                <w:sz w:val="19"/>
              </w:rPr>
              <w:t>$1,109,844</w:t>
            </w:r>
          </w:p>
        </w:tc>
      </w:tr>
    </w:tbl>
    <w:p/>
    <w:p>
      <w:r>
        <w:t>Mid take-up, 42 participants. Scale linearly: multiply by 0.42 for low take-up, 2.08 for high.</w:t>
      </w:r>
    </w:p>
    <w:p>
      <w:r>
        <w:t>k will be high for this cohort and we should say so first. Actuarial-equivalent cost rises sharply with age, and both pathways are deliberately aimed at the oldest members in the plan — Bridge participants average 50–64, Incentive participants 65 and over. The pathways select for exactly the members for whom ANC understates the true price by the widest margin. Asking VRS for k is the first question in the drafting request, and k is the number that decides whether this bill is affordable.</w:t>
      </w:r>
    </w:p>
    <w:p>
      <w:r>
        <w:t>Illustrative benefit effects — not an actuarial result. Multipliers verified: Plan 1 1.7%; Plan 2 1.65% on service purchased on or after 1 January 2013.</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p>
        </w:tc>
        <w:tc>
          <w:tcPr>
            <w:tcW w:type="dxa" w:w="4824"/>
          </w:tcPr>
          <w:p>
            <w:r>
              <w:rPr>
                <w:b/>
                <w:sz w:val="19"/>
              </w:rPr>
            </w:r>
            <w:r>
              <w:rPr>
                <w:b/>
                <w:sz w:val="19"/>
              </w:rPr>
              <w:t>Effect</w:t>
            </w:r>
          </w:p>
        </w:tc>
      </w:tr>
      <w:tr>
        <w:tc>
          <w:tcPr>
            <w:tcW w:type="dxa" w:w="4824"/>
          </w:tcPr>
          <w:p>
            <w:r>
              <w:rPr>
                <w:sz w:val="19"/>
              </w:rPr>
            </w:r>
            <w:r>
              <w:rPr>
                <w:sz w:val="19"/>
              </w:rPr>
              <w:t>Bridge, per participant</w:t>
            </w:r>
          </w:p>
        </w:tc>
        <w:tc>
          <w:tcPr>
            <w:tcW w:type="dxa" w:w="4824"/>
          </w:tcPr>
          <w:p>
            <w:r>
              <w:rPr>
                <w:sz w:val="19"/>
              </w:rPr>
            </w:r>
            <w:r>
              <w:rPr>
                <w:sz w:val="19"/>
              </w:rPr>
              <w:t>+$2,830/year for life (2.00 yr × 1.70% × $83,222), plus retirement commencing up to 24 months earlier than the threshold would otherwise allow</w:t>
            </w:r>
          </w:p>
        </w:tc>
      </w:tr>
      <w:tr>
        <w:tc>
          <w:tcPr>
            <w:tcW w:type="dxa" w:w="4824"/>
          </w:tcPr>
          <w:p>
            <w:r>
              <w:rPr>
                <w:sz w:val="19"/>
              </w:rPr>
            </w:r>
            <w:r>
              <w:rPr>
                <w:sz w:val="19"/>
              </w:rPr>
              <w:t>Incentive, Plan 1, per participant</w:t>
            </w:r>
          </w:p>
        </w:tc>
        <w:tc>
          <w:tcPr>
            <w:tcW w:type="dxa" w:w="4824"/>
          </w:tcPr>
          <w:p>
            <w:r>
              <w:rPr>
                <w:sz w:val="19"/>
              </w:rPr>
            </w:r>
            <w:r>
              <w:rPr>
                <w:sz w:val="19"/>
              </w:rPr>
              <w:t>+$1,438/year for life (1.00 yr × 1.70% × $84,616)</w:t>
            </w:r>
          </w:p>
        </w:tc>
      </w:tr>
      <w:tr>
        <w:tc>
          <w:tcPr>
            <w:tcW w:type="dxa" w:w="4824"/>
          </w:tcPr>
          <w:p>
            <w:r>
              <w:rPr>
                <w:sz w:val="19"/>
              </w:rPr>
            </w:r>
            <w:r>
              <w:rPr>
                <w:sz w:val="19"/>
              </w:rPr>
              <w:t>Incentive, Plan 2, per participant</w:t>
            </w:r>
          </w:p>
        </w:tc>
        <w:tc>
          <w:tcPr>
            <w:tcW w:type="dxa" w:w="4824"/>
          </w:tcPr>
          <w:p>
            <w:r>
              <w:rPr>
                <w:sz w:val="19"/>
              </w:rPr>
            </w:r>
            <w:r>
              <w:rPr>
                <w:sz w:val="19"/>
              </w:rPr>
              <w:t>+$1,439/year for life (1.00 yr × 1.65% × $87,242)</w:t>
            </w:r>
          </w:p>
        </w:tc>
      </w:tr>
    </w:tbl>
    <w:p/>
    <w:p>
      <w:r>
        <w:t>The Bridge carries both effects. The Incentive carries only the first — it is a benefit enhancement with no eligibility acceleration, which is the §6.2(c) problem in V2-goal-set.docx / .pdf restated with a price on it. The true-up in G5 is the only mechanism tying the Incentive to a retirement outcome.</w:t>
      </w:r>
    </w:p>
    <w:p>
      <w:r>
        <w:t>Not modeled, and VRS must supply: the actual AE/ANC ratio by age and tier; the PV cost of earlier benefit commencement net of forgone accrual and forgone member contributions; true-up recoveries from participants who do not retire; mortality and COLA. Four of the five are G12 line items already.</w:t>
      </w:r>
    </w:p>
    <w:p>
      <w:pPr>
        <w:pStyle w:val="Heading2"/>
      </w:pPr>
      <w:r>
        <w:t>Ledger 2 — Employer and workforce impact</w:t>
      </w:r>
    </w:p>
    <w:p>
      <w:r>
        <w:t>Separate from Ledger 1. Agency appropriations, not the trust fund.</w:t>
      </w:r>
    </w:p>
    <w:p>
      <w:r>
        <w:t>Employer costs that scale with salary. VRS valuation, June 30, 2025, State Employees, Employer Contribution Rate Development, p. 12, FY2027 and FY2028:</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Component</w:t>
            </w:r>
          </w:p>
        </w:tc>
        <w:tc>
          <w:tcPr>
            <w:tcW w:type="dxa" w:w="3216"/>
          </w:tcPr>
          <w:p>
            <w:r>
              <w:rPr>
                <w:b/>
                <w:sz w:val="19"/>
              </w:rPr>
            </w:r>
            <w:r>
              <w:rPr>
                <w:b/>
                <w:sz w:val="19"/>
              </w:rPr>
              <w:t>Rate</w:t>
            </w:r>
          </w:p>
        </w:tc>
        <w:tc>
          <w:tcPr>
            <w:tcW w:type="dxa" w:w="3216"/>
          </w:tcPr>
          <w:p>
            <w:r>
              <w:rPr>
                <w:b/>
                <w:sz w:val="19"/>
              </w:rPr>
            </w:r>
            <w:r>
              <w:rPr>
                <w:b/>
                <w:sz w:val="19"/>
              </w:rPr>
              <w:t>Is it a saving when payroll falls?</w:t>
            </w:r>
          </w:p>
        </w:tc>
      </w:tr>
      <w:tr>
        <w:tc>
          <w:tcPr>
            <w:tcW w:type="dxa" w:w="3216"/>
          </w:tcPr>
          <w:p>
            <w:r>
              <w:rPr>
                <w:sz w:val="19"/>
              </w:rPr>
            </w:r>
            <w:r>
              <w:rPr>
                <w:sz w:val="19"/>
              </w:rPr>
              <w:t>Employer normal cost</w:t>
            </w:r>
          </w:p>
        </w:tc>
        <w:tc>
          <w:tcPr>
            <w:tcW w:type="dxa" w:w="3216"/>
          </w:tcPr>
          <w:p>
            <w:r>
              <w:rPr>
                <w:sz w:val="19"/>
              </w:rPr>
            </w:r>
            <w:r>
              <w:rPr>
                <w:sz w:val="19"/>
              </w:rPr>
              <w:t>4.34%</w:t>
            </w:r>
          </w:p>
        </w:tc>
        <w:tc>
          <w:tcPr>
            <w:tcW w:type="dxa" w:w="3216"/>
          </w:tcPr>
          <w:p>
            <w:r>
              <w:rPr>
                <w:sz w:val="19"/>
              </w:rPr>
            </w:r>
            <w:r>
              <w:rPr>
                <w:sz w:val="19"/>
              </w:rPr>
              <w:t>Yes</w:t>
            </w:r>
          </w:p>
        </w:tc>
      </w:tr>
      <w:tr>
        <w:tc>
          <w:tcPr>
            <w:tcW w:type="dxa" w:w="3216"/>
          </w:tcPr>
          <w:p>
            <w:r>
              <w:rPr>
                <w:sz w:val="19"/>
              </w:rPr>
            </w:r>
            <w:r>
              <w:rPr>
                <w:sz w:val="19"/>
              </w:rPr>
              <w:t>Administrative expense</w:t>
            </w:r>
          </w:p>
        </w:tc>
        <w:tc>
          <w:tcPr>
            <w:tcW w:type="dxa" w:w="3216"/>
          </w:tcPr>
          <w:p>
            <w:r>
              <w:rPr>
                <w:sz w:val="19"/>
              </w:rPr>
            </w:r>
            <w:r>
              <w:rPr>
                <w:sz w:val="19"/>
              </w:rPr>
              <w:t>0.24%</w:t>
            </w:r>
          </w:p>
        </w:tc>
        <w:tc>
          <w:tcPr>
            <w:tcW w:type="dxa" w:w="3216"/>
          </w:tcPr>
          <w:p>
            <w:r>
              <w:rPr>
                <w:sz w:val="19"/>
              </w:rPr>
            </w:r>
            <w:r>
              <w:rPr>
                <w:sz w:val="19"/>
              </w:rPr>
              <w:t>Yes</w:t>
            </w:r>
          </w:p>
        </w:tc>
      </w:tr>
      <w:tr>
        <w:tc>
          <w:tcPr>
            <w:tcW w:type="dxa" w:w="3216"/>
          </w:tcPr>
          <w:p>
            <w:r>
              <w:rPr>
                <w:sz w:val="19"/>
              </w:rPr>
            </w:r>
            <w:r>
              <w:rPr>
                <w:sz w:val="19"/>
              </w:rPr>
              <w:t>Amortization of unfunded liability</w:t>
            </w:r>
          </w:p>
        </w:tc>
        <w:tc>
          <w:tcPr>
            <w:tcW w:type="dxa" w:w="3216"/>
          </w:tcPr>
          <w:p>
            <w:r>
              <w:rPr>
                <w:sz w:val="19"/>
              </w:rPr>
            </w:r>
            <w:r>
              <w:rPr>
                <w:sz w:val="19"/>
              </w:rPr>
              <w:t>6.49%</w:t>
            </w:r>
          </w:p>
        </w:tc>
        <w:tc>
          <w:tcPr>
            <w:tcW w:type="dxa" w:w="3216"/>
          </w:tcPr>
          <w:p>
            <w:r>
              <w:rPr>
                <w:sz w:val="19"/>
              </w:rPr>
            </w:r>
            <w:r>
              <w:rPr>
                <w:sz w:val="19"/>
              </w:rPr>
              <w:t>No — see below</w:t>
            </w:r>
          </w:p>
        </w:tc>
      </w:tr>
      <w:tr>
        <w:tc>
          <w:tcPr>
            <w:tcW w:type="dxa" w:w="3216"/>
          </w:tcPr>
          <w:p>
            <w:r>
              <w:rPr>
                <w:sz w:val="19"/>
              </w:rPr>
            </w:r>
            <w:r>
              <w:rPr>
                <w:sz w:val="19"/>
              </w:rPr>
              <w:t>Employer DB contribution rate</w:t>
            </w:r>
          </w:p>
        </w:tc>
        <w:tc>
          <w:tcPr>
            <w:tcW w:type="dxa" w:w="3216"/>
          </w:tcPr>
          <w:p>
            <w:r>
              <w:rPr>
                <w:sz w:val="19"/>
              </w:rPr>
            </w:r>
            <w:r>
              <w:rPr>
                <w:sz w:val="19"/>
              </w:rPr>
              <w:t>11.07%</w:t>
            </w:r>
          </w:p>
        </w:tc>
        <w:tc>
          <w:tcPr>
            <w:tcW w:type="dxa" w:w="3216"/>
          </w:tcPr>
          <w:p>
            <w:r>
              <w:rPr>
                <w:sz w:val="19"/>
              </w:rPr>
            </w:r>
          </w:p>
        </w:tc>
      </w:tr>
      <w:tr>
        <w:tc>
          <w:tcPr>
            <w:tcW w:type="dxa" w:w="3216"/>
          </w:tcPr>
          <w:p>
            <w:r>
              <w:rPr>
                <w:sz w:val="19"/>
              </w:rPr>
            </w:r>
            <w:r>
              <w:rPr>
                <w:sz w:val="19"/>
              </w:rPr>
              <w:t>FICA</w:t>
            </w:r>
          </w:p>
        </w:tc>
        <w:tc>
          <w:tcPr>
            <w:tcW w:type="dxa" w:w="3216"/>
          </w:tcPr>
          <w:p>
            <w:r>
              <w:rPr>
                <w:sz w:val="19"/>
              </w:rPr>
            </w:r>
            <w:r>
              <w:rPr>
                <w:sz w:val="19"/>
              </w:rPr>
              <w:t>7.65%</w:t>
            </w:r>
          </w:p>
        </w:tc>
        <w:tc>
          <w:tcPr>
            <w:tcW w:type="dxa" w:w="3216"/>
          </w:tcPr>
          <w:p>
            <w:r>
              <w:rPr>
                <w:sz w:val="19"/>
              </w:rPr>
            </w:r>
            <w:r>
              <w:rPr>
                <w:sz w:val="19"/>
              </w:rPr>
              <w:t>Yes</w:t>
            </w:r>
          </w:p>
        </w:tc>
      </w:tr>
    </w:tbl>
    <w:p/>
    <w:p>
      <w:r>
        <w:t>The 6.49 points must not be counted as a saving, and this is a trap a fiscal note will fall into. The amortization component is a percentage-of-payroll charge against a fixed dollar unfunded liability — $6.05 billion for State Employees at 30 June 2025. Cutting covered payroll does not cut that liability by a cent. It cuts the dollars collected against it, and the rate has to rise later to make up the shortfall. Showing 11.07% as avoided cost would book a timing cost as a saving. The honest scalable multiplier is 1 + 4.34% + 0.24% + 7.65% = 1.1223.</w:t>
      </w:r>
    </w:p>
    <w:p>
      <w:r>
        <w:t>Annual run-rate at full enrolment. Positions not refilled save the whole package; refilled positions save only the salary difference. No double counting.</w:t>
      </w:r>
    </w:p>
    <w:p>
      <w:r>
        <w:t>Mid take-up — 41.5 retirements, average salary $84,329:</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Not refilled</w:t>
            </w:r>
          </w:p>
        </w:tc>
        <w:tc>
          <w:tcPr>
            <w:tcW w:type="dxa" w:w="2412"/>
          </w:tcPr>
          <w:p>
            <w:r>
              <w:rPr>
                <w:b/>
                <w:sz w:val="19"/>
              </w:rPr>
            </w:r>
            <w:r>
              <w:rPr>
                <w:b/>
                <w:sz w:val="19"/>
              </w:rPr>
              <w:t>Replacement at 80%</w:t>
            </w:r>
          </w:p>
        </w:tc>
        <w:tc>
          <w:tcPr>
            <w:tcW w:type="dxa" w:w="2412"/>
          </w:tcPr>
          <w:p>
            <w:r>
              <w:rPr>
                <w:b/>
                <w:sz w:val="19"/>
              </w:rPr>
            </w:r>
            <w:r>
              <w:rPr>
                <w:b/>
                <w:sz w:val="19"/>
              </w:rPr>
              <w:t>at 85%</w:t>
            </w:r>
          </w:p>
        </w:tc>
        <w:tc>
          <w:tcPr>
            <w:tcW w:type="dxa" w:w="2412"/>
          </w:tcPr>
          <w:p>
            <w:r>
              <w:rPr>
                <w:b/>
                <w:sz w:val="19"/>
              </w:rPr>
            </w:r>
            <w:r>
              <w:rPr>
                <w:b/>
                <w:sz w:val="19"/>
              </w:rPr>
              <w:t>at 90%</w:t>
            </w:r>
          </w:p>
        </w:tc>
      </w:tr>
      <w:tr>
        <w:tc>
          <w:tcPr>
            <w:tcW w:type="dxa" w:w="2412"/>
          </w:tcPr>
          <w:p>
            <w:r>
              <w:rPr>
                <w:sz w:val="19"/>
              </w:rPr>
            </w:r>
            <w:r>
              <w:rPr>
                <w:sz w:val="19"/>
              </w:rPr>
              <w:t>1%</w:t>
            </w:r>
          </w:p>
        </w:tc>
        <w:tc>
          <w:tcPr>
            <w:tcW w:type="dxa" w:w="2412"/>
          </w:tcPr>
          <w:p>
            <w:r>
              <w:rPr>
                <w:sz w:val="19"/>
              </w:rPr>
            </w:r>
            <w:r>
              <w:rPr>
                <w:sz w:val="19"/>
              </w:rPr>
              <w:t>$817,385</w:t>
            </w:r>
          </w:p>
        </w:tc>
        <w:tc>
          <w:tcPr>
            <w:tcW w:type="dxa" w:w="2412"/>
          </w:tcPr>
          <w:p>
            <w:r>
              <w:rPr>
                <w:sz w:val="19"/>
              </w:rPr>
            </w:r>
            <w:r>
              <w:rPr>
                <w:sz w:val="19"/>
              </w:rPr>
              <w:t>$622,863</w:t>
            </w:r>
          </w:p>
        </w:tc>
        <w:tc>
          <w:tcPr>
            <w:tcW w:type="dxa" w:w="2412"/>
          </w:tcPr>
          <w:p>
            <w:r>
              <w:rPr>
                <w:sz w:val="19"/>
              </w:rPr>
            </w:r>
            <w:r>
              <w:rPr>
                <w:sz w:val="19"/>
              </w:rPr>
              <w:t>$428,341</w:t>
            </w:r>
          </w:p>
        </w:tc>
      </w:tr>
      <w:tr>
        <w:tc>
          <w:tcPr>
            <w:tcW w:type="dxa" w:w="2412"/>
          </w:tcPr>
          <w:p>
            <w:r>
              <w:rPr>
                <w:sz w:val="19"/>
              </w:rPr>
            </w:r>
            <w:r>
              <w:rPr>
                <w:sz w:val="19"/>
              </w:rPr>
              <w:t>3%</w:t>
            </w:r>
          </w:p>
        </w:tc>
        <w:tc>
          <w:tcPr>
            <w:tcW w:type="dxa" w:w="2412"/>
          </w:tcPr>
          <w:p>
            <w:r>
              <w:rPr>
                <w:sz w:val="19"/>
              </w:rPr>
            </w:r>
            <w:r>
              <w:rPr>
                <w:sz w:val="19"/>
              </w:rPr>
              <w:t>$880,261</w:t>
            </w:r>
          </w:p>
        </w:tc>
        <w:tc>
          <w:tcPr>
            <w:tcW w:type="dxa" w:w="2412"/>
          </w:tcPr>
          <w:p>
            <w:r>
              <w:rPr>
                <w:sz w:val="19"/>
              </w:rPr>
            </w:r>
            <w:r>
              <w:rPr>
                <w:sz w:val="19"/>
              </w:rPr>
              <w:t>$689,669</w:t>
            </w:r>
          </w:p>
        </w:tc>
        <w:tc>
          <w:tcPr>
            <w:tcW w:type="dxa" w:w="2412"/>
          </w:tcPr>
          <w:p>
            <w:r>
              <w:rPr>
                <w:sz w:val="19"/>
              </w:rPr>
            </w:r>
            <w:r>
              <w:rPr>
                <w:sz w:val="19"/>
              </w:rPr>
              <w:t>$499,076</w:t>
            </w:r>
          </w:p>
        </w:tc>
      </w:tr>
      <w:tr>
        <w:tc>
          <w:tcPr>
            <w:tcW w:type="dxa" w:w="2412"/>
          </w:tcPr>
          <w:p>
            <w:r>
              <w:rPr>
                <w:sz w:val="19"/>
              </w:rPr>
            </w:r>
            <w:r>
              <w:rPr>
                <w:sz w:val="19"/>
              </w:rPr>
              <w:t>5%</w:t>
            </w:r>
          </w:p>
        </w:tc>
        <w:tc>
          <w:tcPr>
            <w:tcW w:type="dxa" w:w="2412"/>
          </w:tcPr>
          <w:p>
            <w:r>
              <w:rPr>
                <w:sz w:val="19"/>
              </w:rPr>
            </w:r>
            <w:r>
              <w:rPr>
                <w:sz w:val="19"/>
              </w:rPr>
              <w:t>$943,136</w:t>
            </w:r>
          </w:p>
        </w:tc>
        <w:tc>
          <w:tcPr>
            <w:tcW w:type="dxa" w:w="2412"/>
          </w:tcPr>
          <w:p>
            <w:r>
              <w:rPr>
                <w:sz w:val="19"/>
              </w:rPr>
            </w:r>
            <w:r>
              <w:rPr>
                <w:sz w:val="19"/>
              </w:rPr>
              <w:t>$756,474</w:t>
            </w:r>
          </w:p>
        </w:tc>
        <w:tc>
          <w:tcPr>
            <w:tcW w:type="dxa" w:w="2412"/>
          </w:tcPr>
          <w:p>
            <w:r>
              <w:rPr>
                <w:sz w:val="19"/>
              </w:rPr>
            </w:r>
            <w:r>
              <w:rPr>
                <w:sz w:val="19"/>
              </w:rPr>
              <w:t>$569,812</w:t>
            </w:r>
          </w:p>
        </w:tc>
      </w:tr>
    </w:tbl>
    <w:p/>
    <w:p>
      <w:r>
        <w:t>Low take-up — 17.3 retirements: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Not refilled</w:t>
            </w:r>
          </w:p>
        </w:tc>
        <w:tc>
          <w:tcPr>
            <w:tcW w:type="dxa" w:w="2412"/>
          </w:tcPr>
          <w:p>
            <w:r>
              <w:rPr>
                <w:b/>
                <w:sz w:val="19"/>
              </w:rPr>
            </w:r>
            <w:r>
              <w:rPr>
                <w:b/>
                <w:sz w:val="19"/>
              </w:rPr>
              <w:t>80%</w:t>
            </w:r>
          </w:p>
        </w:tc>
        <w:tc>
          <w:tcPr>
            <w:tcW w:type="dxa" w:w="2412"/>
          </w:tcPr>
          <w:p>
            <w:r>
              <w:rPr>
                <w:b/>
                <w:sz w:val="19"/>
              </w:rPr>
            </w:r>
            <w:r>
              <w:rPr>
                <w:b/>
                <w:sz w:val="19"/>
              </w:rPr>
              <w:t>85%</w:t>
            </w:r>
          </w:p>
        </w:tc>
        <w:tc>
          <w:tcPr>
            <w:tcW w:type="dxa" w:w="2412"/>
          </w:tcPr>
          <w:p>
            <w:r>
              <w:rPr>
                <w:b/>
                <w:sz w:val="19"/>
              </w:rPr>
            </w:r>
            <w:r>
              <w:rPr>
                <w:b/>
                <w:sz w:val="19"/>
              </w:rPr>
              <w:t>90%</w:t>
            </w:r>
          </w:p>
        </w:tc>
      </w:tr>
      <w:tr>
        <w:tc>
          <w:tcPr>
            <w:tcW w:type="dxa" w:w="2412"/>
          </w:tcPr>
          <w:p>
            <w:r>
              <w:rPr>
                <w:sz w:val="19"/>
              </w:rPr>
            </w:r>
            <w:r>
              <w:rPr>
                <w:sz w:val="19"/>
              </w:rPr>
              <w:t>1%</w:t>
            </w:r>
          </w:p>
        </w:tc>
        <w:tc>
          <w:tcPr>
            <w:tcW w:type="dxa" w:w="2412"/>
          </w:tcPr>
          <w:p>
            <w:r>
              <w:rPr>
                <w:sz w:val="19"/>
              </w:rPr>
            </w:r>
            <w:r>
              <w:rPr>
                <w:sz w:val="19"/>
              </w:rPr>
              <w:t>$340,577</w:t>
            </w:r>
          </w:p>
        </w:tc>
        <w:tc>
          <w:tcPr>
            <w:tcW w:type="dxa" w:w="2412"/>
          </w:tcPr>
          <w:p>
            <w:r>
              <w:rPr>
                <w:sz w:val="19"/>
              </w:rPr>
            </w:r>
            <w:r>
              <w:rPr>
                <w:sz w:val="19"/>
              </w:rPr>
              <w:t>$259,526</w:t>
            </w:r>
          </w:p>
        </w:tc>
        <w:tc>
          <w:tcPr>
            <w:tcW w:type="dxa" w:w="2412"/>
          </w:tcPr>
          <w:p>
            <w:r>
              <w:rPr>
                <w:sz w:val="19"/>
              </w:rPr>
            </w:r>
            <w:r>
              <w:rPr>
                <w:sz w:val="19"/>
              </w:rPr>
              <w:t>$178,475</w:t>
            </w:r>
          </w:p>
        </w:tc>
      </w:tr>
      <w:tr>
        <w:tc>
          <w:tcPr>
            <w:tcW w:type="dxa" w:w="2412"/>
          </w:tcPr>
          <w:p>
            <w:r>
              <w:rPr>
                <w:sz w:val="19"/>
              </w:rPr>
            </w:r>
            <w:r>
              <w:rPr>
                <w:sz w:val="19"/>
              </w:rPr>
              <w:t>3%</w:t>
            </w:r>
          </w:p>
        </w:tc>
        <w:tc>
          <w:tcPr>
            <w:tcW w:type="dxa" w:w="2412"/>
          </w:tcPr>
          <w:p>
            <w:r>
              <w:rPr>
                <w:sz w:val="19"/>
              </w:rPr>
            </w:r>
            <w:r>
              <w:rPr>
                <w:sz w:val="19"/>
              </w:rPr>
              <w:t>$366,775</w:t>
            </w:r>
          </w:p>
        </w:tc>
        <w:tc>
          <w:tcPr>
            <w:tcW w:type="dxa" w:w="2412"/>
          </w:tcPr>
          <w:p>
            <w:r>
              <w:rPr>
                <w:sz w:val="19"/>
              </w:rPr>
            </w:r>
            <w:r>
              <w:rPr>
                <w:sz w:val="19"/>
              </w:rPr>
              <w:t>$287,362</w:t>
            </w:r>
          </w:p>
        </w:tc>
        <w:tc>
          <w:tcPr>
            <w:tcW w:type="dxa" w:w="2412"/>
          </w:tcPr>
          <w:p>
            <w:r>
              <w:rPr>
                <w:sz w:val="19"/>
              </w:rPr>
            </w:r>
            <w:r>
              <w:rPr>
                <w:sz w:val="19"/>
              </w:rPr>
              <w:t>$207,948</w:t>
            </w:r>
          </w:p>
        </w:tc>
      </w:tr>
      <w:tr>
        <w:tc>
          <w:tcPr>
            <w:tcW w:type="dxa" w:w="2412"/>
          </w:tcPr>
          <w:p>
            <w:r>
              <w:rPr>
                <w:sz w:val="19"/>
              </w:rPr>
            </w:r>
            <w:r>
              <w:rPr>
                <w:sz w:val="19"/>
              </w:rPr>
              <w:t>5%</w:t>
            </w:r>
          </w:p>
        </w:tc>
        <w:tc>
          <w:tcPr>
            <w:tcW w:type="dxa" w:w="2412"/>
          </w:tcPr>
          <w:p>
            <w:r>
              <w:rPr>
                <w:sz w:val="19"/>
              </w:rPr>
            </w:r>
            <w:r>
              <w:rPr>
                <w:sz w:val="19"/>
              </w:rPr>
              <w:t>$392,974</w:t>
            </w:r>
          </w:p>
        </w:tc>
        <w:tc>
          <w:tcPr>
            <w:tcW w:type="dxa" w:w="2412"/>
          </w:tcPr>
          <w:p>
            <w:r>
              <w:rPr>
                <w:sz w:val="19"/>
              </w:rPr>
            </w:r>
            <w:r>
              <w:rPr>
                <w:sz w:val="19"/>
              </w:rPr>
              <w:t>$315,198</w:t>
            </w:r>
          </w:p>
        </w:tc>
        <w:tc>
          <w:tcPr>
            <w:tcW w:type="dxa" w:w="2412"/>
          </w:tcPr>
          <w:p>
            <w:r>
              <w:rPr>
                <w:sz w:val="19"/>
              </w:rPr>
            </w:r>
            <w:r>
              <w:rPr>
                <w:sz w:val="19"/>
              </w:rPr>
              <w:t>$237,421</w:t>
            </w:r>
          </w:p>
        </w:tc>
      </w:tr>
    </w:tbl>
    <w:p/>
    <w:p>
      <w:r>
        <w:t>High take-up — 86.5 retirements: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Not refilled</w:t>
            </w:r>
          </w:p>
        </w:tc>
        <w:tc>
          <w:tcPr>
            <w:tcW w:type="dxa" w:w="2412"/>
          </w:tcPr>
          <w:p>
            <w:r>
              <w:rPr>
                <w:b/>
                <w:sz w:val="19"/>
              </w:rPr>
            </w:r>
            <w:r>
              <w:rPr>
                <w:b/>
                <w:sz w:val="19"/>
              </w:rPr>
              <w:t>80%</w:t>
            </w:r>
          </w:p>
        </w:tc>
        <w:tc>
          <w:tcPr>
            <w:tcW w:type="dxa" w:w="2412"/>
          </w:tcPr>
          <w:p>
            <w:r>
              <w:rPr>
                <w:b/>
                <w:sz w:val="19"/>
              </w:rPr>
            </w:r>
            <w:r>
              <w:rPr>
                <w:b/>
                <w:sz w:val="19"/>
              </w:rPr>
              <w:t>85%</w:t>
            </w:r>
          </w:p>
        </w:tc>
        <w:tc>
          <w:tcPr>
            <w:tcW w:type="dxa" w:w="2412"/>
          </w:tcPr>
          <w:p>
            <w:r>
              <w:rPr>
                <w:b/>
                <w:sz w:val="19"/>
              </w:rPr>
            </w:r>
            <w:r>
              <w:rPr>
                <w:b/>
                <w:sz w:val="19"/>
              </w:rPr>
              <w:t>90%</w:t>
            </w:r>
          </w:p>
        </w:tc>
      </w:tr>
      <w:tr>
        <w:tc>
          <w:tcPr>
            <w:tcW w:type="dxa" w:w="2412"/>
          </w:tcPr>
          <w:p>
            <w:r>
              <w:rPr>
                <w:sz w:val="19"/>
              </w:rPr>
            </w:r>
            <w:r>
              <w:rPr>
                <w:sz w:val="19"/>
              </w:rPr>
              <w:t>1%</w:t>
            </w:r>
          </w:p>
        </w:tc>
        <w:tc>
          <w:tcPr>
            <w:tcW w:type="dxa" w:w="2412"/>
          </w:tcPr>
          <w:p>
            <w:r>
              <w:rPr>
                <w:sz w:val="19"/>
              </w:rPr>
            </w:r>
            <w:r>
              <w:rPr>
                <w:sz w:val="19"/>
              </w:rPr>
              <w:t>$1,702,885</w:t>
            </w:r>
          </w:p>
        </w:tc>
        <w:tc>
          <w:tcPr>
            <w:tcW w:type="dxa" w:w="2412"/>
          </w:tcPr>
          <w:p>
            <w:r>
              <w:rPr>
                <w:sz w:val="19"/>
              </w:rPr>
            </w:r>
            <w:r>
              <w:rPr>
                <w:sz w:val="19"/>
              </w:rPr>
              <w:t>$1,297,631</w:t>
            </w:r>
          </w:p>
        </w:tc>
        <w:tc>
          <w:tcPr>
            <w:tcW w:type="dxa" w:w="2412"/>
          </w:tcPr>
          <w:p>
            <w:r>
              <w:rPr>
                <w:sz w:val="19"/>
              </w:rPr>
            </w:r>
            <w:r>
              <w:rPr>
                <w:sz w:val="19"/>
              </w:rPr>
              <w:t>$892,377</w:t>
            </w:r>
          </w:p>
        </w:tc>
      </w:tr>
      <w:tr>
        <w:tc>
          <w:tcPr>
            <w:tcW w:type="dxa" w:w="2412"/>
          </w:tcPr>
          <w:p>
            <w:r>
              <w:rPr>
                <w:sz w:val="19"/>
              </w:rPr>
            </w:r>
            <w:r>
              <w:rPr>
                <w:sz w:val="19"/>
              </w:rPr>
              <w:t>3%</w:t>
            </w:r>
          </w:p>
        </w:tc>
        <w:tc>
          <w:tcPr>
            <w:tcW w:type="dxa" w:w="2412"/>
          </w:tcPr>
          <w:p>
            <w:r>
              <w:rPr>
                <w:sz w:val="19"/>
              </w:rPr>
            </w:r>
            <w:r>
              <w:rPr>
                <w:sz w:val="19"/>
              </w:rPr>
              <w:t>$1,833,876</w:t>
            </w:r>
          </w:p>
        </w:tc>
        <w:tc>
          <w:tcPr>
            <w:tcW w:type="dxa" w:w="2412"/>
          </w:tcPr>
          <w:p>
            <w:r>
              <w:rPr>
                <w:sz w:val="19"/>
              </w:rPr>
            </w:r>
            <w:r>
              <w:rPr>
                <w:sz w:val="19"/>
              </w:rPr>
              <w:t>$1,436,809</w:t>
            </w:r>
          </w:p>
        </w:tc>
        <w:tc>
          <w:tcPr>
            <w:tcW w:type="dxa" w:w="2412"/>
          </w:tcPr>
          <w:p>
            <w:r>
              <w:rPr>
                <w:sz w:val="19"/>
              </w:rPr>
            </w:r>
            <w:r>
              <w:rPr>
                <w:sz w:val="19"/>
              </w:rPr>
              <w:t>$1,039,742</w:t>
            </w:r>
          </w:p>
        </w:tc>
      </w:tr>
      <w:tr>
        <w:tc>
          <w:tcPr>
            <w:tcW w:type="dxa" w:w="2412"/>
          </w:tcPr>
          <w:p>
            <w:r>
              <w:rPr>
                <w:sz w:val="19"/>
              </w:rPr>
            </w:r>
            <w:r>
              <w:rPr>
                <w:sz w:val="19"/>
              </w:rPr>
              <w:t>5%</w:t>
            </w:r>
          </w:p>
        </w:tc>
        <w:tc>
          <w:tcPr>
            <w:tcW w:type="dxa" w:w="2412"/>
          </w:tcPr>
          <w:p>
            <w:r>
              <w:rPr>
                <w:sz w:val="19"/>
              </w:rPr>
            </w:r>
            <w:r>
              <w:rPr>
                <w:sz w:val="19"/>
              </w:rPr>
              <w:t>$1,964,868</w:t>
            </w:r>
          </w:p>
        </w:tc>
        <w:tc>
          <w:tcPr>
            <w:tcW w:type="dxa" w:w="2412"/>
          </w:tcPr>
          <w:p>
            <w:r>
              <w:rPr>
                <w:sz w:val="19"/>
              </w:rPr>
            </w:r>
            <w:r>
              <w:rPr>
                <w:sz w:val="19"/>
              </w:rPr>
              <w:t>$1,575,988</w:t>
            </w:r>
          </w:p>
        </w:tc>
        <w:tc>
          <w:tcPr>
            <w:tcW w:type="dxa" w:w="2412"/>
          </w:tcPr>
          <w:p>
            <w:r>
              <w:rPr>
                <w:sz w:val="19"/>
              </w:rPr>
            </w:r>
            <w:r>
              <w:rPr>
                <w:sz w:val="19"/>
              </w:rPr>
              <w:t>$1,187,107</w:t>
            </w:r>
          </w:p>
        </w:tc>
      </w:tr>
    </w:tbl>
    <w:p/>
    <w:p>
      <w:r>
        <w:t>Where the saving comes from — G10 requires this breakdown. At mid take-up, replacement at 85%, 3% not refilled:</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Source</w:t>
            </w:r>
          </w:p>
        </w:tc>
        <w:tc>
          <w:tcPr>
            <w:tcW w:type="dxa" w:w="3216"/>
          </w:tcPr>
          <w:p>
            <w:r>
              <w:rPr>
                <w:b/>
                <w:sz w:val="19"/>
              </w:rPr>
            </w:r>
            <w:r>
              <w:rPr>
                <w:b/>
                <w:sz w:val="19"/>
              </w:rPr>
              <w:t>Annual</w:t>
            </w:r>
          </w:p>
        </w:tc>
        <w:tc>
          <w:tcPr>
            <w:tcW w:type="dxa" w:w="3216"/>
          </w:tcPr>
          <w:p>
            <w:r>
              <w:rPr>
                <w:b/>
                <w:sz w:val="19"/>
              </w:rPr>
            </w:r>
            <w:r>
              <w:rPr>
                <w:b/>
                <w:sz w:val="19"/>
              </w:rPr>
              <w:t>Share</w:t>
            </w:r>
          </w:p>
        </w:tc>
      </w:tr>
      <w:tr>
        <w:tc>
          <w:tcPr>
            <w:tcW w:type="dxa" w:w="3216"/>
          </w:tcPr>
          <w:p>
            <w:r>
              <w:rPr>
                <w:sz w:val="19"/>
              </w:rPr>
            </w:r>
            <w:r>
              <w:rPr>
                <w:sz w:val="19"/>
              </w:rPr>
              <w:t>Salary compression on replacement</w:t>
            </w:r>
          </w:p>
        </w:tc>
        <w:tc>
          <w:tcPr>
            <w:tcW w:type="dxa" w:w="3216"/>
          </w:tcPr>
          <w:p>
            <w:r>
              <w:rPr>
                <w:sz w:val="19"/>
              </w:rPr>
            </w:r>
            <w:r>
              <w:rPr>
                <w:sz w:val="19"/>
              </w:rPr>
              <w:t>$571,776</w:t>
            </w:r>
          </w:p>
        </w:tc>
        <w:tc>
          <w:tcPr>
            <w:tcW w:type="dxa" w:w="3216"/>
          </w:tcPr>
          <w:p>
            <w:r>
              <w:rPr>
                <w:sz w:val="19"/>
              </w:rPr>
            </w:r>
            <w:r>
              <w:rPr>
                <w:sz w:val="19"/>
              </w:rPr>
              <w:t>82.9%</w:t>
            </w:r>
          </w:p>
        </w:tc>
      </w:tr>
      <w:tr>
        <w:tc>
          <w:tcPr>
            <w:tcW w:type="dxa" w:w="3216"/>
          </w:tcPr>
          <w:p>
            <w:r>
              <w:rPr>
                <w:sz w:val="19"/>
              </w:rPr>
            </w:r>
            <w:r>
              <w:rPr>
                <w:sz w:val="19"/>
              </w:rPr>
              <w:t>Positions not refilled</w:t>
            </w:r>
          </w:p>
        </w:tc>
        <w:tc>
          <w:tcPr>
            <w:tcW w:type="dxa" w:w="3216"/>
          </w:tcPr>
          <w:p>
            <w:r>
              <w:rPr>
                <w:sz w:val="19"/>
              </w:rPr>
            </w:r>
            <w:r>
              <w:rPr>
                <w:sz w:val="19"/>
              </w:rPr>
              <w:t>$117,892</w:t>
            </w:r>
          </w:p>
        </w:tc>
        <w:tc>
          <w:tcPr>
            <w:tcW w:type="dxa" w:w="3216"/>
          </w:tcPr>
          <w:p>
            <w:r>
              <w:rPr>
                <w:sz w:val="19"/>
              </w:rPr>
            </w:r>
            <w:r>
              <w:rPr>
                <w:sz w:val="19"/>
              </w:rPr>
              <w:t>17.1%</w:t>
            </w:r>
          </w:p>
        </w:tc>
      </w:tr>
      <w:tr>
        <w:tc>
          <w:tcPr>
            <w:tcW w:type="dxa" w:w="3216"/>
          </w:tcPr>
          <w:p>
            <w:r>
              <w:rPr>
                <w:sz w:val="19"/>
              </w:rPr>
            </w:r>
            <w:r>
              <w:rPr>
                <w:sz w:val="19"/>
              </w:rPr>
              <w:t>Total</w:t>
            </w:r>
          </w:p>
        </w:tc>
        <w:tc>
          <w:tcPr>
            <w:tcW w:type="dxa" w:w="3216"/>
          </w:tcPr>
          <w:p>
            <w:r>
              <w:rPr>
                <w:sz w:val="19"/>
              </w:rPr>
            </w:r>
            <w:r>
              <w:rPr>
                <w:sz w:val="19"/>
              </w:rPr>
              <w:t>$689,669</w:t>
            </w:r>
          </w:p>
        </w:tc>
        <w:tc>
          <w:tcPr>
            <w:tcW w:type="dxa" w:w="3216"/>
          </w:tcPr>
          <w:p>
            <w:r>
              <w:rPr>
                <w:sz w:val="19"/>
              </w:rPr>
            </w:r>
          </w:p>
        </w:tc>
      </w:tr>
      <w:tr>
        <w:tc>
          <w:tcPr>
            <w:tcW w:type="dxa" w:w="3216"/>
          </w:tcPr>
          <w:p>
            <w:r>
              <w:rPr>
                <w:sz w:val="19"/>
              </w:rPr>
            </w:r>
            <w:r>
              <w:rPr>
                <w:sz w:val="19"/>
              </w:rPr>
              <w:t>Memo: amortization dollars no longer collected — a timing cost, not a saving</w:t>
            </w:r>
          </w:p>
        </w:tc>
        <w:tc>
          <w:tcPr>
            <w:tcW w:type="dxa" w:w="3216"/>
          </w:tcPr>
          <w:p>
            <w:r>
              <w:rPr>
                <w:sz w:val="19"/>
              </w:rPr>
            </w:r>
            <w:r>
              <w:rPr>
                <w:sz w:val="19"/>
              </w:rPr>
              <w:t>$39,882</w:t>
            </w:r>
          </w:p>
        </w:tc>
        <w:tc>
          <w:tcPr>
            <w:tcW w:type="dxa" w:w="3216"/>
          </w:tcPr>
          <w:p>
            <w:r>
              <w:rPr>
                <w:sz w:val="19"/>
              </w:rPr>
            </w:r>
          </w:p>
        </w:tc>
      </w:tr>
    </w:tbl>
    <w:p/>
    <w:p>
      <w:r>
        <w:t>Not modeled: health insurance (roughly per-head, so it saves only on unfilled positions — needs the current state premium); leave payout at separation, which is a one-time cost against the ledger; vacancy and training cost during transition; the possibility that a senior position cannot be filled at 85% in a tight market.</w:t>
      </w:r>
    </w:p>
    <w:p>
      <w:pPr>
        <w:pStyle w:val="Heading2"/>
      </w:pPr>
      <w:r>
        <w:t>Ledger 3 — Net Commonwealth</w:t>
      </w:r>
    </w:p>
    <w:p>
      <w:r>
        <w:t>Mid take-up, replacement at 85%, 3% not refilled, k = 2.0:</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Line</w:t>
            </w:r>
          </w:p>
        </w:tc>
        <w:tc>
          <w:tcPr>
            <w:tcW w:type="dxa" w:w="3216"/>
          </w:tcPr>
          <w:p>
            <w:r>
              <w:rPr>
                <w:b/>
                <w:sz w:val="19"/>
              </w:rPr>
            </w:r>
            <w:r>
              <w:rPr>
                <w:b/>
                <w:sz w:val="19"/>
              </w:rPr>
              <w:t>Amount</w:t>
            </w:r>
          </w:p>
        </w:tc>
        <w:tc>
          <w:tcPr>
            <w:tcW w:type="dxa" w:w="3216"/>
          </w:tcPr>
          <w:p>
            <w:r>
              <w:rPr>
                <w:b/>
                <w:sz w:val="19"/>
              </w:rPr>
            </w:r>
            <w:r>
              <w:rPr>
                <w:b/>
                <w:sz w:val="19"/>
              </w:rPr>
              <w:t>Where it lands</w:t>
            </w:r>
          </w:p>
        </w:tc>
      </w:tr>
      <w:tr>
        <w:tc>
          <w:tcPr>
            <w:tcW w:type="dxa" w:w="3216"/>
          </w:tcPr>
          <w:p>
            <w:r>
              <w:rPr>
                <w:sz w:val="19"/>
              </w:rPr>
            </w:r>
            <w:r>
              <w:rPr>
                <w:sz w:val="19"/>
              </w:rPr>
              <w:t>Member payments received</w:t>
            </w:r>
          </w:p>
        </w:tc>
        <w:tc>
          <w:tcPr>
            <w:tcW w:type="dxa" w:w="3216"/>
          </w:tcPr>
          <w:p>
            <w:r>
              <w:rPr>
                <w:sz w:val="19"/>
              </w:rPr>
            </w:r>
            <w:r>
              <w:rPr>
                <w:sz w:val="19"/>
              </w:rPr>
              <w:t>+$554,922</w:t>
            </w:r>
          </w:p>
        </w:tc>
        <w:tc>
          <w:tcPr>
            <w:tcW w:type="dxa" w:w="3216"/>
          </w:tcPr>
          <w:p>
            <w:r>
              <w:rPr>
                <w:sz w:val="19"/>
              </w:rPr>
            </w:r>
            <w:r>
              <w:rPr>
                <w:sz w:val="19"/>
              </w:rPr>
              <w:t>VRS trust fund, one-time</w:t>
            </w:r>
          </w:p>
        </w:tc>
      </w:tr>
      <w:tr>
        <w:tc>
          <w:tcPr>
            <w:tcW w:type="dxa" w:w="3216"/>
          </w:tcPr>
          <w:p>
            <w:r>
              <w:rPr>
                <w:sz w:val="19"/>
              </w:rPr>
            </w:r>
            <w:r>
              <w:rPr>
                <w:sz w:val="19"/>
              </w:rPr>
              <w:t>Trust-fund subsidy granted at k = 2.0</w:t>
            </w:r>
          </w:p>
        </w:tc>
        <w:tc>
          <w:tcPr>
            <w:tcW w:type="dxa" w:w="3216"/>
          </w:tcPr>
          <w:p>
            <w:r>
              <w:rPr>
                <w:sz w:val="19"/>
              </w:rPr>
            </w:r>
            <w:r>
              <w:rPr>
                <w:sz w:val="19"/>
              </w:rPr>
              <w:t>−$554,922</w:t>
            </w:r>
          </w:p>
        </w:tc>
        <w:tc>
          <w:tcPr>
            <w:tcW w:type="dxa" w:w="3216"/>
          </w:tcPr>
          <w:p>
            <w:r>
              <w:rPr>
                <w:sz w:val="19"/>
              </w:rPr>
            </w:r>
            <w:r>
              <w:rPr>
                <w:sz w:val="19"/>
              </w:rPr>
              <w:t>VRS trust fund, actuarial</w:t>
            </w:r>
          </w:p>
        </w:tc>
      </w:tr>
      <w:tr>
        <w:tc>
          <w:tcPr>
            <w:tcW w:type="dxa" w:w="3216"/>
          </w:tcPr>
          <w:p>
            <w:r>
              <w:rPr>
                <w:sz w:val="19"/>
              </w:rPr>
            </w:r>
            <w:r>
              <w:rPr>
                <w:sz w:val="19"/>
              </w:rPr>
              <w:t>Cost of earlier benefit commencement (Bridge)</w:t>
            </w:r>
          </w:p>
        </w:tc>
        <w:tc>
          <w:tcPr>
            <w:tcW w:type="dxa" w:w="3216"/>
          </w:tcPr>
          <w:p>
            <w:r>
              <w:rPr>
                <w:sz w:val="19"/>
              </w:rPr>
            </w:r>
            <w:r>
              <w:rPr>
                <w:sz w:val="19"/>
              </w:rPr>
              <w:t>not quantified</w:t>
            </w:r>
          </w:p>
        </w:tc>
        <w:tc>
          <w:tcPr>
            <w:tcW w:type="dxa" w:w="3216"/>
          </w:tcPr>
          <w:p>
            <w:r>
              <w:rPr>
                <w:sz w:val="19"/>
              </w:rPr>
            </w:r>
            <w:r>
              <w:rPr>
                <w:sz w:val="19"/>
              </w:rPr>
              <w:t>VRS trust fund</w:t>
            </w:r>
          </w:p>
        </w:tc>
      </w:tr>
      <w:tr>
        <w:tc>
          <w:tcPr>
            <w:tcW w:type="dxa" w:w="3216"/>
          </w:tcPr>
          <w:p>
            <w:r>
              <w:rPr>
                <w:sz w:val="19"/>
              </w:rPr>
            </w:r>
            <w:r>
              <w:rPr>
                <w:sz w:val="19"/>
              </w:rPr>
              <w:t>Agency payroll saving</w:t>
            </w:r>
          </w:p>
        </w:tc>
        <w:tc>
          <w:tcPr>
            <w:tcW w:type="dxa" w:w="3216"/>
          </w:tcPr>
          <w:p>
            <w:r>
              <w:rPr>
                <w:sz w:val="19"/>
              </w:rPr>
            </w:r>
            <w:r>
              <w:rPr>
                <w:sz w:val="19"/>
              </w:rPr>
              <w:t>+$689,669 / year</w:t>
            </w:r>
          </w:p>
        </w:tc>
        <w:tc>
          <w:tcPr>
            <w:tcW w:type="dxa" w:w="3216"/>
          </w:tcPr>
          <w:p>
            <w:r>
              <w:rPr>
                <w:sz w:val="19"/>
              </w:rPr>
            </w:r>
            <w:r>
              <w:rPr>
                <w:sz w:val="19"/>
              </w:rPr>
              <w:t>Agency appropriations</w:t>
            </w:r>
          </w:p>
        </w:tc>
      </w:tr>
      <w:tr>
        <w:tc>
          <w:tcPr>
            <w:tcW w:type="dxa" w:w="3216"/>
          </w:tcPr>
          <w:p>
            <w:r>
              <w:rPr>
                <w:sz w:val="19"/>
              </w:rPr>
            </w:r>
            <w:r>
              <w:rPr>
                <w:sz w:val="19"/>
              </w:rPr>
              <w:t>Amortization dollars no longer collected</w:t>
            </w:r>
          </w:p>
        </w:tc>
        <w:tc>
          <w:tcPr>
            <w:tcW w:type="dxa" w:w="3216"/>
          </w:tcPr>
          <w:p>
            <w:r>
              <w:rPr>
                <w:sz w:val="19"/>
              </w:rPr>
            </w:r>
            <w:r>
              <w:rPr>
                <w:sz w:val="19"/>
              </w:rPr>
              <w:t>−$39,882 / year</w:t>
            </w:r>
          </w:p>
        </w:tc>
        <w:tc>
          <w:tcPr>
            <w:tcW w:type="dxa" w:w="3216"/>
          </w:tcPr>
          <w:p>
            <w:r>
              <w:rPr>
                <w:sz w:val="19"/>
              </w:rPr>
            </w:r>
            <w:r>
              <w:rPr>
                <w:sz w:val="19"/>
              </w:rPr>
              <w:t>VRS trust fund, timing</w:t>
            </w:r>
          </w:p>
        </w:tc>
      </w:tr>
      <w:tr>
        <w:tc>
          <w:tcPr>
            <w:tcW w:type="dxa" w:w="3216"/>
          </w:tcPr>
          <w:p>
            <w:r>
              <w:rPr>
                <w:sz w:val="19"/>
              </w:rPr>
            </w:r>
            <w:r>
              <w:rPr>
                <w:sz w:val="19"/>
              </w:rPr>
              <w:t>Program administration</w:t>
            </w:r>
          </w:p>
        </w:tc>
        <w:tc>
          <w:tcPr>
            <w:tcW w:type="dxa" w:w="3216"/>
          </w:tcPr>
          <w:p>
            <w:r>
              <w:rPr>
                <w:sz w:val="19"/>
              </w:rPr>
            </w:r>
            <w:r>
              <w:rPr>
                <w:sz w:val="19"/>
              </w:rPr>
              <w:t>not quantified</w:t>
            </w:r>
          </w:p>
        </w:tc>
        <w:tc>
          <w:tcPr>
            <w:tcW w:type="dxa" w:w="3216"/>
          </w:tcPr>
          <w:p>
            <w:r>
              <w:rPr>
                <w:sz w:val="19"/>
              </w:rPr>
            </w:r>
            <w:r>
              <w:rPr>
                <w:sz w:val="19"/>
              </w:rPr>
              <w:t>VRS and DHRM operating</w:t>
            </w:r>
          </w:p>
        </w:tc>
      </w:tr>
    </w:tbl>
    <w:p/>
    <w:p>
      <w:r>
        <w:t>G11 holds here without exception. The payroll saving is not money in the trust fund. It is agency appropriation.</w:t>
      </w:r>
    </w:p>
    <w:p>
      <w:r>
        <w:t>Decision 6, taken 12 October 2026: the bill carries no transfer mechanism. The saving stays in agency appropriations and is presented as a separate Commonwealth benefit. No headline, table, brief or item of testimony nets Ledger 2 against Ledger 1 — not provisionally, not in a footnote, not anywhere.</w:t>
      </w:r>
    </w:p>
    <w:p>
      <w:r>
        <w:t>What that gives up, stated plainly: about $690,000 a year recurring at mid take-up against a one-time $555,000 member payment is the strongest fiscal argument available for this bill, and it cannot be used as an offset. We accept that, because a netted headline is the fastest way to lose the VRS actuary, and once lost it does not come back. What we may still say is that the Commonwealth gets two things — a bounded trust-fund cost that VRS prices, and a separate recurring general-fund payroll saving — in two columns that are never summed.</w:t>
      </w:r>
    </w:p>
    <w:p>
      <w:r>
        <w:t>G22 still requires the annual report to measure employer payroll savings, replacement salary, whether the position was refilled, and positions not refilled. So if a future General Assembly wants a transfer mechanism at reenactment in 2031, it will argue from four years of Virginia data rather than from this model.</w:t>
      </w:r>
    </w:p>
    <w:p>
      <w:pPr>
        <w:pStyle w:val="Heading2"/>
      </w:pPr>
      <w:r>
        <w:t>Ledger 4 — Administration (G14)</w:t>
      </w:r>
    </w:p>
    <w:p>
      <w:r>
        <w:t>Not quantified. Needs VRS and DHRM to cost: eligibility determination per applicant, the two pathway calculations, the six-month retirement check, true-up assessment and collection, payroll-system changes, and the G22 annual report. V1's $375,000 estimate does not carry over — it priced a queue and a certified-subsidy reservation that no longer exist. Keep this ledger visible and empty rather than filling it with a number we cannot defend.</w:t>
      </w:r>
    </w:p>
    <w:p>
      <w:pPr>
        <w:jc w:val="left"/>
      </w:pPr>
      <w:r>
        <w:rPr>
          <w:color w:val="BBBBBB"/>
        </w:rPr>
        <w:t>______________________________________________________________________________________</w:t>
      </w:r>
    </w:p>
    <w:p>
      <w:pPr>
        <w:pStyle w:val="Heading1"/>
      </w:pPr>
      <w:r>
        <w:t>6. Sensitivity</w:t>
      </w:r>
    </w:p>
    <w:p>
      <w:r>
        <w:t>Tier proxy and Social Security age. The derived outputs are stable: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Variant</w:t>
            </w:r>
          </w:p>
        </w:tc>
        <w:tc>
          <w:tcPr>
            <w:tcW w:type="dxa" w:w="2412"/>
          </w:tcPr>
          <w:p>
            <w:r>
              <w:rPr>
                <w:b/>
                <w:sz w:val="19"/>
              </w:rPr>
            </w:r>
            <w:r>
              <w:rPr>
                <w:b/>
                <w:sz w:val="19"/>
              </w:rPr>
              <w:t>Plan 1 + Plan 2</w:t>
            </w:r>
          </w:p>
        </w:tc>
        <w:tc>
          <w:tcPr>
            <w:tcW w:type="dxa" w:w="2412"/>
          </w:tcPr>
          <w:p>
            <w:r>
              <w:rPr>
                <w:b/>
                <w:sz w:val="19"/>
              </w:rPr>
            </w:r>
            <w:r>
              <w:rPr>
                <w:b/>
                <w:sz w:val="19"/>
              </w:rPr>
              <w:t>Incentive pool</w:t>
            </w:r>
          </w:p>
        </w:tc>
        <w:tc>
          <w:tcPr>
            <w:tcW w:type="dxa" w:w="2412"/>
          </w:tcPr>
          <w:p>
            <w:r>
              <w:rPr>
                <w:b/>
                <w:sz w:val="19"/>
              </w:rPr>
            </w:r>
            <w:r>
              <w:rPr>
                <w:b/>
                <w:sz w:val="19"/>
              </w:rPr>
              <w:t>Bridge pool</w:t>
            </w:r>
          </w:p>
        </w:tc>
      </w:tr>
      <w:tr>
        <w:tc>
          <w:tcPr>
            <w:tcW w:type="dxa" w:w="2412"/>
          </w:tcPr>
          <w:p>
            <w:r>
              <w:rPr>
                <w:sz w:val="19"/>
              </w:rPr>
            </w:r>
            <w:r>
              <w:rPr>
                <w:sz w:val="19"/>
              </w:rPr>
              <w:t>Base — Plan 1 ≥15.0, Plan 2 ≥11.5, SSA 67</w:t>
            </w:r>
          </w:p>
        </w:tc>
        <w:tc>
          <w:tcPr>
            <w:tcW w:type="dxa" w:w="2412"/>
          </w:tcPr>
          <w:p>
            <w:r>
              <w:rPr>
                <w:sz w:val="19"/>
              </w:rPr>
            </w:r>
            <w:r>
              <w:rPr>
                <w:sz w:val="19"/>
              </w:rPr>
              <w:t>28,994</w:t>
            </w:r>
          </w:p>
        </w:tc>
        <w:tc>
          <w:tcPr>
            <w:tcW w:type="dxa" w:w="2412"/>
          </w:tcPr>
          <w:p>
            <w:r>
              <w:rPr>
                <w:sz w:val="19"/>
              </w:rPr>
            </w:r>
            <w:r>
              <w:rPr>
                <w:sz w:val="19"/>
              </w:rPr>
              <w:t>6,254</w:t>
            </w:r>
          </w:p>
        </w:tc>
        <w:tc>
          <w:tcPr>
            <w:tcW w:type="dxa" w:w="2412"/>
          </w:tcPr>
          <w:p>
            <w:r>
              <w:rPr>
                <w:sz w:val="19"/>
              </w:rPr>
            </w:r>
            <w:r>
              <w:rPr>
                <w:sz w:val="19"/>
              </w:rPr>
              <w:t>2,396</w:t>
            </w:r>
          </w:p>
        </w:tc>
      </w:tr>
      <w:tr>
        <w:tc>
          <w:tcPr>
            <w:tcW w:type="dxa" w:w="2412"/>
          </w:tcPr>
          <w:p>
            <w:r>
              <w:rPr>
                <w:sz w:val="19"/>
              </w:rPr>
            </w:r>
            <w:r>
              <w:rPr>
                <w:sz w:val="19"/>
              </w:rPr>
              <w:t>SSA age 66</w:t>
            </w:r>
          </w:p>
        </w:tc>
        <w:tc>
          <w:tcPr>
            <w:tcW w:type="dxa" w:w="2412"/>
          </w:tcPr>
          <w:p>
            <w:r>
              <w:rPr>
                <w:sz w:val="19"/>
              </w:rPr>
            </w:r>
            <w:r>
              <w:rPr>
                <w:sz w:val="19"/>
              </w:rPr>
              <w:t>28,994</w:t>
            </w:r>
          </w:p>
        </w:tc>
        <w:tc>
          <w:tcPr>
            <w:tcW w:type="dxa" w:w="2412"/>
          </w:tcPr>
          <w:p>
            <w:r>
              <w:rPr>
                <w:sz w:val="19"/>
              </w:rPr>
            </w:r>
            <w:r>
              <w:rPr>
                <w:sz w:val="19"/>
              </w:rPr>
              <w:t>6,355</w:t>
            </w:r>
          </w:p>
        </w:tc>
        <w:tc>
          <w:tcPr>
            <w:tcW w:type="dxa" w:w="2412"/>
          </w:tcPr>
          <w:p>
            <w:r>
              <w:rPr>
                <w:sz w:val="19"/>
              </w:rPr>
            </w:r>
            <w:r>
              <w:rPr>
                <w:sz w:val="19"/>
              </w:rPr>
              <w:t>2,396</w:t>
            </w:r>
          </w:p>
        </w:tc>
      </w:tr>
      <w:tr>
        <w:tc>
          <w:tcPr>
            <w:tcW w:type="dxa" w:w="2412"/>
          </w:tcPr>
          <w:p>
            <w:r>
              <w:rPr>
                <w:sz w:val="19"/>
              </w:rPr>
            </w:r>
            <w:r>
              <w:rPr>
                <w:sz w:val="19"/>
              </w:rPr>
              <w:t>Boundaries +0.5 yr</w:t>
            </w:r>
          </w:p>
        </w:tc>
        <w:tc>
          <w:tcPr>
            <w:tcW w:type="dxa" w:w="2412"/>
          </w:tcPr>
          <w:p>
            <w:r>
              <w:rPr>
                <w:sz w:val="19"/>
              </w:rPr>
            </w:r>
            <w:r>
              <w:rPr>
                <w:sz w:val="19"/>
              </w:rPr>
              <w:t>26,964</w:t>
            </w:r>
          </w:p>
        </w:tc>
        <w:tc>
          <w:tcPr>
            <w:tcW w:type="dxa" w:w="2412"/>
          </w:tcPr>
          <w:p>
            <w:r>
              <w:rPr>
                <w:sz w:val="19"/>
              </w:rPr>
            </w:r>
            <w:r>
              <w:rPr>
                <w:sz w:val="19"/>
              </w:rPr>
              <w:t>6,173</w:t>
            </w:r>
          </w:p>
        </w:tc>
        <w:tc>
          <w:tcPr>
            <w:tcW w:type="dxa" w:w="2412"/>
          </w:tcPr>
          <w:p>
            <w:r>
              <w:rPr>
                <w:sz w:val="19"/>
              </w:rPr>
            </w:r>
            <w:r>
              <w:rPr>
                <w:sz w:val="19"/>
              </w:rPr>
              <w:t>2,396</w:t>
            </w:r>
          </w:p>
        </w:tc>
      </w:tr>
      <w:tr>
        <w:tc>
          <w:tcPr>
            <w:tcW w:type="dxa" w:w="2412"/>
          </w:tcPr>
          <w:p>
            <w:r>
              <w:rPr>
                <w:sz w:val="19"/>
              </w:rPr>
            </w:r>
            <w:r>
              <w:rPr>
                <w:sz w:val="19"/>
              </w:rPr>
              <w:t>Boundaries −0.5 yr</w:t>
            </w:r>
          </w:p>
        </w:tc>
        <w:tc>
          <w:tcPr>
            <w:tcW w:type="dxa" w:w="2412"/>
          </w:tcPr>
          <w:p>
            <w:r>
              <w:rPr>
                <w:sz w:val="19"/>
              </w:rPr>
            </w:r>
            <w:r>
              <w:rPr>
                <w:sz w:val="19"/>
              </w:rPr>
              <w:t>28,994</w:t>
            </w:r>
          </w:p>
        </w:tc>
        <w:tc>
          <w:tcPr>
            <w:tcW w:type="dxa" w:w="2412"/>
          </w:tcPr>
          <w:p>
            <w:r>
              <w:rPr>
                <w:sz w:val="19"/>
              </w:rPr>
            </w:r>
            <w:r>
              <w:rPr>
                <w:sz w:val="19"/>
              </w:rPr>
              <w:t>6,308</w:t>
            </w:r>
          </w:p>
        </w:tc>
        <w:tc>
          <w:tcPr>
            <w:tcW w:type="dxa" w:w="2412"/>
          </w:tcPr>
          <w:p>
            <w:r>
              <w:rPr>
                <w:sz w:val="19"/>
              </w:rPr>
            </w:r>
            <w:r>
              <w:rPr>
                <w:sz w:val="19"/>
              </w:rPr>
              <w:t>2,396</w:t>
            </w:r>
          </w:p>
        </w:tc>
      </w:tr>
    </w:tbl>
    <w:p/>
    <w:p>
      <w:r>
        <w:t>The Bridge pool is 2,396 under every variant. The Incentive pool moves 1.3%. The denominator moves 7%.</w:t>
      </w:r>
    </w:p>
    <w:p>
      <w:r>
        <w:t>All three dials moved together. The take-up grid in section 4 holds veteran share and qualifying share at their central values. Moving all three gives the true range:</w:t>
      </w:r>
    </w:p>
    <w:tbl>
      <w:tblPr>
        <w:tblStyle w:val="LightGrid-Accent1"/>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9"/>
              </w:rPr>
            </w:r>
            <w:r>
              <w:rPr>
                <w:b/>
                <w:sz w:val="19"/>
              </w:rPr>
              <w:t>Scenario</w:t>
            </w:r>
          </w:p>
        </w:tc>
        <w:tc>
          <w:tcPr>
            <w:tcW w:type="dxa" w:w="1378"/>
          </w:tcPr>
          <w:p>
            <w:r>
              <w:rPr>
                <w:b/>
                <w:sz w:val="19"/>
              </w:rPr>
            </w:r>
            <w:r>
              <w:rPr>
                <w:b/>
                <w:sz w:val="19"/>
              </w:rPr>
              <w:t>Veteran</w:t>
            </w:r>
          </w:p>
        </w:tc>
        <w:tc>
          <w:tcPr>
            <w:tcW w:type="dxa" w:w="1378"/>
          </w:tcPr>
          <w:p>
            <w:r>
              <w:rPr>
                <w:b/>
                <w:sz w:val="19"/>
              </w:rPr>
            </w:r>
            <w:r>
              <w:rPr>
                <w:b/>
                <w:sz w:val="19"/>
              </w:rPr>
              <w:t>Qualifying</w:t>
            </w:r>
          </w:p>
        </w:tc>
        <w:tc>
          <w:tcPr>
            <w:tcW w:type="dxa" w:w="1378"/>
          </w:tcPr>
          <w:p>
            <w:r>
              <w:rPr>
                <w:b/>
                <w:sz w:val="19"/>
              </w:rPr>
            </w:r>
            <w:r>
              <w:rPr>
                <w:b/>
                <w:sz w:val="19"/>
              </w:rPr>
              <w:t>Take-up</w:t>
            </w:r>
          </w:p>
        </w:tc>
        <w:tc>
          <w:tcPr>
            <w:tcW w:type="dxa" w:w="1378"/>
          </w:tcPr>
          <w:p>
            <w:r>
              <w:rPr>
                <w:b/>
                <w:sz w:val="19"/>
              </w:rPr>
            </w:r>
            <w:r>
              <w:rPr>
                <w:b/>
                <w:sz w:val="19"/>
              </w:rPr>
              <w:t>Incentive</w:t>
            </w:r>
          </w:p>
        </w:tc>
        <w:tc>
          <w:tcPr>
            <w:tcW w:type="dxa" w:w="1378"/>
          </w:tcPr>
          <w:p>
            <w:r>
              <w:rPr>
                <w:b/>
                <w:sz w:val="19"/>
              </w:rPr>
            </w:r>
            <w:r>
              <w:rPr>
                <w:b/>
                <w:sz w:val="19"/>
              </w:rPr>
              <w:t>Bridge</w:t>
            </w:r>
          </w:p>
        </w:tc>
        <w:tc>
          <w:tcPr>
            <w:tcW w:type="dxa" w:w="1378"/>
          </w:tcPr>
          <w:p>
            <w:r>
              <w:rPr>
                <w:b/>
                <w:sz w:val="19"/>
              </w:rPr>
            </w:r>
            <w:r>
              <w:rPr>
                <w:b/>
                <w:sz w:val="19"/>
              </w:rPr>
              <w:t>Total</w:t>
            </w:r>
          </w:p>
        </w:tc>
      </w:tr>
      <w:tr>
        <w:tc>
          <w:tcPr>
            <w:tcW w:type="dxa" w:w="1378"/>
          </w:tcPr>
          <w:p>
            <w:r>
              <w:rPr>
                <w:sz w:val="19"/>
              </w:rPr>
            </w:r>
            <w:r>
              <w:rPr>
                <w:sz w:val="19"/>
              </w:rPr>
              <w:t>Low</w:t>
            </w:r>
          </w:p>
        </w:tc>
        <w:tc>
          <w:tcPr>
            <w:tcW w:type="dxa" w:w="1378"/>
          </w:tcPr>
          <w:p>
            <w:r>
              <w:rPr>
                <w:sz w:val="19"/>
              </w:rPr>
            </w:r>
            <w:r>
              <w:rPr>
                <w:sz w:val="19"/>
              </w:rPr>
              <w:t>6%</w:t>
            </w:r>
          </w:p>
        </w:tc>
        <w:tc>
          <w:tcPr>
            <w:tcW w:type="dxa" w:w="1378"/>
          </w:tcPr>
          <w:p>
            <w:r>
              <w:rPr>
                <w:sz w:val="19"/>
              </w:rPr>
            </w:r>
            <w:r>
              <w:rPr>
                <w:sz w:val="19"/>
              </w:rPr>
              <w:t>35%</w:t>
            </w:r>
          </w:p>
        </w:tc>
        <w:tc>
          <w:tcPr>
            <w:tcW w:type="dxa" w:w="1378"/>
          </w:tcPr>
          <w:p>
            <w:r>
              <w:rPr>
                <w:sz w:val="19"/>
              </w:rPr>
            </w:r>
            <w:r>
              <w:rPr>
                <w:sz w:val="19"/>
              </w:rPr>
              <w:t>5%</w:t>
            </w:r>
          </w:p>
        </w:tc>
        <w:tc>
          <w:tcPr>
            <w:tcW w:type="dxa" w:w="1378"/>
          </w:tcPr>
          <w:p>
            <w:r>
              <w:rPr>
                <w:sz w:val="19"/>
              </w:rPr>
            </w:r>
            <w:r>
              <w:rPr>
                <w:sz w:val="19"/>
              </w:rPr>
              <w:t>6.6</w:t>
            </w:r>
          </w:p>
        </w:tc>
        <w:tc>
          <w:tcPr>
            <w:tcW w:type="dxa" w:w="1378"/>
          </w:tcPr>
          <w:p>
            <w:r>
              <w:rPr>
                <w:sz w:val="19"/>
              </w:rPr>
            </w:r>
            <w:r>
              <w:rPr>
                <w:sz w:val="19"/>
              </w:rPr>
              <w:t>2.5</w:t>
            </w:r>
          </w:p>
        </w:tc>
        <w:tc>
          <w:tcPr>
            <w:tcW w:type="dxa" w:w="1378"/>
          </w:tcPr>
          <w:p>
            <w:r>
              <w:rPr>
                <w:sz w:val="19"/>
              </w:rPr>
            </w:r>
            <w:r>
              <w:rPr>
                <w:sz w:val="19"/>
              </w:rPr>
              <w:t>9</w:t>
            </w:r>
          </w:p>
        </w:tc>
      </w:tr>
      <w:tr>
        <w:tc>
          <w:tcPr>
            <w:tcW w:type="dxa" w:w="1378"/>
          </w:tcPr>
          <w:p>
            <w:r>
              <w:rPr>
                <w:sz w:val="19"/>
              </w:rPr>
            </w:r>
            <w:r>
              <w:rPr>
                <w:sz w:val="19"/>
              </w:rPr>
              <w:t>Mid</w:t>
            </w:r>
          </w:p>
        </w:tc>
        <w:tc>
          <w:tcPr>
            <w:tcW w:type="dxa" w:w="1378"/>
          </w:tcPr>
          <w:p>
            <w:r>
              <w:rPr>
                <w:sz w:val="19"/>
              </w:rPr>
            </w:r>
            <w:r>
              <w:rPr>
                <w:sz w:val="19"/>
              </w:rPr>
              <w:t>8%</w:t>
            </w:r>
          </w:p>
        </w:tc>
        <w:tc>
          <w:tcPr>
            <w:tcW w:type="dxa" w:w="1378"/>
          </w:tcPr>
          <w:p>
            <w:r>
              <w:rPr>
                <w:sz w:val="19"/>
              </w:rPr>
            </w:r>
            <w:r>
              <w:rPr>
                <w:sz w:val="19"/>
              </w:rPr>
              <w:t>50%</w:t>
            </w:r>
          </w:p>
        </w:tc>
        <w:tc>
          <w:tcPr>
            <w:tcW w:type="dxa" w:w="1378"/>
          </w:tcPr>
          <w:p>
            <w:r>
              <w:rPr>
                <w:sz w:val="19"/>
              </w:rPr>
            </w:r>
            <w:r>
              <w:rPr>
                <w:sz w:val="19"/>
              </w:rPr>
              <w:t>12%</w:t>
            </w:r>
          </w:p>
        </w:tc>
        <w:tc>
          <w:tcPr>
            <w:tcW w:type="dxa" w:w="1378"/>
          </w:tcPr>
          <w:p>
            <w:r>
              <w:rPr>
                <w:sz w:val="19"/>
              </w:rPr>
            </w:r>
            <w:r>
              <w:rPr>
                <w:sz w:val="19"/>
              </w:rPr>
              <w:t>30.0</w:t>
            </w:r>
          </w:p>
        </w:tc>
        <w:tc>
          <w:tcPr>
            <w:tcW w:type="dxa" w:w="1378"/>
          </w:tcPr>
          <w:p>
            <w:r>
              <w:rPr>
                <w:sz w:val="19"/>
              </w:rPr>
            </w:r>
            <w:r>
              <w:rPr>
                <w:sz w:val="19"/>
              </w:rPr>
              <w:t>11.5</w:t>
            </w:r>
          </w:p>
        </w:tc>
        <w:tc>
          <w:tcPr>
            <w:tcW w:type="dxa" w:w="1378"/>
          </w:tcPr>
          <w:p>
            <w:r>
              <w:rPr>
                <w:sz w:val="19"/>
              </w:rPr>
            </w:r>
            <w:r>
              <w:rPr>
                <w:sz w:val="19"/>
              </w:rPr>
              <w:t>42</w:t>
            </w:r>
          </w:p>
        </w:tc>
      </w:tr>
      <w:tr>
        <w:tc>
          <w:tcPr>
            <w:tcW w:type="dxa" w:w="1378"/>
          </w:tcPr>
          <w:p>
            <w:r>
              <w:rPr>
                <w:sz w:val="19"/>
              </w:rPr>
            </w:r>
            <w:r>
              <w:rPr>
                <w:sz w:val="19"/>
              </w:rPr>
              <w:t>High</w:t>
            </w:r>
          </w:p>
        </w:tc>
        <w:tc>
          <w:tcPr>
            <w:tcW w:type="dxa" w:w="1378"/>
          </w:tcPr>
          <w:p>
            <w:r>
              <w:rPr>
                <w:sz w:val="19"/>
              </w:rPr>
            </w:r>
            <w:r>
              <w:rPr>
                <w:sz w:val="19"/>
              </w:rPr>
              <w:t>10%</w:t>
            </w:r>
          </w:p>
        </w:tc>
        <w:tc>
          <w:tcPr>
            <w:tcW w:type="dxa" w:w="1378"/>
          </w:tcPr>
          <w:p>
            <w:r>
              <w:rPr>
                <w:sz w:val="19"/>
              </w:rPr>
            </w:r>
            <w:r>
              <w:rPr>
                <w:sz w:val="19"/>
              </w:rPr>
              <w:t>65%</w:t>
            </w:r>
          </w:p>
        </w:tc>
        <w:tc>
          <w:tcPr>
            <w:tcW w:type="dxa" w:w="1378"/>
          </w:tcPr>
          <w:p>
            <w:r>
              <w:rPr>
                <w:sz w:val="19"/>
              </w:rPr>
            </w:r>
            <w:r>
              <w:rPr>
                <w:sz w:val="19"/>
              </w:rPr>
              <w:t>25%</w:t>
            </w:r>
          </w:p>
        </w:tc>
        <w:tc>
          <w:tcPr>
            <w:tcW w:type="dxa" w:w="1378"/>
          </w:tcPr>
          <w:p>
            <w:r>
              <w:rPr>
                <w:sz w:val="19"/>
              </w:rPr>
            </w:r>
            <w:r>
              <w:rPr>
                <w:sz w:val="19"/>
              </w:rPr>
              <w:t>101.6</w:t>
            </w:r>
          </w:p>
        </w:tc>
        <w:tc>
          <w:tcPr>
            <w:tcW w:type="dxa" w:w="1378"/>
          </w:tcPr>
          <w:p>
            <w:r>
              <w:rPr>
                <w:sz w:val="19"/>
              </w:rPr>
            </w:r>
            <w:r>
              <w:rPr>
                <w:sz w:val="19"/>
              </w:rPr>
              <w:t>38.9</w:t>
            </w:r>
          </w:p>
        </w:tc>
        <w:tc>
          <w:tcPr>
            <w:tcW w:type="dxa" w:w="1378"/>
          </w:tcPr>
          <w:p>
            <w:r>
              <w:rPr>
                <w:sz w:val="19"/>
              </w:rPr>
            </w:r>
            <w:r>
              <w:rPr>
                <w:sz w:val="19"/>
              </w:rPr>
              <w:t>141</w:t>
            </w:r>
          </w:p>
        </w:tc>
      </w:tr>
    </w:tbl>
    <w:p/>
    <w:p>
      <w:r>
        <w:t>9 to 141 is the honest range, and a 15× spread is not a presentable fiscal note. Two of the three dials are data requests, not judgments. G24 collapses the range; nothing else will.</w:t>
      </w:r>
    </w:p>
    <w:p>
      <w:pPr>
        <w:pStyle w:val="Heading2"/>
      </w:pPr>
      <w:r>
        <w:t>6.1 Both pathway pools are a snapshot, and they understate</w:t>
      </w:r>
    </w:p>
    <w:p>
      <w:r>
        <w:rPr>
          <w:b/>
        </w:rPr>
        <w:t>Added 12 October 2026, amendment 1.</w:t>
      </w:r>
      <w:r>
        <w:t xml:space="preserve"> The screens in section 2 ask who is eligible, or reachable, at 30 June 2025 — the valuation date. The pilot would run four years, during which every member ages and accrues service. Both pools therefore understate, and the direction of the error is known rather than uncertain.</w:t>
      </w:r>
    </w:p>
    <w:p>
      <w:r>
        <w:t xml:space="preserve">The scale was measured on the VaLORS table in V2-annex-VaLORS-prescore §3.2, by rolling the published table forward on both axes. For that plan the combined pathway pool rises </w:t>
      </w:r>
      <w:r>
        <w:rPr>
          <w:b/>
        </w:rPr>
        <w:t>20% at the mid-point of a four-year pilot and 41% by the end</w:t>
      </w:r>
      <w:r>
        <w:t>. VaLORS and State Employees have different eligibility rules, so the VaLORS percentage is an indication of order and not a figure to apply to 6,254 and 2,396. We have not run the roll-forward on the State Employees table, and we should not publish a number we have not computed.</w:t>
      </w:r>
    </w:p>
    <w:p>
      <w:r>
        <w:rPr>
          <w:b/>
        </w:rPr>
        <w:t>What this means for the figures in this model.</w:t>
      </w:r>
      <w:r>
        <w:t xml:space="preserve"> Our pools, and therefore every participant count derived from them, are floors on this axis. That is the honest direction for an advocacy model to err, and it is the opposite of the direction a sceptical reader will assume we erred in. </w:t>
      </w:r>
      <w:r>
        <w:rPr>
          <w:b/>
        </w:rPr>
        <w:t>Say it before it is found.</w:t>
      </w:r>
      <w:r>
        <w:t xml:space="preserve"> Item 5 of the data request now states the limitation to VRS and asks, if VRS can do it, for the two pathway counts projected to the pilot years rather than as at the valuation date.</w:t>
      </w:r>
    </w:p>
    <w:p>
      <w:r>
        <w:t>This limitation is independent of the three dials in section 4 and does not widen the 9-to-141 range. It shifts the base the dials act on.</w:t>
      </w:r>
    </w:p>
    <w:p>
      <w:pPr>
        <w:jc w:val="left"/>
      </w:pPr>
      <w:r>
        <w:rPr>
          <w:color w:val="BBBBBB"/>
        </w:rPr>
        <w:t>______________________________________________________________________________________</w:t>
      </w:r>
    </w:p>
    <w:p>
      <w:pPr>
        <w:pStyle w:val="Heading1"/>
      </w:pPr>
      <w:r>
        <w:t>7. The five questions put to the board — all answered 12 October 2026</w:t>
      </w:r>
    </w:p>
    <w:p>
      <w:r>
        <w:t>The board took the recommended reading on every one. Each is restated below with its answer. V2-decisions-adopted carries the full reasoning and the drafting consequences.</w:t>
      </w:r>
    </w:p>
    <w:p>
      <w:pPr>
        <w:pStyle w:val="ListNumber"/>
      </w:pPr>
      <w:r>
        <w:t>✅ Do the hazardous-duty and judicial state plans take part? — Excluded, expressly. State Police (1,902), Virginia Law Officers (7,459) and Judicial (473) are state employees under any plain reading of G20, and the goal set was silent. It mattered in three directions: veterans are likely over-represented in corrections and law-enforcement roles; their approximate-normal-cost price rates are far higher (Plan 1 hazardous 23.78%, judicial 31.97% against 12.50% — roughly 1.9× and 2.6× the price per year purchased, not purchase-participation rates); and their eligibility rules differ, which changes who the Bridge can reach. Decided: excluded, with the exclusion stated expressly in the bill so the omission reads as a design choice. Expect a floor amendment to add VaLORS and have it pre-scored at that multiple before it is offered.</w:t>
      </w:r>
    </w:p>
    <w:p>
      <w:pPr>
        <w:pStyle w:val="ListNumber"/>
      </w:pPr>
      <w:r>
        <w:t>✅ Confirm the Bridge screen — the purchasable screen, 2,396. "Can reach the threshold with ≤48 months purchased," not G9's "within 4 years of the threshold" (5,177). Section 2.1. The smaller, defensible pool was chosen over the larger one, at a cost of about 24% of total participants. Say that in the fiscal note rather than leave it to be found.</w:t>
      </w:r>
    </w:p>
    <w:p>
      <w:pPr>
        <w:pStyle w:val="ListNumber"/>
      </w:pPr>
      <w:r>
        <w:t>✅ Confirm the Plan 2 Bridge is scored at zero — confirmed. Legally eligible under G2, fiscally zero. Section 2.2.</w:t>
      </w:r>
    </w:p>
    <w:p>
      <w:pPr>
        <w:pStyle w:val="ListNumber"/>
      </w:pPr>
      <w:r>
        <w:t>✅ Retire the Plan 2 retirement-proximity assumptions (12% / 13%) in favour of the derived 4.0% / 6.7% — retired. Section 2.4.</w:t>
      </w:r>
    </w:p>
    <w:p>
      <w:pPr>
        <w:pStyle w:val="ListNumber"/>
      </w:pPr>
      <w:r>
        <w:t>✅ Where does the payroll saving go? — nowhere. No transfer mechanism. It stays in agency appropriations and never offsets. Ledger 3 above.</w:t>
      </w:r>
    </w:p>
    <w:p>
      <w:r>
        <w:t>What remains open is not a board question. k from the VRS actuary, the G24 counts, the G5 collectability opinion from VRS counsel, a V2 administrative-cost estimate, and the DHRM health premium. Section 8 lists them with owners.</w:t>
      </w:r>
    </w:p>
    <w:p>
      <w:pPr>
        <w:jc w:val="left"/>
      </w:pPr>
      <w:r>
        <w:rPr>
          <w:color w:val="BBBBBB"/>
        </w:rPr>
        <w:t>______________________________________________________________________________________</w:t>
      </w:r>
    </w:p>
    <w:p>
      <w:pPr>
        <w:pStyle w:val="Heading1"/>
      </w:pPr>
      <w:r>
        <w:t>8. What unblocks this model</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Need</w:t>
            </w:r>
          </w:p>
        </w:tc>
        <w:tc>
          <w:tcPr>
            <w:tcW w:type="dxa" w:w="3216"/>
          </w:tcPr>
          <w:p>
            <w:r>
              <w:rPr>
                <w:b/>
                <w:sz w:val="19"/>
              </w:rPr>
            </w:r>
            <w:r>
              <w:rPr>
                <w:b/>
                <w:sz w:val="19"/>
              </w:rPr>
              <w:t>Owner</w:t>
            </w:r>
          </w:p>
        </w:tc>
        <w:tc>
          <w:tcPr>
            <w:tcW w:type="dxa" w:w="3216"/>
          </w:tcPr>
          <w:p>
            <w:r>
              <w:rPr>
                <w:b/>
                <w:sz w:val="19"/>
              </w:rPr>
            </w:r>
            <w:r>
              <w:rPr>
                <w:b/>
                <w:sz w:val="19"/>
              </w:rPr>
              <w:t>Blocks</w:t>
            </w:r>
          </w:p>
        </w:tc>
      </w:tr>
      <w:tr>
        <w:tc>
          <w:tcPr>
            <w:tcW w:type="dxa" w:w="3216"/>
          </w:tcPr>
          <w:p>
            <w:r>
              <w:rPr>
                <w:sz w:val="19"/>
              </w:rPr>
            </w:r>
            <w:r>
              <w:rPr>
                <w:sz w:val="19"/>
              </w:rPr>
              <w:t>k — the AE/ANC ratio by age and tier for both pathways</w:t>
            </w:r>
          </w:p>
        </w:tc>
        <w:tc>
          <w:tcPr>
            <w:tcW w:type="dxa" w:w="3216"/>
          </w:tcPr>
          <w:p>
            <w:r>
              <w:rPr>
                <w:sz w:val="19"/>
              </w:rPr>
            </w:r>
            <w:r>
              <w:rPr>
                <w:sz w:val="19"/>
              </w:rPr>
              <w:t>VRS actuary</w:t>
            </w:r>
          </w:p>
        </w:tc>
        <w:tc>
          <w:tcPr>
            <w:tcW w:type="dxa" w:w="3216"/>
          </w:tcPr>
          <w:p>
            <w:r>
              <w:rPr>
                <w:sz w:val="19"/>
              </w:rPr>
            </w:r>
            <w:r>
              <w:rPr>
                <w:sz w:val="19"/>
              </w:rPr>
              <w:t>Ledger 1 entirely. The single most important number.</w:t>
            </w:r>
          </w:p>
        </w:tc>
      </w:tr>
      <w:tr>
        <w:tc>
          <w:tcPr>
            <w:tcW w:type="dxa" w:w="3216"/>
          </w:tcPr>
          <w:p>
            <w:r>
              <w:rPr>
                <w:sz w:val="19"/>
              </w:rPr>
            </w:r>
            <w:r>
              <w:rPr>
                <w:sz w:val="19"/>
              </w:rPr>
              <w:t>Active Plan 1 / Plan 2 state employee counts (G24)</w:t>
            </w:r>
          </w:p>
        </w:tc>
        <w:tc>
          <w:tcPr>
            <w:tcW w:type="dxa" w:w="3216"/>
          </w:tcPr>
          <w:p>
            <w:r>
              <w:rPr>
                <w:sz w:val="19"/>
              </w:rPr>
            </w:r>
            <w:r>
              <w:rPr>
                <w:sz w:val="19"/>
              </w:rPr>
              <w:t>VRS</w:t>
            </w:r>
          </w:p>
        </w:tc>
        <w:tc>
          <w:tcPr>
            <w:tcW w:type="dxa" w:w="3216"/>
          </w:tcPr>
          <w:p>
            <w:r>
              <w:rPr>
                <w:sz w:val="19"/>
              </w:rPr>
            </w:r>
            <w:r>
              <w:rPr>
                <w:sz w:val="19"/>
              </w:rPr>
              <w:t>Replaces the derived 28,994.</w:t>
            </w:r>
          </w:p>
        </w:tc>
      </w:tr>
      <w:tr>
        <w:tc>
          <w:tcPr>
            <w:tcW w:type="dxa" w:w="3216"/>
          </w:tcPr>
          <w:p>
            <w:r>
              <w:rPr>
                <w:sz w:val="19"/>
              </w:rPr>
            </w:r>
            <w:r>
              <w:rPr>
                <w:sz w:val="19"/>
              </w:rPr>
              <w:t>Known veterans among them (G24)</w:t>
            </w:r>
          </w:p>
        </w:tc>
        <w:tc>
          <w:tcPr>
            <w:tcW w:type="dxa" w:w="3216"/>
          </w:tcPr>
          <w:p>
            <w:r>
              <w:rPr>
                <w:sz w:val="19"/>
              </w:rPr>
            </w:r>
            <w:r>
              <w:rPr>
                <w:sz w:val="19"/>
              </w:rPr>
              <w:t>VRS / DHRM</w:t>
            </w:r>
          </w:p>
        </w:tc>
        <w:tc>
          <w:tcPr>
            <w:tcW w:type="dxa" w:w="3216"/>
          </w:tcPr>
          <w:p>
            <w:r>
              <w:rPr>
                <w:sz w:val="19"/>
              </w:rPr>
            </w:r>
            <w:r>
              <w:rPr>
                <w:sz w:val="19"/>
              </w:rPr>
              <w:t>The 6%–10% dial.</w:t>
            </w:r>
          </w:p>
        </w:tc>
      </w:tr>
      <w:tr>
        <w:tc>
          <w:tcPr>
            <w:tcW w:type="dxa" w:w="3216"/>
          </w:tcPr>
          <w:p>
            <w:r>
              <w:rPr>
                <w:sz w:val="19"/>
              </w:rPr>
            </w:r>
            <w:r>
              <w:rPr>
                <w:sz w:val="19"/>
              </w:rPr>
              <w:t>Members with qualifying purchasable military service (G24)</w:t>
            </w:r>
          </w:p>
        </w:tc>
        <w:tc>
          <w:tcPr>
            <w:tcW w:type="dxa" w:w="3216"/>
          </w:tcPr>
          <w:p>
            <w:r>
              <w:rPr>
                <w:sz w:val="19"/>
              </w:rPr>
            </w:r>
            <w:r>
              <w:rPr>
                <w:sz w:val="19"/>
              </w:rPr>
              <w:t>VRS</w:t>
            </w:r>
          </w:p>
        </w:tc>
        <w:tc>
          <w:tcPr>
            <w:tcW w:type="dxa" w:w="3216"/>
          </w:tcPr>
          <w:p>
            <w:r>
              <w:rPr>
                <w:sz w:val="19"/>
              </w:rPr>
            </w:r>
            <w:r>
              <w:rPr>
                <w:sz w:val="19"/>
              </w:rPr>
              <w:t>The 35%–65% dial — the weakest number in the model.</w:t>
            </w:r>
          </w:p>
        </w:tc>
      </w:tr>
      <w:tr>
        <w:tc>
          <w:tcPr>
            <w:tcW w:type="dxa" w:w="3216"/>
          </w:tcPr>
          <w:p>
            <w:r>
              <w:rPr>
                <w:sz w:val="19"/>
              </w:rPr>
            </w:r>
            <w:r>
              <w:rPr>
                <w:sz w:val="19"/>
              </w:rPr>
              <w:t>Average qualifying military months (G24)</w:t>
            </w:r>
          </w:p>
        </w:tc>
        <w:tc>
          <w:tcPr>
            <w:tcW w:type="dxa" w:w="3216"/>
          </w:tcPr>
          <w:p>
            <w:r>
              <w:rPr>
                <w:sz w:val="19"/>
              </w:rPr>
            </w:r>
            <w:r>
              <w:rPr>
                <w:sz w:val="19"/>
              </w:rPr>
              <w:t>VRS</w:t>
            </w:r>
          </w:p>
        </w:tc>
        <w:tc>
          <w:tcPr>
            <w:tcW w:type="dxa" w:w="3216"/>
          </w:tcPr>
          <w:p>
            <w:r>
              <w:rPr>
                <w:sz w:val="19"/>
              </w:rPr>
            </w:r>
            <w:r>
              <w:rPr>
                <w:sz w:val="19"/>
              </w:rPr>
              <w:t>Bridge feasibility and the months-needed shape.</w:t>
            </w:r>
          </w:p>
        </w:tc>
      </w:tr>
      <w:tr>
        <w:tc>
          <w:tcPr>
            <w:tcW w:type="dxa" w:w="3216"/>
          </w:tcPr>
          <w:p>
            <w:r>
              <w:rPr>
                <w:sz w:val="19"/>
              </w:rPr>
            </w:r>
            <w:r>
              <w:rPr>
                <w:sz w:val="19"/>
              </w:rPr>
              <w:t>Is the G5 true-up collectable?</w:t>
            </w:r>
          </w:p>
        </w:tc>
        <w:tc>
          <w:tcPr>
            <w:tcW w:type="dxa" w:w="3216"/>
          </w:tcPr>
          <w:p>
            <w:r>
              <w:rPr>
                <w:sz w:val="19"/>
              </w:rPr>
            </w:r>
            <w:r>
              <w:rPr>
                <w:sz w:val="19"/>
              </w:rPr>
              <w:t>VRS counsel</w:t>
            </w:r>
          </w:p>
        </w:tc>
        <w:tc>
          <w:tcPr>
            <w:tcW w:type="dxa" w:w="3216"/>
          </w:tcPr>
          <w:p>
            <w:r>
              <w:rPr>
                <w:sz w:val="19"/>
              </w:rPr>
            </w:r>
            <w:r>
              <w:rPr>
                <w:sz w:val="19"/>
              </w:rPr>
              <w:t>Whether the Incentive has any retirement consideration at all.</w:t>
            </w:r>
          </w:p>
        </w:tc>
      </w:tr>
      <w:tr>
        <w:tc>
          <w:tcPr>
            <w:tcW w:type="dxa" w:w="3216"/>
          </w:tcPr>
          <w:p>
            <w:r>
              <w:rPr>
                <w:sz w:val="19"/>
              </w:rPr>
            </w:r>
            <w:r>
              <w:rPr>
                <w:sz w:val="19"/>
              </w:rPr>
              <w:t>Administration cost</w:t>
            </w:r>
          </w:p>
        </w:tc>
        <w:tc>
          <w:tcPr>
            <w:tcW w:type="dxa" w:w="3216"/>
          </w:tcPr>
          <w:p>
            <w:r>
              <w:rPr>
                <w:sz w:val="19"/>
              </w:rPr>
            </w:r>
            <w:r>
              <w:rPr>
                <w:sz w:val="19"/>
              </w:rPr>
              <w:t>VRS / DHRM</w:t>
            </w:r>
          </w:p>
        </w:tc>
        <w:tc>
          <w:tcPr>
            <w:tcW w:type="dxa" w:w="3216"/>
          </w:tcPr>
          <w:p>
            <w:r>
              <w:rPr>
                <w:sz w:val="19"/>
              </w:rPr>
            </w:r>
            <w:r>
              <w:rPr>
                <w:sz w:val="19"/>
              </w:rPr>
              <w:t>Ledger 4.</w:t>
            </w:r>
          </w:p>
        </w:tc>
      </w:tr>
      <w:tr>
        <w:tc>
          <w:tcPr>
            <w:tcW w:type="dxa" w:w="3216"/>
          </w:tcPr>
          <w:p>
            <w:r>
              <w:rPr>
                <w:sz w:val="19"/>
              </w:rPr>
            </w:r>
            <w:r>
              <w:rPr>
                <w:sz w:val="19"/>
              </w:rPr>
              <w:t>Current state health-insurance premium per employee</w:t>
            </w:r>
          </w:p>
        </w:tc>
        <w:tc>
          <w:tcPr>
            <w:tcW w:type="dxa" w:w="3216"/>
          </w:tcPr>
          <w:p>
            <w:r>
              <w:rPr>
                <w:sz w:val="19"/>
              </w:rPr>
            </w:r>
            <w:r>
              <w:rPr>
                <w:sz w:val="19"/>
              </w:rPr>
              <w:t>DHRM</w:t>
            </w:r>
          </w:p>
        </w:tc>
        <w:tc>
          <w:tcPr>
            <w:tcW w:type="dxa" w:w="3216"/>
          </w:tcPr>
          <w:p>
            <w:r>
              <w:rPr>
                <w:sz w:val="19"/>
              </w:rPr>
            </w:r>
            <w:r>
              <w:rPr>
                <w:sz w:val="19"/>
              </w:rPr>
              <w:t>Ledger 2 unfilled-position line.</w:t>
            </w:r>
          </w:p>
        </w:tc>
      </w:tr>
      <w:tr>
        <w:tc>
          <w:tcPr>
            <w:tcW w:type="dxa" w:w="3216"/>
          </w:tcPr>
          <w:p>
            <w:r>
              <w:rPr>
                <w:sz w:val="19"/>
              </w:rPr>
            </w:r>
            <w:r>
              <w:rPr>
                <w:sz w:val="19"/>
              </w:rPr>
              <w:t>Counts projected to the pilot years, not the valuation date</w:t>
            </w:r>
          </w:p>
        </w:tc>
        <w:tc>
          <w:tcPr>
            <w:tcW w:type="dxa" w:w="3216"/>
          </w:tcPr>
          <w:p>
            <w:r>
              <w:rPr>
                <w:sz w:val="19"/>
              </w:rPr>
            </w:r>
            <w:r>
              <w:rPr>
                <w:sz w:val="19"/>
              </w:rPr>
              <w:t>VRS</w:t>
            </w:r>
          </w:p>
        </w:tc>
        <w:tc>
          <w:tcPr>
            <w:tcW w:type="dxa" w:w="3216"/>
          </w:tcPr>
          <w:p>
            <w:r>
              <w:rPr>
                <w:sz w:val="19"/>
              </w:rPr>
            </w:r>
            <w:r>
              <w:rPr>
                <w:sz w:val="19"/>
              </w:rPr>
              <w:t>Both pathway pools are a 30 June 2025 snapshot and understate — §6.1</w:t>
            </w:r>
          </w:p>
        </w:tc>
      </w:tr>
    </w:tbl>
    <w:p/>
    <w:p>
      <w:pPr>
        <w:jc w:val="left"/>
      </w:pPr>
      <w:r>
        <w:rPr>
          <w:color w:val="BBBBBB"/>
        </w:rPr>
        <w:t>______________________________________________________________________________________</w:t>
      </w:r>
    </w:p>
    <w:p>
      <w:pPr>
        <w:pStyle w:val="Heading1"/>
      </w:pPr>
      <w:r>
        <w:t>9. Sources</w:t>
      </w:r>
    </w:p>
    <w:p>
      <w:r>
        <w:t>All retrieved 12 October 2026.</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Source</w:t>
            </w:r>
          </w:p>
        </w:tc>
        <w:tc>
          <w:tcPr>
            <w:tcW w:type="dxa" w:w="4824"/>
          </w:tcPr>
          <w:p>
            <w:r>
              <w:rPr>
                <w:b/>
                <w:sz w:val="19"/>
              </w:rPr>
            </w:r>
            <w:r>
              <w:rPr>
                <w:b/>
                <w:sz w:val="19"/>
              </w:rPr>
              <w:t>Used for</w:t>
            </w:r>
          </w:p>
        </w:tc>
      </w:tr>
      <w:tr>
        <w:tc>
          <w:tcPr>
            <w:tcW w:type="dxa" w:w="4824"/>
          </w:tcPr>
          <w:p>
            <w:r>
              <w:rPr>
                <w:sz w:val="19"/>
              </w:rPr>
            </w:r>
            <w:r>
              <w:rPr>
                <w:sz w:val="19"/>
              </w:rPr>
              <w:t xml:space="preserve">VRS, </w:t>
            </w:r>
            <w:r>
              <w:rPr>
                <w:i/>
                <w:sz w:val="19"/>
              </w:rPr>
              <w:t>Annual Actuarial Valuation, June 30, 2025</w:t>
            </w:r>
            <w:r>
              <w:rPr>
                <w:sz w:val="19"/>
              </w:rPr>
              <w:t xml:space="preserve"> — p. 49 Active Participant Detail, p. 50 age × service table, p. 12 State Employees contribution rate</w:t>
            </w:r>
          </w:p>
        </w:tc>
        <w:tc>
          <w:tcPr>
            <w:tcW w:type="dxa" w:w="4824"/>
          </w:tcPr>
          <w:p>
            <w:r>
              <w:rPr>
                <w:sz w:val="19"/>
              </w:rPr>
            </w:r>
            <w:r>
              <w:rPr>
                <w:sz w:val="19"/>
              </w:rPr>
              <w:t>Denominator, cohorts, employer rates, UAAL</w:t>
            </w:r>
          </w:p>
        </w:tc>
      </w:tr>
      <w:tr>
        <w:tc>
          <w:tcPr>
            <w:tcW w:type="dxa" w:w="4824"/>
          </w:tcPr>
          <w:p>
            <w:r>
              <w:rPr>
                <w:sz w:val="19"/>
              </w:rPr>
            </w:r>
            <w:r>
              <w:rPr>
                <w:sz w:val="19"/>
              </w:rPr>
              <w:t xml:space="preserve">VRS, </w:t>
            </w:r>
            <w:r>
              <w:rPr>
                <w:i/>
                <w:sz w:val="19"/>
              </w:rPr>
              <w:t>Purchase of Prior Service Cost Rates</w:t>
            </w:r>
            <w:r>
              <w:rPr>
                <w:sz w:val="19"/>
              </w:rPr>
              <w:t>, eff. July 1, 2025</w:t>
            </w:r>
          </w:p>
        </w:tc>
        <w:tc>
          <w:tcPr>
            <w:tcW w:type="dxa" w:w="4824"/>
          </w:tcPr>
          <w:p>
            <w:r>
              <w:rPr>
                <w:sz w:val="19"/>
              </w:rPr>
            </w:r>
            <w:r>
              <w:rPr>
                <w:sz w:val="19"/>
              </w:rPr>
              <w:t>ANC rates 12.50% / 10.74% / 6.68%; hazardous and judicial rates</w:t>
            </w:r>
          </w:p>
        </w:tc>
      </w:tr>
      <w:tr>
        <w:tc>
          <w:tcPr>
            <w:tcW w:type="dxa" w:w="4824"/>
          </w:tcPr>
          <w:p>
            <w:r>
              <w:rPr>
                <w:sz w:val="19"/>
              </w:rPr>
            </w:r>
            <w:r>
              <w:rPr>
                <w:sz w:val="19"/>
              </w:rPr>
              <w:t>VRS Plan 1 Handbook for Members</w:t>
            </w:r>
          </w:p>
        </w:tc>
        <w:tc>
          <w:tcPr>
            <w:tcW w:type="dxa" w:w="4824"/>
          </w:tcPr>
          <w:p>
            <w:r>
              <w:rPr>
                <w:sz w:val="19"/>
              </w:rPr>
            </w:r>
            <w:r>
              <w:rPr>
                <w:sz w:val="19"/>
              </w:rPr>
              <w:t>Plan 1 unreduced eligibility; 1.7% multiplier; 36-month AFC</w:t>
            </w:r>
          </w:p>
        </w:tc>
      </w:tr>
      <w:tr>
        <w:tc>
          <w:tcPr>
            <w:tcW w:type="dxa" w:w="4824"/>
          </w:tcPr>
          <w:p>
            <w:r>
              <w:rPr>
                <w:sz w:val="19"/>
              </w:rPr>
            </w:r>
            <w:r>
              <w:rPr>
                <w:sz w:val="19"/>
              </w:rPr>
              <w:t>VRS Plan 2 Handbook for Members</w:t>
            </w:r>
          </w:p>
        </w:tc>
        <w:tc>
          <w:tcPr>
            <w:tcW w:type="dxa" w:w="4824"/>
          </w:tcPr>
          <w:p>
            <w:r>
              <w:rPr>
                <w:sz w:val="19"/>
              </w:rPr>
            </w:r>
            <w:r>
              <w:rPr>
                <w:sz w:val="19"/>
              </w:rPr>
              <w:t>Plan 2 unreduced eligibility; 1.65% / 1.7% multiplier; 60-month AFC</w:t>
            </w:r>
          </w:p>
        </w:tc>
      </w:tr>
      <w:tr>
        <w:tc>
          <w:tcPr>
            <w:tcW w:type="dxa" w:w="4824"/>
          </w:tcPr>
          <w:p>
            <w:r>
              <w:rPr>
                <w:sz w:val="19"/>
              </w:rPr>
            </w:r>
            <w:r>
              <w:rPr>
                <w:sz w:val="19"/>
              </w:rPr>
              <w:t>VRS, Purchase of Prior Service — Cost Windows</w:t>
            </w:r>
          </w:p>
        </w:tc>
        <w:tc>
          <w:tcPr>
            <w:tcW w:type="dxa" w:w="4824"/>
          </w:tcPr>
          <w:p>
            <w:r>
              <w:rPr>
                <w:sz w:val="19"/>
              </w:rPr>
            </w:r>
            <w:r>
              <w:rPr>
                <w:sz w:val="19"/>
              </w:rPr>
              <w:t>Two-year window; actuarial-equivalent pricing after</w:t>
            </w:r>
          </w:p>
        </w:tc>
      </w:tr>
      <w:tr>
        <w:tc>
          <w:tcPr>
            <w:tcW w:type="dxa" w:w="4824"/>
          </w:tcPr>
          <w:p>
            <w:r>
              <w:rPr>
                <w:sz w:val="19"/>
              </w:rPr>
            </w:r>
            <w:r>
              <w:rPr>
                <w:sz w:val="19"/>
              </w:rPr>
              <w:t>VRS, Purchase of Prior Service — Types of Service</w:t>
            </w:r>
          </w:p>
        </w:tc>
        <w:tc>
          <w:tcPr>
            <w:tcW w:type="dxa" w:w="4824"/>
          </w:tcPr>
          <w:p>
            <w:r>
              <w:rPr>
                <w:sz w:val="19"/>
              </w:rPr>
            </w:r>
            <w:r>
              <w:rPr>
                <w:sz w:val="19"/>
              </w:rPr>
              <w:t>48-month active-duty maximum and conditions</w:t>
            </w:r>
          </w:p>
        </w:tc>
      </w:tr>
      <w:tr>
        <w:tc>
          <w:tcPr>
            <w:tcW w:type="dxa" w:w="4824"/>
          </w:tcPr>
          <w:p>
            <w:r>
              <w:rPr>
                <w:sz w:val="19"/>
              </w:rPr>
            </w:r>
            <w:r>
              <w:rPr>
                <w:sz w:val="19"/>
              </w:rPr>
              <w:t>VRS, Purchase of Prior Service — Payment Methods</w:t>
            </w:r>
          </w:p>
        </w:tc>
        <w:tc>
          <w:tcPr>
            <w:tcW w:type="dxa" w:w="4824"/>
          </w:tcPr>
          <w:p>
            <w:r>
              <w:rPr>
                <w:sz w:val="19"/>
              </w:rPr>
            </w:r>
            <w:r>
              <w:rPr>
                <w:sz w:val="19"/>
              </w:rPr>
              <w:t>6–12 month agreement; 4 months credit per month</w:t>
            </w:r>
          </w:p>
        </w:tc>
      </w:tr>
      <w:tr>
        <w:tc>
          <w:tcPr>
            <w:tcW w:type="dxa" w:w="4824"/>
          </w:tcPr>
          <w:p>
            <w:r>
              <w:rPr>
                <w:sz w:val="19"/>
              </w:rPr>
            </w:r>
            <w:r>
              <w:rPr>
                <w:sz w:val="19"/>
              </w:rPr>
              <w:t>DHRM, presentation to Senate Finance and Appropriations, 21 January 2025, slide 8</w:t>
            </w:r>
          </w:p>
        </w:tc>
        <w:tc>
          <w:tcPr>
            <w:tcW w:type="dxa" w:w="4824"/>
          </w:tcPr>
          <w:p>
            <w:r>
              <w:rPr>
                <w:sz w:val="19"/>
              </w:rPr>
            </w:r>
            <w:r>
              <w:rPr>
                <w:sz w:val="19"/>
              </w:rPr>
              <w:t>Veterans 6% of classified state workforce (data as of 30 June 2024)</w:t>
            </w:r>
          </w:p>
        </w:tc>
      </w:tr>
      <w:tr>
        <w:tc>
          <w:tcPr>
            <w:tcW w:type="dxa" w:w="4824"/>
          </w:tcPr>
          <w:p>
            <w:r>
              <w:rPr>
                <w:sz w:val="19"/>
              </w:rPr>
            </w:r>
            <w:r>
              <w:rPr>
                <w:sz w:val="19"/>
              </w:rPr>
              <w:t>BLS Table 6A, veterans by state, 2025 annual averages</w:t>
            </w:r>
          </w:p>
        </w:tc>
        <w:tc>
          <w:tcPr>
            <w:tcW w:type="dxa" w:w="4824"/>
          </w:tcPr>
          <w:p>
            <w:r>
              <w:rPr>
                <w:sz w:val="19"/>
              </w:rPr>
            </w:r>
            <w:r>
              <w:rPr>
                <w:sz w:val="19"/>
              </w:rPr>
              <w:t>Virginia veteran civilian labour force 369,000</w:t>
            </w:r>
          </w:p>
        </w:tc>
      </w:tr>
      <w:tr>
        <w:tc>
          <w:tcPr>
            <w:tcW w:type="dxa" w:w="4824"/>
          </w:tcPr>
          <w:p>
            <w:r>
              <w:rPr>
                <w:sz w:val="19"/>
              </w:rPr>
            </w:r>
            <w:r>
              <w:rPr>
                <w:sz w:val="19"/>
              </w:rPr>
              <w:t>FRED LAUST510000000000006A</w:t>
            </w:r>
          </w:p>
        </w:tc>
        <w:tc>
          <w:tcPr>
            <w:tcW w:type="dxa" w:w="4824"/>
          </w:tcPr>
          <w:p>
            <w:r>
              <w:rPr>
                <w:sz w:val="19"/>
              </w:rPr>
            </w:r>
            <w:r>
              <w:rPr>
                <w:sz w:val="19"/>
              </w:rPr>
              <w:t>Virginia civilian labour force 4,528,987 (2025)</w:t>
            </w:r>
          </w:p>
        </w:tc>
      </w:tr>
      <w:tr>
        <w:tc>
          <w:tcPr>
            <w:tcW w:type="dxa" w:w="4824"/>
          </w:tcPr>
          <w:p>
            <w:r>
              <w:rPr>
                <w:sz w:val="19"/>
              </w:rPr>
            </w:r>
            <w:r>
              <w:rPr>
                <w:sz w:val="19"/>
              </w:rPr>
              <w:t>VRS 101 brochure, p. 4</w:t>
            </w:r>
          </w:p>
        </w:tc>
        <w:tc>
          <w:tcPr>
            <w:tcW w:type="dxa" w:w="4824"/>
          </w:tcPr>
          <w:p>
            <w:r>
              <w:rPr>
                <w:sz w:val="19"/>
              </w:rPr>
            </w:r>
            <w:r>
              <w:rPr>
                <w:sz w:val="19"/>
              </w:rPr>
              <w:t>System-wide context only: Plan 1 110,474, Plan 2 67,333, 864 employers</w:t>
            </w:r>
          </w:p>
        </w:tc>
      </w:tr>
    </w:tbl>
    <w:p/>
    <w:p>
      <w:r>
        <w:t>Assumptions, labelled as such per G23: veteran share above the recorded 6%; the 35%–65% qualifying-service share; the service-based tier proxy; Plan 2 normal Social Security age of 67; uniform distribution within the published age and service bands; salary as a proxy for AFC; k as a ratio rather than a computed value.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