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Send packet — the email text, the hard copy, and the day-of-send checks</w:t>
      </w:r>
    </w:p>
    <w:p>
      <w:r>
        <w:rPr>
          <w:i/>
          <w:color w:val="555555"/>
          <w:sz w:val="19"/>
        </w:rPr>
        <w:t>Internal instruction sheet. Not enclosed with the letters · Policy Director · MOO-100 · 12 October 2026</w:t>
      </w:r>
    </w:p>
    <w:p>
      <w:r>
        <w:t xml:space="preserve">Three decisions were taken on 12 October 2026: the letters go out over </w:t>
      </w:r>
      <w:r>
        <w:rPr>
          <w:b/>
        </w:rPr>
        <w:t>Moody's own signature as the proposal's author, with no organisation named</w:t>
      </w:r>
      <w:r>
        <w:t xml:space="preserve">; they go out </w:t>
      </w:r>
      <w:r>
        <w:rPr>
          <w:b/>
        </w:rPr>
        <w:t>this week</w:t>
      </w:r>
      <w:r>
        <w:t xml:space="preserve">, with 20 November and 30 November held; and they go </w:t>
      </w:r>
      <w:r>
        <w:rPr>
          <w:b/>
        </w:rPr>
        <w:t>by both channels — email first, hard copy to follow</w:t>
      </w:r>
      <w:r>
        <w:t>. This sheet is everything needed to act on that. Paste §2, attach §3, post §4, tick §5, record §6.</w:t>
      </w:r>
    </w:p>
    <w:p>
      <w:pPr>
        <w:ind w:left="360"/>
      </w:pPr>
      <w:r>
        <w:rPr>
          <w:b/>
          <w:sz w:val="20"/>
        </w:rPr>
        <w:t>I cannot send these.</w:t>
      </w:r>
      <w:r>
        <w:rPr>
          <w:sz w:val="20"/>
        </w:rPr>
        <w:t xml:space="preserve"> No outbound mail channel exists in this session, and a letter signed personally has to leave from a real mailbox in any case. Everything that does not require you is finished.</w:t>
      </w:r>
    </w:p>
    <w:p>
      <w:r>
        <w:rPr>
          <w:b/>
        </w:rPr>
        <w:t>The closing block on both letters is now complete.</w:t>
      </w:r>
      <w:r>
        <w:t xml:space="preserve"> Nothing is bracketed and nothing is left to type in. It reads: </w:t>
      </w:r>
      <w:r>
        <w:rPr>
          <w:i/>
        </w:rPr>
        <w:t>David Moody · Author of the proposal, writing in a personal capacity · 1154 West Ocean View, Norfolk, VA 23503 · davidmoody@gmail.com · 434-989-5481 · 13 October 2026.</w:t>
      </w:r>
      <w:r>
        <w:t xml:space="preserve"> The only field that may still need changing is the date line, if the letters actually go out on a different day. Two telephone calls and the send itself are all that is left.</w:t>
      </w:r>
    </w:p>
    <w:p>
      <w:pPr>
        <w:jc w:val="left"/>
      </w:pPr>
      <w:r>
        <w:rPr>
          <w:color w:val="BBBBBB"/>
        </w:rPr>
        <w:t>______________________________________________________________________________________</w:t>
      </w:r>
    </w:p>
    <w:p>
      <w:pPr>
        <w:pStyle w:val="Heading1"/>
      </w:pPr>
      <w:r>
        <w:t>1. Two emails, not three</w:t>
      </w:r>
    </w:p>
    <w:p>
      <w:r>
        <w:rPr>
          <w:b/>
        </w:rPr>
        <w:t>One email to VRS carrying both letters, and one to DHRM carrying only the data request.</w:t>
      </w:r>
      <w:r>
        <w:t xml:space="preserve"> The board decided the two letters travel together, and the reason holds — item 1 of the data request and question 1 of the counsel letter are the two items that decide whether the design survives, and splitting them invites VRS to answer the easy one. The counsel question is not DHRM's to answer and sending it there would blur who owns what.</w:t>
      </w:r>
    </w:p>
    <w:p>
      <w:r>
        <w:rPr>
          <w:b/>
        </w:rPr>
        <w:t>The alternative is two separate emails to VRS</w:t>
      </w:r>
      <w:r>
        <w:t>, one per letter, which is easier for VRS to route internally — the data request goes to the actuary via the Board, the legal question to the Attorney General's office. If you prefer that, send them within the same hour and say in each that the other exists. The thing to avoid is sending one this week and the other in a fortnight.</w:t>
      </w:r>
    </w:p>
    <w:p>
      <w:r>
        <w:rPr>
          <w:b/>
          <w:sz w:val="20"/>
        </w:rPr>
        <w:t>Table 1 — the two sends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p>
        </w:tc>
        <w:tc>
          <w:tcPr>
            <w:tcW w:type="dxa" w:w="3216"/>
          </w:tcPr>
          <w:p>
            <w:r>
              <w:rPr>
                <w:b/>
                <w:sz w:val="19"/>
              </w:rPr>
            </w:r>
            <w:r>
              <w:rPr>
                <w:b/>
                <w:sz w:val="19"/>
              </w:rPr>
              <w:t>Email 1 — VRS</w:t>
            </w:r>
          </w:p>
        </w:tc>
        <w:tc>
          <w:tcPr>
            <w:tcW w:type="dxa" w:w="3216"/>
          </w:tcPr>
          <w:p>
            <w:r>
              <w:rPr>
                <w:b/>
                <w:sz w:val="19"/>
              </w:rPr>
            </w:r>
            <w:r>
              <w:rPr>
                <w:b/>
                <w:sz w:val="19"/>
              </w:rPr>
              <w:t>Email 2 — DHRM</w:t>
            </w:r>
          </w:p>
        </w:tc>
      </w:tr>
      <w:tr>
        <w:tc>
          <w:tcPr>
            <w:tcW w:type="dxa" w:w="3216"/>
          </w:tcPr>
          <w:p>
            <w:r>
              <w:rPr>
                <w:sz w:val="19"/>
              </w:rPr>
            </w:r>
            <w:r>
              <w:rPr>
                <w:sz w:val="19"/>
              </w:rPr>
              <w:t>Send from</w:t>
            </w:r>
          </w:p>
        </w:tc>
        <w:tc>
          <w:tcPr>
            <w:tcW w:type="dxa" w:w="3216"/>
          </w:tcPr>
          <w:p>
            <w:r>
              <w:rPr>
                <w:sz w:val="19"/>
              </w:rPr>
            </w:r>
            <w:r>
              <w:rPr>
                <w:b/>
                <w:sz w:val="19"/>
              </w:rPr>
              <w:t>davidmoody@gmail.com</w:t>
            </w:r>
            <w:r>
              <w:rPr>
                <w:sz w:val="19"/>
              </w:rPr>
              <w:t xml:space="preserve">, display name </w:t>
            </w:r>
            <w:r>
              <w:rPr>
                <w:i/>
                <w:sz w:val="19"/>
              </w:rPr>
              <w:t>David Moody</w:t>
            </w:r>
          </w:p>
        </w:tc>
        <w:tc>
          <w:tcPr>
            <w:tcW w:type="dxa" w:w="3216"/>
          </w:tcPr>
          <w:p>
            <w:r>
              <w:rPr>
                <w:sz w:val="19"/>
              </w:rPr>
            </w:r>
            <w:r>
              <w:rPr>
                <w:b/>
                <w:sz w:val="19"/>
              </w:rPr>
              <w:t>davidmoody@gmail.com</w:t>
            </w:r>
            <w:r>
              <w:rPr>
                <w:sz w:val="19"/>
              </w:rPr>
              <w:t xml:space="preserve">, display name </w:t>
            </w:r>
            <w:r>
              <w:rPr>
                <w:i/>
                <w:sz w:val="19"/>
              </w:rPr>
              <w:t>David Moody</w:t>
            </w:r>
          </w:p>
        </w:tc>
      </w:tr>
      <w:tr>
        <w:tc>
          <w:tcPr>
            <w:tcW w:type="dxa" w:w="3216"/>
          </w:tcPr>
          <w:p>
            <w:r>
              <w:rPr>
                <w:sz w:val="19"/>
              </w:rPr>
            </w:r>
            <w:r>
              <w:rPr>
                <w:sz w:val="19"/>
              </w:rPr>
              <w:t>To</w:t>
            </w:r>
          </w:p>
        </w:tc>
        <w:tc>
          <w:tcPr>
            <w:tcW w:type="dxa" w:w="3216"/>
          </w:tcPr>
          <w:p>
            <w:r>
              <w:rPr>
                <w:sz w:val="19"/>
              </w:rPr>
            </w:r>
            <w:r>
              <w:rPr>
                <w:b/>
                <w:sz w:val="19"/>
              </w:rPr>
              <w:t>pbishop@varetire.org</w:t>
            </w:r>
            <w:r>
              <w:rPr>
                <w:sz w:val="19"/>
              </w:rPr>
              <w:t xml:space="preserve"> (Patricia S. Bishop, Director)</w:t>
            </w:r>
          </w:p>
        </w:tc>
        <w:tc>
          <w:tcPr>
            <w:tcW w:type="dxa" w:w="3216"/>
          </w:tcPr>
          <w:p>
            <w:r>
              <w:rPr>
                <w:sz w:val="19"/>
              </w:rPr>
            </w:r>
            <w:r>
              <w:rPr>
                <w:b/>
                <w:sz w:val="19"/>
              </w:rPr>
              <w:t>policy@dhrm.virginia.gov</w:t>
            </w:r>
            <w:r>
              <w:rPr>
                <w:sz w:val="19"/>
              </w:rPr>
              <w:t>, addressed to Janet L. Lawson, Director</w:t>
            </w:r>
          </w:p>
        </w:tc>
      </w:tr>
      <w:tr>
        <w:tc>
          <w:tcPr>
            <w:tcW w:type="dxa" w:w="3216"/>
          </w:tcPr>
          <w:p>
            <w:r>
              <w:rPr>
                <w:sz w:val="19"/>
              </w:rPr>
            </w:r>
            <w:r>
              <w:rPr>
                <w:sz w:val="19"/>
              </w:rPr>
              <w:t>Copy</w:t>
            </w:r>
          </w:p>
        </w:tc>
        <w:tc>
          <w:tcPr>
            <w:tcW w:type="dxa" w:w="3216"/>
          </w:tcPr>
          <w:p>
            <w:r>
              <w:rPr>
                <w:sz w:val="19"/>
              </w:rPr>
            </w:r>
            <w:r>
              <w:rPr>
                <w:sz w:val="19"/>
              </w:rPr>
              <w:t xml:space="preserve">Jillian L. Sherman, Legislative Liaison — </w:t>
            </w:r>
            <w:r>
              <w:rPr>
                <w:i/>
                <w:sz w:val="19"/>
              </w:rPr>
              <w:t>address not published; confirm on 804-771-7373.</w:t>
            </w:r>
            <w:r>
              <w:rPr>
                <w:sz w:val="19"/>
              </w:rPr>
              <w:t xml:space="preserve"> </w:t>
            </w:r>
            <w:r>
              <w:rPr>
                <w:b/>
                <w:sz w:val="19"/>
              </w:rPr>
              <w:t>mcooper@varetire.org</w:t>
            </w:r>
            <w:r>
              <w:rPr>
                <w:sz w:val="19"/>
              </w:rPr>
              <w:t xml:space="preserve"> for the administration-cost item</w:t>
            </w:r>
          </w:p>
        </w:tc>
        <w:tc>
          <w:tcPr>
            <w:tcW w:type="dxa" w:w="3216"/>
          </w:tcPr>
          <w:p>
            <w:r>
              <w:rPr>
                <w:sz w:val="19"/>
              </w:rPr>
            </w:r>
            <w:r>
              <w:rPr>
                <w:b/>
                <w:sz w:val="19"/>
              </w:rPr>
              <w:t>compensation@dhrm.virginia.gov</w:t>
            </w:r>
            <w:r>
              <w:rPr>
                <w:sz w:val="19"/>
              </w:rPr>
              <w:t xml:space="preserve"> · </w:t>
            </w:r>
            <w:r>
              <w:rPr>
                <w:b/>
                <w:sz w:val="19"/>
              </w:rPr>
              <w:t>ohb@dhrm.virginia.gov</w:t>
            </w:r>
          </w:p>
        </w:tc>
      </w:tr>
      <w:tr>
        <w:tc>
          <w:tcPr>
            <w:tcW w:type="dxa" w:w="3216"/>
          </w:tcPr>
          <w:p>
            <w:r>
              <w:rPr>
                <w:sz w:val="19"/>
              </w:rPr>
            </w:r>
            <w:r>
              <w:rPr>
                <w:sz w:val="19"/>
              </w:rPr>
              <w:t>Attachments</w:t>
            </w:r>
          </w:p>
        </w:tc>
        <w:tc>
          <w:tcPr>
            <w:tcW w:type="dxa" w:w="3216"/>
          </w:tcPr>
          <w:p>
            <w:r>
              <w:rPr>
                <w:sz w:val="19"/>
              </w:rPr>
            </w:r>
            <w:r>
              <w:rPr>
                <w:sz w:val="19"/>
              </w:rPr>
              <w:t>Both letters, as PDFs</w:t>
            </w:r>
          </w:p>
        </w:tc>
        <w:tc>
          <w:tcPr>
            <w:tcW w:type="dxa" w:w="3216"/>
          </w:tcPr>
          <w:p>
            <w:r>
              <w:rPr>
                <w:sz w:val="19"/>
              </w:rPr>
            </w:r>
            <w:r>
              <w:rPr>
                <w:sz w:val="19"/>
              </w:rPr>
              <w:t>The data request only, as a PDF</w:t>
            </w:r>
          </w:p>
        </w:tc>
      </w:tr>
      <w:tr>
        <w:tc>
          <w:tcPr>
            <w:tcW w:type="dxa" w:w="3216"/>
          </w:tcPr>
          <w:p>
            <w:r>
              <w:rPr>
                <w:sz w:val="19"/>
              </w:rPr>
            </w:r>
            <w:r>
              <w:rPr>
                <w:sz w:val="19"/>
              </w:rPr>
              <w:t>Scope</w:t>
            </w:r>
          </w:p>
        </w:tc>
        <w:tc>
          <w:tcPr>
            <w:tcW w:type="dxa" w:w="3216"/>
          </w:tcPr>
          <w:p>
            <w:r>
              <w:rPr>
                <w:sz w:val="19"/>
              </w:rPr>
            </w:r>
            <w:r>
              <w:rPr>
                <w:sz w:val="19"/>
              </w:rPr>
              <w:t>Items 1–13 and all seven legal questions</w:t>
            </w:r>
          </w:p>
        </w:tc>
        <w:tc>
          <w:tcPr>
            <w:tcW w:type="dxa" w:w="3216"/>
          </w:tcPr>
          <w:p>
            <w:r>
              <w:rPr>
                <w:sz w:val="19"/>
              </w:rPr>
            </w:r>
            <w:r>
              <w:rPr>
                <w:sz w:val="19"/>
              </w:rPr>
              <w:t>Items 3, 9 and 11 only</w:t>
            </w:r>
          </w:p>
        </w:tc>
      </w:tr>
      <w:tr>
        <w:tc>
          <w:tcPr>
            <w:tcW w:type="dxa" w:w="3216"/>
          </w:tcPr>
          <w:p>
            <w:r>
              <w:rPr>
                <w:sz w:val="19"/>
              </w:rPr>
            </w:r>
            <w:r>
              <w:rPr>
                <w:sz w:val="19"/>
              </w:rPr>
              <w:t>Hard copy to</w:t>
            </w:r>
          </w:p>
        </w:tc>
        <w:tc>
          <w:tcPr>
            <w:tcW w:type="dxa" w:w="3216"/>
          </w:tcPr>
          <w:p>
            <w:r>
              <w:rPr>
                <w:sz w:val="19"/>
              </w:rPr>
            </w:r>
            <w:r>
              <w:rPr>
                <w:sz w:val="19"/>
              </w:rPr>
              <w:t>1200 East Main Street, Richmond, VA 23219</w:t>
            </w:r>
          </w:p>
        </w:tc>
        <w:tc>
          <w:tcPr>
            <w:tcW w:type="dxa" w:w="3216"/>
          </w:tcPr>
          <w:p>
            <w:r>
              <w:rPr>
                <w:sz w:val="19"/>
              </w:rPr>
            </w:r>
            <w:r>
              <w:rPr>
                <w:sz w:val="19"/>
              </w:rPr>
              <w:t>600 East Main Street, 17th Floor, Richmond, VA 23219</w:t>
            </w:r>
          </w:p>
        </w:tc>
      </w:tr>
    </w:tbl>
    <w:p/>
    <w:p>
      <w:pPr>
        <w:ind w:left="360"/>
      </w:pPr>
      <w:r>
        <w:rPr>
          <w:b/>
          <w:sz w:val="20"/>
        </w:rPr>
        <w:t>Do not use FOIA@varetire.org.</w:t>
      </w:r>
      <w:r>
        <w:rPr>
          <w:sz w:val="20"/>
        </w:rPr>
        <w:t xml:space="preserve"> It is published and it would reach someone, and it is the wrong channel: the Freedom of Information Act does not require a public body to create a record that does not exist, and most of what we are asking for would have to be computed. Filing as FOIA invites a lawful refusal on our most important items. FOIA stays in reserve for the underlying records if the Director declines to compute anything.</w:t>
      </w:r>
    </w:p>
    <w:p>
      <w:pPr>
        <w:jc w:val="left"/>
      </w:pPr>
      <w:r>
        <w:rPr>
          <w:color w:val="BBBBBB"/>
        </w:rPr>
        <w:t>______________________________________________________________________________________</w:t>
      </w:r>
    </w:p>
    <w:p>
      <w:pPr>
        <w:pStyle w:val="Heading1"/>
      </w:pPr>
      <w:r>
        <w:t>2. The email text, ready to paste</w:t>
      </w:r>
    </w:p>
    <w:p>
      <w:pPr>
        <w:pStyle w:val="Heading2"/>
      </w:pPr>
      <w:r>
        <w:t>2.1 Email 1 — to VRS</w:t>
      </w:r>
    </w:p>
    <w:p>
      <w:r>
        <w:rPr>
          <w:b/>
        </w:rPr>
        <w:t>Subject:</w:t>
      </w:r>
      <w:r>
        <w:t xml:space="preserve"> Data request and a legal question — a 2027 proposal on purchase of prior military service (response requested by 20 November)</w:t>
      </w:r>
    </w:p>
    <w:p>
      <w:r>
        <w:t>Dear Ms Bishop,</w:t>
      </w:r>
    </w:p>
    <w:p>
      <w:r>
        <w:t>I am preparing a proposal for the 2027 session of the General Assembly. It would create a bounded four-year pilot under which a Plan 1 or Plan 2 state employee who is a veteran could purchase qualifying active-duty military service at approximate normal cost after the existing 24-month window has closed, in each case in exchange for retiring within six months. The existing cost window, the 48-month military-service maximum and the eligibility conditions in the Code would all be left as they are.</w:t>
      </w:r>
    </w:p>
    <w:p>
      <w:r>
        <w:t>Two letters are attached. The first asks for thirteen figures that would let the General Assembly see the real cost of the proposal; the first item is the only one that genuinely decides whether it is affordable, and nothing I can build substitutes for it. The second asks a legal question about whether the retirement condition can be made collectible at all. They are sent together deliberately, because together they decide whether the design survives.</w:t>
      </w:r>
    </w:p>
    <w:p>
      <w:r>
        <w:t>I should be clear about what this is not. I am not asking VRS to endorse the proposal, and I make no claim that it is actuarially neutral, minimal in impact or self-funding — my published materials say that only VRS can price it. This is not a Freedom of Information Act request; several items would have to be computed rather than retrieved, and I am asking rather than compelling. If a figure cannot reasonably be produced, saying so is a complete answer and I will record it that way.</w:t>
      </w:r>
    </w:p>
    <w:p>
      <w:r>
        <w:t>A response by 20 November 2026 would let me put a drafting request to the Division of Legislative Services by 30 November. If that is too tight, items 1, 4 and 5 carry most of the uncertainty and I would be glad to narrow the request to those three. I would also be glad to take any part of this by meeting or telephone instead of in writing.</w:t>
      </w:r>
    </w:p>
    <w:p>
      <w:r>
        <w:t>Signed copies of both letters follow by post. I am copying Ms Sherman as the published channel for legislative and policy correspondence, and Mr Cooper for the administration-cost item alone.</w:t>
      </w:r>
    </w:p>
    <w:p>
      <w:r>
        <w:t>Yours sincerely,</w:t>
      </w:r>
    </w:p>
    <w:p>
      <w:r>
        <w:t>David Moody · author of the proposal, writing in a personal capacity</w:t>
      </w:r>
    </w:p>
    <w:p>
      <w:r>
        <w:t>davidmoody@gmail.com · 434-989-5481</w:t>
      </w:r>
    </w:p>
    <w:p>
      <w:r>
        <w:t>1154 West Ocean View, Norfolk, VA 23503</w:t>
      </w:r>
    </w:p>
    <w:p>
      <w:pPr>
        <w:pStyle w:val="Heading2"/>
      </w:pPr>
      <w:r>
        <w:t>2.2 Email 2 — to DHRM</w:t>
      </w:r>
    </w:p>
    <w:p>
      <w:r>
        <w:rPr>
          <w:b/>
        </w:rPr>
        <w:t>Subject:</w:t>
      </w:r>
      <w:r>
        <w:t xml:space="preserve"> Workforce and benefit-cost data request — a 2027 proposal on purchase of prior military service (three items; response requested by 20 November)</w:t>
      </w:r>
    </w:p>
    <w:p>
      <w:r>
        <w:t>Dear Ms Lawson,</w:t>
      </w:r>
    </w:p>
    <w:p>
      <w:r>
        <w:t xml:space="preserve">I am preparing a proposal for the 2027 session of the General Assembly for a bounded four-year pilot under which Plan 1 and Plan 2 state employees who are veterans could purchase qualifying military service at approximate normal cost in exchange for a near-term retirement. The attached data request is addressed jointly to VRS and to DHRM. </w:t>
      </w:r>
      <w:r>
        <w:rPr>
          <w:b/>
        </w:rPr>
        <w:t>Only three of its items are DHRM's: item 3 on veteran status in the state workforce, item 9 on administration cost, and item 11 on the employer share of the health premium.</w:t>
      </w:r>
      <w:r>
        <w:t xml:space="preserve"> The rest are VRS's and have gone to the Director of VRS separately.</w:t>
      </w:r>
    </w:p>
    <w:p>
      <w:r>
        <w:t>Item 3 is the one I would most like help with. The veteran-status field in the state workforce record is substantially incomplete, and the proposal is sized at present on Virginia's veteran share of the civilian labour force applied to the classified workforce — an assumption, and I have labelled it as one everywhere it appears. Any Virginia figure, however partial, is better than that, and knowing how incomplete the field is would itself be useful. Producing the first real data on this is one of the pilot's stated purposes.</w:t>
      </w:r>
    </w:p>
    <w:p>
      <w:r>
        <w:t>A response by 20 November 2026 would let me put a drafting request to the Division of Legislative Services by 30 November. I am glad to take any of it by meeting. A signed hard copy follows by post. I am copying the compensation and health-benefits mailboxes for the items that fall to them.</w:t>
      </w:r>
    </w:p>
    <w:p>
      <w:r>
        <w:t>Yours sincerely,</w:t>
      </w:r>
    </w:p>
    <w:p>
      <w:r>
        <w:t>David Moody · author of the proposal, writing in a personal capacity</w:t>
      </w:r>
    </w:p>
    <w:p>
      <w:r>
        <w:t>davidmoody@gmail.com · 434-989-5481</w:t>
      </w:r>
    </w:p>
    <w:p>
      <w:r>
        <w:t>1154 West Ocean View, Norfolk, VA 23503</w:t>
      </w:r>
    </w:p>
    <w:p>
      <w:pPr>
        <w:ind w:left="360"/>
      </w:pPr>
      <w:r>
        <w:rPr>
          <w:b/>
          <w:sz w:val="20"/>
        </w:rPr>
        <w:t>The sending account is davidmoody@gmail.com, which satisfies the signature decision.</w:t>
      </w:r>
      <w:r>
        <w:rPr>
          <w:sz w:val="20"/>
        </w:rPr>
        <w:t xml:space="preserve"> A personal Gmail address names no organisation and adds no footer of its own. Two things to check once: that no signature has been configured on the account that names an organisation, and that the display name reads </w:t>
      </w:r>
      <w:r>
        <w:rPr>
          <w:i/>
          <w:sz w:val="20"/>
        </w:rPr>
        <w:t>David Moody</w:t>
      </w:r>
      <w:r>
        <w:rPr>
          <w:sz w:val="20"/>
        </w:rPr>
        <w:t xml:space="preserve"> rather than a group or role name. If a signature is set, strip it — the letters carry their own closing block.</w:t>
      </w:r>
    </w:p>
    <w:p>
      <w:pPr>
        <w:jc w:val="left"/>
      </w:pPr>
      <w:r>
        <w:rPr>
          <w:color w:val="BBBBBB"/>
        </w:rPr>
        <w:t>______________________________________________________________________________________</w:t>
      </w:r>
    </w:p>
    <w:p>
      <w:pPr>
        <w:pStyle w:val="Heading1"/>
      </w:pPr>
      <w:r>
        <w:t xml:space="preserve">3. Attachments — use the </w:t>
      </w:r>
      <w:r>
        <w:rPr>
          <w:b/>
        </w:rPr>
        <w:t>-SEND</w:t>
      </w:r>
      <w:r>
        <w:t xml:space="preserve"> files, not the working copies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Email</w:t>
            </w:r>
          </w:p>
        </w:tc>
        <w:tc>
          <w:tcPr>
            <w:tcW w:type="dxa" w:w="3216"/>
          </w:tcPr>
          <w:p>
            <w:r>
              <w:rPr>
                <w:b/>
                <w:sz w:val="19"/>
              </w:rPr>
            </w:r>
            <w:r>
              <w:rPr>
                <w:b/>
                <w:sz w:val="19"/>
              </w:rPr>
              <w:t>Attach</w:t>
            </w:r>
          </w:p>
        </w:tc>
        <w:tc>
          <w:tcPr>
            <w:tcW w:type="dxa" w:w="3216"/>
          </w:tcPr>
          <w:p>
            <w:r>
              <w:rPr>
                <w:b/>
                <w:sz w:val="19"/>
              </w:rPr>
            </w:r>
            <w:r>
              <w:rPr>
                <w:b/>
                <w:sz w:val="19"/>
              </w:rPr>
              <w:t>As</w:t>
            </w:r>
          </w:p>
        </w:tc>
      </w:tr>
      <w:tr>
        <w:tc>
          <w:tcPr>
            <w:tcW w:type="dxa" w:w="3216"/>
          </w:tcPr>
          <w:p>
            <w:r>
              <w:rPr>
                <w:sz w:val="19"/>
              </w:rPr>
            </w:r>
            <w:r>
              <w:rPr>
                <w:sz w:val="19"/>
              </w:rPr>
              <w:t>VRS</w:t>
            </w:r>
          </w:p>
        </w:tc>
        <w:tc>
          <w:tcPr>
            <w:tcW w:type="dxa" w:w="3216"/>
          </w:tcPr>
          <w:p>
            <w:r>
              <w:rPr>
                <w:sz w:val="19"/>
              </w:rPr>
            </w:r>
            <w:r>
              <w:rPr>
                <w:b/>
                <w:sz w:val="19"/>
              </w:rPr>
              <w:t>V2-data-request-VRS-DHRM-SEND.pdf</w:t>
            </w:r>
            <w:r>
              <w:rPr>
                <w:sz w:val="19"/>
              </w:rPr>
              <w:t xml:space="preserve"> · </w:t>
            </w:r>
            <w:r>
              <w:rPr>
                <w:b/>
                <w:sz w:val="19"/>
              </w:rPr>
              <w:t>V2-counsel-question-trueup-SEND.pdf</w:t>
            </w:r>
          </w:p>
        </w:tc>
        <w:tc>
          <w:tcPr>
            <w:tcW w:type="dxa" w:w="3216"/>
          </w:tcPr>
          <w:p>
            <w:r>
              <w:rPr>
                <w:sz w:val="19"/>
              </w:rPr>
            </w:r>
            <w:r>
              <w:rPr>
                <w:sz w:val="19"/>
              </w:rPr>
              <w:t>PDF, both</w:t>
            </w:r>
          </w:p>
        </w:tc>
      </w:tr>
      <w:tr>
        <w:tc>
          <w:tcPr>
            <w:tcW w:type="dxa" w:w="3216"/>
          </w:tcPr>
          <w:p>
            <w:r>
              <w:rPr>
                <w:sz w:val="19"/>
              </w:rPr>
            </w:r>
            <w:r>
              <w:rPr>
                <w:sz w:val="19"/>
              </w:rPr>
              <w:t>DHRM</w:t>
            </w:r>
          </w:p>
        </w:tc>
        <w:tc>
          <w:tcPr>
            <w:tcW w:type="dxa" w:w="3216"/>
          </w:tcPr>
          <w:p>
            <w:r>
              <w:rPr>
                <w:sz w:val="19"/>
              </w:rPr>
            </w:r>
            <w:r>
              <w:rPr>
                <w:b/>
                <w:sz w:val="19"/>
              </w:rPr>
              <w:t>V2-data-request-VRS-DHRM-SEND.pdf</w:t>
            </w:r>
          </w:p>
        </w:tc>
        <w:tc>
          <w:tcPr>
            <w:tcW w:type="dxa" w:w="3216"/>
          </w:tcPr>
          <w:p>
            <w:r>
              <w:rPr>
                <w:sz w:val="19"/>
              </w:rPr>
            </w:r>
            <w:r>
              <w:rPr>
                <w:sz w:val="19"/>
              </w:rPr>
              <w:t>PDF</w:t>
            </w:r>
          </w:p>
        </w:tc>
      </w:tr>
    </w:tbl>
    <w:p/>
    <w:p>
      <w:pPr>
        <w:ind w:left="360"/>
      </w:pPr>
      <w:r>
        <w:rPr>
          <w:b/>
          <w:sz w:val="20"/>
        </w:rPr>
        <w:t>There are two versions of each letter and only one of them can leave the building.</w:t>
      </w:r>
      <w:r>
        <w:rPr>
          <w:sz w:val="20"/>
        </w:rPr>
        <w:t xml:space="preserve"> The working copies carry an internal banner under the title — “Approved for transmission by the board” — and an internal note at the foot. Neither belongs on a letter to a public body. The banner in particular reads as an organisation acting, and the decision was that no organisation is named. </w:t>
      </w:r>
      <w:r>
        <w:rPr>
          <w:b/>
          <w:sz w:val="20"/>
        </w:rPr>
        <w:t>The -SEND files are identical in substance with the banner and the internal note removed and a plain subject-and-date line in their place.</w:t>
      </w:r>
      <w:r>
        <w:rPr>
          <w:sz w:val="20"/>
        </w:rPr>
        <w:t xml:space="preserve"> The working copies stay in the folder as our record of what was approved.</w:t>
      </w:r>
    </w:p>
    <w:p>
      <w:r>
        <w:rPr>
          <w:b/>
        </w:rPr>
        <w:t>Send the PDFs, not the .docx files.</w:t>
      </w:r>
      <w:r>
        <w:t xml:space="preserve"> A Word file invites editing and arrives with revision history and author metadata attached. Nothing else goes — not the fiscal model, not the scenario tables, not the goal set, and above all not the VaLORS annex, which prices an amendment to a plan the bill expressly excludes.</w:t>
      </w:r>
    </w:p>
    <w:p>
      <w:r>
        <w:rPr>
          <w:b/>
        </w:rPr>
        <w:t>If asked for the model, send it.</w:t>
      </w:r>
      <w:r>
        <w:t xml:space="preserve"> The offer is already in the data request and it is the right posture: the model is built from published VRS data and labels every assumption as an assumption. V2-fiscal-model.pdf and V2-fiscal-model-scenarios.pdf are the two to send. Volunteering them unasked, on the other hand, invites VRS to review our arithmetic instead of answering our questions.</w:t>
      </w:r>
    </w:p>
    <w:p>
      <w:pPr>
        <w:jc w:val="left"/>
      </w:pPr>
      <w:r>
        <w:rPr>
          <w:color w:val="BBBBBB"/>
        </w:rPr>
        <w:t>______________________________________________________________________________________</w:t>
      </w:r>
    </w:p>
    <w:p>
      <w:pPr>
        <w:pStyle w:val="Heading1"/>
      </w:pPr>
      <w:r>
        <w:t>4. Hard copy</w:t>
      </w:r>
    </w:p>
    <w:p>
      <w:pPr>
        <w:pStyle w:val="ListNumber"/>
      </w:pPr>
      <w:r>
        <w:t xml:space="preserve">Print </w:t>
      </w:r>
      <w:r>
        <w:rPr>
          <w:b/>
        </w:rPr>
        <w:t>V2-data-request-VRS-DHRM-SEND.pdf</w:t>
      </w:r>
      <w:r>
        <w:t xml:space="preserve"> and </w:t>
      </w:r>
      <w:r>
        <w:rPr>
          <w:b/>
        </w:rPr>
        <w:t>V2-counsel-question-trueup-SEND.pdf</w:t>
      </w:r>
      <w:r>
        <w:t xml:space="preserve"> on plain paper — the -SEND files, not the working copies. </w:t>
      </w:r>
      <w:r>
        <w:rPr>
          <w:b/>
        </w:rPr>
        <w:t>No letterhead</w:t>
      </w:r>
      <w:r>
        <w:t xml:space="preserve"> — not an organisation's, not a committee's.</w:t>
      </w:r>
    </w:p>
    <w:p>
      <w:pPr>
        <w:pStyle w:val="ListNumber"/>
      </w:pPr>
      <w:r>
        <w:t>Sign both in ink above the rule in the closing block. Date them the day they are posted.</w:t>
      </w:r>
    </w:p>
    <w:p>
      <w:pPr>
        <w:pStyle w:val="ListNumber"/>
      </w:pPr>
      <w:r>
        <w:rPr>
          <w:b/>
        </w:rPr>
        <w:t>VRS envelope:</w:t>
      </w:r>
      <w:r>
        <w:t xml:space="preserve"> both letters. Patricia S. Bishop, Director, Virginia Retirement System, 1200 East Main Street, Richmond, VA 23219.</w:t>
      </w:r>
    </w:p>
    <w:p>
      <w:pPr>
        <w:pStyle w:val="ListNumber"/>
      </w:pPr>
      <w:r>
        <w:rPr>
          <w:b/>
        </w:rPr>
        <w:t>DHRM envelope:</w:t>
      </w:r>
      <w:r>
        <w:t xml:space="preserve"> the data request only. Janet L. Lawson, Director, Department of Human Resource Management, 600 East Main Street, 17th Floor, Richmond, VA 23219.</w:t>
      </w:r>
    </w:p>
    <w:p>
      <w:pPr>
        <w:pStyle w:val="ListNumber"/>
      </w:pPr>
      <w:r>
        <w:t>Post the same day as the email, or the next. The email is the one that will actually be read first; the hard copy is what makes it a letter on the record.</w:t>
      </w:r>
    </w:p>
    <w:p>
      <w:pPr>
        <w:pStyle w:val="ListNumber"/>
      </w:pPr>
      <w:r>
        <w:t>Keep a signed scan of each. If the 20 November date passes and a patron takes this up, the scans are the evidence that the questions were asked first and asked civilly.</w:t>
      </w:r>
    </w:p>
    <w:p>
      <w:pPr>
        <w:ind w:left="360"/>
      </w:pPr>
      <w:r>
        <w:rPr>
          <w:b/>
          <w:sz w:val="20"/>
        </w:rPr>
        <w:t>Correction worth knowing about before you address an envelope: DHRM is not in the James Monroe Building.</w:t>
      </w:r>
      <w:r>
        <w:rPr>
          <w:sz w:val="20"/>
        </w:rPr>
        <w:t xml:space="preserve"> Our earlier draft had 101 North 14th Street, 12th Floor. DHRM's own published address is 600 East Main Street, 17th Floor. Mail to the old address would probably still arrive, and it would announce that we had not checked.</w:t>
      </w:r>
    </w:p>
    <w:p>
      <w:pPr>
        <w:jc w:val="left"/>
      </w:pPr>
      <w:r>
        <w:rPr>
          <w:color w:val="BBBBBB"/>
        </w:rPr>
        <w:t>______________________________________________________________________________________</w:t>
      </w:r>
    </w:p>
    <w:p>
      <w:pPr>
        <w:pStyle w:val="Heading1"/>
      </w:pPr>
      <w:r>
        <w:t>5. The day-of-send checks</w:t>
      </w:r>
    </w:p>
    <w:p>
      <w:r>
        <w:rPr>
          <w:b/>
          <w:sz w:val="20"/>
        </w:rPr>
        <w:t>Table 2 — tick these before anything leaves</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w:t>
            </w:r>
          </w:p>
        </w:tc>
        <w:tc>
          <w:tcPr>
            <w:tcW w:type="dxa" w:w="3216"/>
          </w:tcPr>
          <w:p>
            <w:r>
              <w:rPr>
                <w:b/>
                <w:sz w:val="19"/>
              </w:rPr>
            </w:r>
            <w:r>
              <w:rPr>
                <w:b/>
                <w:sz w:val="19"/>
              </w:rPr>
              <w:t>Check</w:t>
            </w:r>
          </w:p>
        </w:tc>
        <w:tc>
          <w:tcPr>
            <w:tcW w:type="dxa" w:w="3216"/>
          </w:tcPr>
          <w:p>
            <w:r>
              <w:rPr>
                <w:b/>
                <w:sz w:val="19"/>
              </w:rPr>
            </w:r>
            <w:r>
              <w:rPr>
                <w:b/>
                <w:sz w:val="19"/>
              </w:rPr>
              <w:t>Why it matters</w:t>
            </w:r>
          </w:p>
        </w:tc>
      </w:tr>
      <w:tr>
        <w:tc>
          <w:tcPr>
            <w:tcW w:type="dxa" w:w="3216"/>
          </w:tcPr>
          <w:p>
            <w:r>
              <w:rPr>
                <w:sz w:val="19"/>
              </w:rPr>
            </w:r>
            <w:r>
              <w:rPr>
                <w:sz w:val="19"/>
              </w:rPr>
              <w:t>1</w:t>
            </w:r>
          </w:p>
        </w:tc>
        <w:tc>
          <w:tcPr>
            <w:tcW w:type="dxa" w:w="3216"/>
          </w:tcPr>
          <w:p>
            <w:r>
              <w:rPr>
                <w:sz w:val="19"/>
              </w:rPr>
            </w:r>
            <w:r>
              <w:rPr>
                <w:b/>
                <w:sz w:val="19"/>
              </w:rPr>
              <w:t>Call VRS, 804-771-7373.</w:t>
            </w:r>
            <w:r>
              <w:rPr>
                <w:sz w:val="19"/>
              </w:rPr>
              <w:t xml:space="preserve"> Confirm Patricia S. Bishop is still Director and Jillian L. Sherman is still Legislative Liaison and Policy Analyst. Ask for Ms Sherman's email address</w:t>
            </w:r>
          </w:p>
        </w:tc>
        <w:tc>
          <w:tcPr>
            <w:tcW w:type="dxa" w:w="3216"/>
          </w:tcPr>
          <w:p>
            <w:r>
              <w:rPr>
                <w:sz w:val="19"/>
              </w:rPr>
            </w:r>
            <w:r>
              <w:rPr>
                <w:sz w:val="19"/>
              </w:rPr>
              <w:t>Two of the offices we originally drafted to do not exist. A letter to a predecessor reads as carelessness about exactly the kind of detail we are asking VRS to be careful about — and we still have no published address for Ms Sherman</w:t>
            </w:r>
          </w:p>
        </w:tc>
      </w:tr>
      <w:tr>
        <w:tc>
          <w:tcPr>
            <w:tcW w:type="dxa" w:w="3216"/>
          </w:tcPr>
          <w:p>
            <w:r>
              <w:rPr>
                <w:sz w:val="19"/>
              </w:rPr>
            </w:r>
            <w:r>
              <w:rPr>
                <w:sz w:val="19"/>
              </w:rPr>
              <w:t>2</w:t>
            </w:r>
          </w:p>
        </w:tc>
        <w:tc>
          <w:tcPr>
            <w:tcW w:type="dxa" w:w="3216"/>
          </w:tcPr>
          <w:p>
            <w:r>
              <w:rPr>
                <w:sz w:val="19"/>
              </w:rPr>
            </w:r>
            <w:r>
              <w:rPr>
                <w:b/>
                <w:sz w:val="19"/>
              </w:rPr>
              <w:t>Call DHRM, 804-225-2131.</w:t>
            </w:r>
            <w:r>
              <w:rPr>
                <w:sz w:val="19"/>
              </w:rPr>
              <w:t xml:space="preserve"> Confirm Janet L. Lawson is still Director, and ask whether policy@ or a direct address is the better route</w:t>
            </w:r>
          </w:p>
        </w:tc>
        <w:tc>
          <w:tcPr>
            <w:tcW w:type="dxa" w:w="3216"/>
          </w:tcPr>
          <w:p>
            <w:r>
              <w:rPr>
                <w:sz w:val="19"/>
              </w:rPr>
            </w:r>
            <w:r>
              <w:rPr>
                <w:sz w:val="19"/>
              </w:rPr>
              <w:t>DHRM publishes no individual staff addresses. I will not put an inferred address on an outgoing letter</w:t>
            </w:r>
          </w:p>
        </w:tc>
      </w:tr>
      <w:tr>
        <w:tc>
          <w:tcPr>
            <w:tcW w:type="dxa" w:w="3216"/>
          </w:tcPr>
          <w:p>
            <w:r>
              <w:rPr>
                <w:sz w:val="19"/>
              </w:rPr>
            </w:r>
            <w:r>
              <w:rPr>
                <w:sz w:val="19"/>
              </w:rPr>
              <w:t>3</w:t>
            </w:r>
          </w:p>
        </w:tc>
        <w:tc>
          <w:tcPr>
            <w:tcW w:type="dxa" w:w="3216"/>
          </w:tcPr>
          <w:p>
            <w:r>
              <w:rPr>
                <w:sz w:val="19"/>
              </w:rPr>
            </w:r>
            <w:r>
              <w:rPr>
                <w:b/>
                <w:sz w:val="19"/>
              </w:rPr>
              <w:t>Read the closing block on both letters once.</w:t>
            </w:r>
            <w:r>
              <w:rPr>
                <w:sz w:val="19"/>
              </w:rPr>
              <w:t xml:space="preserve"> It should read: David Moody · Author of the proposal, writing in a personal capacity · 1154 West Ocean View, Norfolk, VA 23503 · davidmoody@gmail.com · 434-989-5481</w:t>
            </w:r>
          </w:p>
        </w:tc>
        <w:tc>
          <w:tcPr>
            <w:tcW w:type="dxa" w:w="3216"/>
          </w:tcPr>
          <w:p>
            <w:r>
              <w:rPr>
                <w:sz w:val="19"/>
              </w:rPr>
            </w:r>
            <w:r>
              <w:rPr>
                <w:sz w:val="19"/>
              </w:rPr>
              <w:t>It is complete — there is nothing bracketed left in either letter. This check is to catch a typed digit in the telephone or the postcode, which is the one error a reader cannot work around</w:t>
            </w:r>
          </w:p>
        </w:tc>
      </w:tr>
      <w:tr>
        <w:tc>
          <w:tcPr>
            <w:tcW w:type="dxa" w:w="3216"/>
          </w:tcPr>
          <w:p>
            <w:r>
              <w:rPr>
                <w:sz w:val="19"/>
              </w:rPr>
            </w:r>
            <w:r>
              <w:rPr>
                <w:sz w:val="19"/>
              </w:rPr>
              <w:t>4</w:t>
            </w:r>
          </w:p>
        </w:tc>
        <w:tc>
          <w:tcPr>
            <w:tcW w:type="dxa" w:w="3216"/>
          </w:tcPr>
          <w:p>
            <w:r>
              <w:rPr>
                <w:sz w:val="19"/>
              </w:rPr>
            </w:r>
            <w:r>
              <w:rPr>
                <w:b/>
                <w:sz w:val="19"/>
              </w:rPr>
              <w:t>Set the date line to the actual send day</w:t>
            </w:r>
          </w:p>
        </w:tc>
        <w:tc>
          <w:tcPr>
            <w:tcW w:type="dxa" w:w="3216"/>
          </w:tcPr>
          <w:p>
            <w:r>
              <w:rPr>
                <w:sz w:val="19"/>
              </w:rPr>
            </w:r>
            <w:r>
              <w:rPr>
                <w:sz w:val="19"/>
              </w:rPr>
              <w:t>It currently reads 13 October 2026. Nothing else in either letter moves with it</w:t>
            </w:r>
          </w:p>
        </w:tc>
      </w:tr>
      <w:tr>
        <w:tc>
          <w:tcPr>
            <w:tcW w:type="dxa" w:w="3216"/>
          </w:tcPr>
          <w:p>
            <w:r>
              <w:rPr>
                <w:sz w:val="19"/>
              </w:rPr>
            </w:r>
            <w:r>
              <w:rPr>
                <w:sz w:val="19"/>
              </w:rPr>
              <w:t>5</w:t>
            </w:r>
          </w:p>
        </w:tc>
        <w:tc>
          <w:tcPr>
            <w:tcW w:type="dxa" w:w="3216"/>
          </w:tcPr>
          <w:p>
            <w:r>
              <w:rPr>
                <w:sz w:val="19"/>
              </w:rPr>
            </w:r>
            <w:r>
              <w:rPr>
                <w:b/>
                <w:sz w:val="19"/>
              </w:rPr>
              <w:t>Check the sending account's footer and domain</w:t>
            </w:r>
            <w:r>
              <w:rPr>
                <w:sz w:val="19"/>
              </w:rPr>
              <w:t xml:space="preserve"> for any organisation name or logo</w:t>
            </w:r>
          </w:p>
        </w:tc>
        <w:tc>
          <w:tcPr>
            <w:tcW w:type="dxa" w:w="3216"/>
          </w:tcPr>
          <w:p>
            <w:r>
              <w:rPr>
                <w:sz w:val="19"/>
              </w:rPr>
            </w:r>
            <w:r>
              <w:rPr>
                <w:sz w:val="19"/>
              </w:rPr>
              <w:t>The signature decision is that no organisation is named. An automatic footer undoes it</w:t>
            </w:r>
          </w:p>
        </w:tc>
      </w:tr>
      <w:tr>
        <w:tc>
          <w:tcPr>
            <w:tcW w:type="dxa" w:w="3216"/>
          </w:tcPr>
          <w:p>
            <w:r>
              <w:rPr>
                <w:sz w:val="19"/>
              </w:rPr>
            </w:r>
            <w:r>
              <w:rPr>
                <w:sz w:val="19"/>
              </w:rPr>
              <w:t>6</w:t>
            </w:r>
          </w:p>
        </w:tc>
        <w:tc>
          <w:tcPr>
            <w:tcW w:type="dxa" w:w="3216"/>
          </w:tcPr>
          <w:p>
            <w:r>
              <w:rPr>
                <w:sz w:val="19"/>
              </w:rPr>
            </w:r>
            <w:r>
              <w:rPr>
                <w:b/>
                <w:sz w:val="19"/>
              </w:rPr>
              <w:t>Confirm both attachments are the -SEND PDFs</w:t>
            </w:r>
            <w:r>
              <w:rPr>
                <w:sz w:val="19"/>
              </w:rPr>
              <w:t xml:space="preserve"> — not the working copies, not the .docx — and that the VaLORS annex is not among them</w:t>
            </w:r>
          </w:p>
        </w:tc>
        <w:tc>
          <w:tcPr>
            <w:tcW w:type="dxa" w:w="3216"/>
          </w:tcPr>
          <w:p>
            <w:r>
              <w:rPr>
                <w:sz w:val="19"/>
              </w:rPr>
            </w:r>
            <w:r>
              <w:rPr>
                <w:sz w:val="19"/>
              </w:rPr>
              <w:t>The working copies carry an internal “approved by the board” banner, which contradicts the signature decision. The annex prices an amendment to a plan the bill expressly excludes; enclosing it would read as a signal that we intend to expand the bill</w:t>
            </w:r>
          </w:p>
        </w:tc>
      </w:tr>
    </w:tbl>
    <w:p/>
    <w:p>
      <w:pPr>
        <w:ind w:left="360"/>
      </w:pPr>
      <w:r>
        <w:rPr>
          <w:sz w:val="20"/>
        </w:rPr>
        <w:t>Checks 1 and 2 are two telephone calls and about five minutes. They are the only part of this that cannot be done in advance, and they are the part most likely to be skipped.</w:t>
      </w:r>
    </w:p>
    <w:p>
      <w:pPr>
        <w:jc w:val="left"/>
      </w:pPr>
      <w:r>
        <w:rPr>
          <w:color w:val="BBBBBB"/>
        </w:rPr>
        <w:t>______________________________________________________________________________________</w:t>
      </w:r>
    </w:p>
    <w:p>
      <w:pPr>
        <w:pStyle w:val="Heading1"/>
      </w:pPr>
      <w:r>
        <w:t>6. Send record — fill this in</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Item</w:t>
            </w:r>
          </w:p>
        </w:tc>
        <w:tc>
          <w:tcPr>
            <w:tcW w:type="dxa" w:w="2412"/>
          </w:tcPr>
          <w:p>
            <w:r>
              <w:rPr>
                <w:b/>
                <w:sz w:val="19"/>
              </w:rPr>
            </w:r>
            <w:r>
              <w:rPr>
                <w:b/>
                <w:sz w:val="19"/>
              </w:rPr>
              <w:t>Date</w:t>
            </w:r>
          </w:p>
        </w:tc>
        <w:tc>
          <w:tcPr>
            <w:tcW w:type="dxa" w:w="2412"/>
          </w:tcPr>
          <w:p>
            <w:r>
              <w:rPr>
                <w:b/>
                <w:sz w:val="19"/>
              </w:rPr>
            </w:r>
            <w:r>
              <w:rPr>
                <w:b/>
                <w:sz w:val="19"/>
              </w:rPr>
              <w:t>To</w:t>
            </w:r>
          </w:p>
        </w:tc>
        <w:tc>
          <w:tcPr>
            <w:tcW w:type="dxa" w:w="2412"/>
          </w:tcPr>
          <w:p>
            <w:r>
              <w:rPr>
                <w:b/>
                <w:sz w:val="19"/>
              </w:rPr>
            </w:r>
            <w:r>
              <w:rPr>
                <w:b/>
                <w:sz w:val="19"/>
              </w:rPr>
              <w:t>Note</w:t>
            </w:r>
          </w:p>
        </w:tc>
      </w:tr>
      <w:tr>
        <w:tc>
          <w:tcPr>
            <w:tcW w:type="dxa" w:w="2412"/>
          </w:tcPr>
          <w:p>
            <w:r>
              <w:rPr>
                <w:sz w:val="19"/>
              </w:rPr>
            </w:r>
            <w:r>
              <w:rPr>
                <w:sz w:val="19"/>
              </w:rPr>
              <w:t>Email — VRS</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Email — DHRM</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Hard copy posted — VRS</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Hard copy posted — DHRM</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Acknowledgement received — VRS</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Acknowledgement received — DHRM</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Substantive response — VRS</w:t>
            </w:r>
          </w:p>
        </w:tc>
        <w:tc>
          <w:tcPr>
            <w:tcW w:type="dxa" w:w="2412"/>
          </w:tcPr>
          <w:p>
            <w:r>
              <w:rPr>
                <w:sz w:val="19"/>
              </w:rPr>
            </w:r>
          </w:p>
        </w:tc>
        <w:tc>
          <w:tcPr>
            <w:tcW w:type="dxa" w:w="2412"/>
          </w:tcPr>
          <w:p>
            <w:r>
              <w:rPr>
                <w:sz w:val="19"/>
              </w:rPr>
            </w:r>
          </w:p>
        </w:tc>
        <w:tc>
          <w:tcPr>
            <w:tcW w:type="dxa" w:w="2412"/>
          </w:tcPr>
          <w:p>
            <w:r>
              <w:rPr>
                <w:sz w:val="19"/>
              </w:rPr>
            </w:r>
          </w:p>
        </w:tc>
      </w:tr>
      <w:tr>
        <w:tc>
          <w:tcPr>
            <w:tcW w:type="dxa" w:w="2412"/>
          </w:tcPr>
          <w:p>
            <w:r>
              <w:rPr>
                <w:sz w:val="19"/>
              </w:rPr>
            </w:r>
            <w:r>
              <w:rPr>
                <w:sz w:val="19"/>
              </w:rPr>
              <w:t>Substantive response — DHRM</w:t>
            </w:r>
          </w:p>
        </w:tc>
        <w:tc>
          <w:tcPr>
            <w:tcW w:type="dxa" w:w="2412"/>
          </w:tcPr>
          <w:p>
            <w:r>
              <w:rPr>
                <w:sz w:val="19"/>
              </w:rPr>
            </w:r>
          </w:p>
        </w:tc>
        <w:tc>
          <w:tcPr>
            <w:tcW w:type="dxa" w:w="2412"/>
          </w:tcPr>
          <w:p>
            <w:r>
              <w:rPr>
                <w:sz w:val="19"/>
              </w:rPr>
            </w:r>
          </w:p>
        </w:tc>
        <w:tc>
          <w:tcPr>
            <w:tcW w:type="dxa" w:w="2412"/>
          </w:tcPr>
          <w:p>
            <w:r>
              <w:rPr>
                <w:sz w:val="19"/>
              </w:rPr>
            </w:r>
          </w:p>
        </w:tc>
      </w:tr>
    </w:tbl>
    <w:p/>
    <w:p>
      <w:r>
        <w:t>Send me the dates and I will keep this as the record on MOO-100. When a response arrives, the figures it carries replace ours — the data request names, item by item, which of our figures each one supersedes, so the swap is mechanical rather than a matter of judgment.</w:t>
      </w:r>
    </w:p>
    <w:p>
      <w:pPr>
        <w:jc w:val="left"/>
      </w:pPr>
      <w:r>
        <w:rPr>
          <w:color w:val="BBBBBB"/>
        </w:rPr>
        <w:t>______________________________________________________________________________________</w:t>
      </w:r>
    </w:p>
    <w:p>
      <w:pPr>
        <w:pStyle w:val="Heading1"/>
      </w:pPr>
      <w:r>
        <w:t>7. What happens if nothing comes back</w:t>
      </w:r>
    </w:p>
    <w:p>
      <w:r>
        <w:rPr>
          <w:b/>
        </w:rPr>
        <w:t>About 10 November is the date to watch, not 20 November.</w:t>
      </w:r>
      <w:r>
        <w:t xml:space="preserve"> If nothing substantive has arrived by then, the question is not whether to extend our own deadline. It is whether a patron asks the same questions, which is the stronger route we deliberately kept in reserve by signing these ourselves. VRS answers a legislator's request differently from a citizen's.</w:t>
      </w:r>
    </w:p>
    <w:p>
      <w:r>
        <w:rPr>
          <w:b/>
        </w:rPr>
        <w:t>If the answer to item 1 or to legal question 1 is unwelcome, that is the letters working.</w:t>
      </w:r>
      <w:r>
        <w:t xml:space="preserve"> The actuarial ratio could come back high enough to make the pilot unaffordable, and the true-up could come back uncollectible — in which case the Retirement Incentive pathway has no consideration at all and has to be redesigned. Far better that we learn either of those in November and redesign, than have it decided for us in a January fiscal note.</w:t>
      </w:r>
    </w:p>
    <w:p>
      <w:pPr>
        <w:jc w:val="left"/>
      </w:pPr>
      <w:r>
        <w:rPr>
          <w:color w:val="BBBBBB"/>
        </w:rPr>
        <w:t>______________________________________________________________________________________</w:t>
      </w:r>
    </w:p>
    <w:p>
      <w:r>
        <w:rPr>
          <w:i/>
        </w:rPr>
        <w:t>Sources for every name, title, address and email in this document: VRS Leadership page (pbishop@, mcooper@, and Policy, Planning and Compliance shown as TBA); VRS Freedom of Information Act page (Jillian L. Sherman, address, telephone, FOIA mailbox); DHRM Contact Us page (600 East Main Street 17th Floor, telephone, fax, policy@, compensation@, ohb@); DHRM Our Leadership page (Lawson, Pendleton, Johnston). All retrieved 12 October 2026. Inferred addresses are marked as inferred and are not used.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