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Transmittal — addressees, signature and routing</w:t>
      </w:r>
    </w:p>
    <w:p>
      <w:r>
        <w:rPr>
          <w:i/>
          <w:color w:val="555555"/>
          <w:sz w:val="19"/>
        </w:rPr>
        <w:t>Cover document for the VRS and DHRM send packet · Policy Director · MOO-100 · 12 October 2026</w:t>
      </w:r>
    </w:p>
    <w:p>
      <w:r>
        <w:t>On 12 October 2026 the board authorised sending both letters, together, and asked me to name the addressees and whose signature they go out under. This document answers both questions from published sources, sets out the routing, and states plainly what still has to happen before anything leaves the building.</w:t>
      </w:r>
    </w:p>
    <w:p>
      <w:pPr>
        <w:jc w:val="left"/>
      </w:pPr>
      <w:r>
        <w:rPr>
          <w:color w:val="BBBBBB"/>
        </w:rPr>
        <w:t>______________________________________________________________________________________</w:t>
      </w:r>
    </w:p>
    <w:p>
      <w:pPr>
        <w:pStyle w:val="Heading1"/>
      </w:pPr>
      <w:r>
        <w:t>1. The answers to the two questions you asked</w:t>
      </w:r>
    </w:p>
    <w:p>
      <w:pPr>
        <w:pStyle w:val="Heading2"/>
      </w:pPr>
      <w:r>
        <w:t>1.1 Two addressees we had drafted do not exist</w:t>
      </w:r>
    </w:p>
    <w:p>
      <w:r>
        <w:t>Both letters were drafted to offices that VRS does not publish. That would have cost us weeks of internal forwarding, so it is worth correcting before sending rather than after.</w:t>
      </w:r>
    </w:p>
    <w:p>
      <w:r>
        <w:rPr>
          <w:b/>
          <w:sz w:val="20"/>
        </w:rPr>
        <w:t>Table 1 — what we had, what is actually there</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Drafted to</w:t>
            </w:r>
          </w:p>
        </w:tc>
        <w:tc>
          <w:tcPr>
            <w:tcW w:type="dxa" w:w="3216"/>
          </w:tcPr>
          <w:p>
            <w:r>
              <w:rPr>
                <w:b/>
                <w:sz w:val="19"/>
              </w:rPr>
            </w:r>
            <w:r>
              <w:rPr>
                <w:b/>
                <w:sz w:val="19"/>
              </w:rPr>
              <w:t>What the published record shows</w:t>
            </w:r>
          </w:p>
        </w:tc>
        <w:tc>
          <w:tcPr>
            <w:tcW w:type="dxa" w:w="3216"/>
          </w:tcPr>
          <w:p>
            <w:r>
              <w:rPr>
                <w:b/>
                <w:sz w:val="19"/>
              </w:rPr>
            </w:r>
            <w:r>
              <w:rPr>
                <w:b/>
                <w:sz w:val="19"/>
              </w:rPr>
              <w:t>Corrected to</w:t>
            </w:r>
          </w:p>
        </w:tc>
      </w:tr>
      <w:tr>
        <w:tc>
          <w:tcPr>
            <w:tcW w:type="dxa" w:w="3216"/>
          </w:tcPr>
          <w:p>
            <w:r>
              <w:rPr>
                <w:sz w:val="19"/>
              </w:rPr>
            </w:r>
            <w:r>
              <w:rPr>
                <w:sz w:val="19"/>
              </w:rPr>
              <w:t>VRS — Office of the Chief Actuary</w:t>
            </w:r>
          </w:p>
        </w:tc>
        <w:tc>
          <w:tcPr>
            <w:tcW w:type="dxa" w:w="3216"/>
          </w:tcPr>
          <w:p>
            <w:r>
              <w:rPr>
                <w:sz w:val="19"/>
              </w:rPr>
            </w:r>
            <w:r>
              <w:rPr>
                <w:b/>
                <w:sz w:val="19"/>
              </w:rPr>
              <w:t>VRS has no in-house actuary.</w:t>
            </w:r>
            <w:r>
              <w:rPr>
                <w:sz w:val="19"/>
              </w:rPr>
              <w:t xml:space="preserve"> Actuarial services are performed by Gabriel, Roeder, Smith &amp; Company under contract to the Board of Trustees (2025 Annual Report, professional consultants and professional-services schedules). GRS works for the Board and cannot be approached directly by us.</w:t>
            </w:r>
          </w:p>
        </w:tc>
        <w:tc>
          <w:tcPr>
            <w:tcW w:type="dxa" w:w="3216"/>
          </w:tcPr>
          <w:p>
            <w:r>
              <w:rPr>
                <w:sz w:val="19"/>
              </w:rPr>
            </w:r>
            <w:r>
              <w:rPr>
                <w:sz w:val="19"/>
              </w:rPr>
              <w:t>The Director, who tasks the consulting actuary through the Board</w:t>
            </w:r>
          </w:p>
        </w:tc>
      </w:tr>
      <w:tr>
        <w:tc>
          <w:tcPr>
            <w:tcW w:type="dxa" w:w="3216"/>
          </w:tcPr>
          <w:p>
            <w:r>
              <w:rPr>
                <w:sz w:val="19"/>
              </w:rPr>
            </w:r>
            <w:r>
              <w:rPr>
                <w:sz w:val="19"/>
              </w:rPr>
              <w:t>VRS — Office of General Counsel</w:t>
            </w:r>
          </w:p>
        </w:tc>
        <w:tc>
          <w:tcPr>
            <w:tcW w:type="dxa" w:w="3216"/>
          </w:tcPr>
          <w:p>
            <w:r>
              <w:rPr>
                <w:sz w:val="19"/>
              </w:rPr>
            </w:r>
            <w:r>
              <w:rPr>
                <w:b/>
                <w:sz w:val="19"/>
              </w:rPr>
              <w:t>VRS has no in-house general counsel.</w:t>
            </w:r>
            <w:r>
              <w:rPr>
                <w:sz w:val="19"/>
              </w:rPr>
              <w:t xml:space="preserve"> The 2025 Annual Report lists legal counsel as the Office of the Attorney General, Commonwealth of Virginia, with outside firms engaged for specific matters.</w:t>
            </w:r>
          </w:p>
        </w:tc>
        <w:tc>
          <w:tcPr>
            <w:tcW w:type="dxa" w:w="3216"/>
          </w:tcPr>
          <w:p>
            <w:r>
              <w:rPr>
                <w:sz w:val="19"/>
              </w:rPr>
            </w:r>
            <w:r>
              <w:rPr>
                <w:sz w:val="19"/>
              </w:rPr>
              <w:t>The Director, with an express request to refer the question to the Office of the Attorney General</w:t>
            </w:r>
          </w:p>
        </w:tc>
      </w:tr>
      <w:tr>
        <w:tc>
          <w:tcPr>
            <w:tcW w:type="dxa" w:w="3216"/>
          </w:tcPr>
          <w:p>
            <w:r>
              <w:rPr>
                <w:sz w:val="19"/>
              </w:rPr>
            </w:r>
            <w:r>
              <w:rPr>
                <w:sz w:val="19"/>
              </w:rPr>
              <w:t>VRS — Policy, Planning and Compliance</w:t>
            </w:r>
          </w:p>
        </w:tc>
        <w:tc>
          <w:tcPr>
            <w:tcW w:type="dxa" w:w="3216"/>
          </w:tcPr>
          <w:p>
            <w:r>
              <w:rPr>
                <w:sz w:val="19"/>
              </w:rPr>
            </w:r>
            <w:r>
              <w:rPr>
                <w:sz w:val="19"/>
              </w:rPr>
              <w:t xml:space="preserve">The directorship of Policy, Planning and Compliance is published as </w:t>
            </w:r>
            <w:r>
              <w:rPr>
                <w:b/>
                <w:sz w:val="19"/>
              </w:rPr>
              <w:t>TBA</w:t>
            </w:r>
            <w:r>
              <w:rPr>
                <w:sz w:val="19"/>
              </w:rPr>
              <w:t xml:space="preserve"> — the post is vacant on the current leadership page.</w:t>
            </w:r>
          </w:p>
        </w:tc>
        <w:tc>
          <w:tcPr>
            <w:tcW w:type="dxa" w:w="3216"/>
          </w:tcPr>
          <w:p>
            <w:r>
              <w:rPr>
                <w:sz w:val="19"/>
              </w:rPr>
            </w:r>
            <w:r>
              <w:rPr>
                <w:sz w:val="19"/>
              </w:rPr>
              <w:t>The named Legislative Liaison and Policy Analyst, who is the published channel for legislative and policy correspondence</w:t>
            </w:r>
          </w:p>
        </w:tc>
      </w:tr>
    </w:tbl>
    <w:p/>
    <w:p>
      <w:r>
        <w:rPr>
          <w:b/>
        </w:rPr>
        <w:t>Neither letter should be addressed to an actuary or to counsel.</w:t>
      </w:r>
      <w:r>
        <w:t xml:space="preserve"> Both go to the Director. The actuarial question is one the Director refers to the consulting actuary; the legal question is one the Director refers to the Attorney General's office. Addressing them directly would be addressing people who do not work for VRS.</w:t>
      </w:r>
    </w:p>
    <w:p>
      <w:pPr>
        <w:pStyle w:val="Heading2"/>
      </w:pPr>
      <w:r>
        <w:t>1.2 Addressees, with the email channel for each</w:t>
      </w:r>
    </w:p>
    <w:p>
      <w:r>
        <w:rPr>
          <w:b/>
          <w:sz w:val="20"/>
        </w:rPr>
        <w:t>Table 2 — Virginia Retirement System</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Role</w:t>
            </w:r>
          </w:p>
        </w:tc>
        <w:tc>
          <w:tcPr>
            <w:tcW w:type="dxa" w:w="2412"/>
          </w:tcPr>
          <w:p>
            <w:r>
              <w:rPr>
                <w:b/>
                <w:sz w:val="19"/>
              </w:rPr>
            </w:r>
            <w:r>
              <w:rPr>
                <w:b/>
                <w:sz w:val="19"/>
              </w:rPr>
              <w:t>Name and published title</w:t>
            </w:r>
          </w:p>
        </w:tc>
        <w:tc>
          <w:tcPr>
            <w:tcW w:type="dxa" w:w="2412"/>
          </w:tcPr>
          <w:p>
            <w:r>
              <w:rPr>
                <w:b/>
                <w:sz w:val="19"/>
              </w:rPr>
            </w:r>
            <w:r>
              <w:rPr>
                <w:b/>
                <w:sz w:val="19"/>
              </w:rPr>
              <w:t>Email</w:t>
            </w:r>
          </w:p>
        </w:tc>
        <w:tc>
          <w:tcPr>
            <w:tcW w:type="dxa" w:w="2412"/>
          </w:tcPr>
          <w:p>
            <w:r>
              <w:rPr>
                <w:b/>
                <w:sz w:val="19"/>
              </w:rPr>
            </w:r>
            <w:r>
              <w:rPr>
                <w:b/>
                <w:sz w:val="19"/>
              </w:rPr>
              <w:t>Address</w:t>
            </w:r>
          </w:p>
        </w:tc>
      </w:tr>
      <w:tr>
        <w:tc>
          <w:tcPr>
            <w:tcW w:type="dxa" w:w="2412"/>
          </w:tcPr>
          <w:p>
            <w:r>
              <w:rPr>
                <w:sz w:val="19"/>
              </w:rPr>
            </w:r>
            <w:r>
              <w:rPr>
                <w:b/>
                <w:sz w:val="19"/>
              </w:rPr>
              <w:t>Addressee</w:t>
            </w:r>
          </w:p>
        </w:tc>
        <w:tc>
          <w:tcPr>
            <w:tcW w:type="dxa" w:w="2412"/>
          </w:tcPr>
          <w:p>
            <w:r>
              <w:rPr>
                <w:sz w:val="19"/>
              </w:rPr>
            </w:r>
            <w:r>
              <w:rPr>
                <w:sz w:val="19"/>
              </w:rPr>
              <w:t>Patricia S. Bishop, Director</w:t>
            </w:r>
          </w:p>
        </w:tc>
        <w:tc>
          <w:tcPr>
            <w:tcW w:type="dxa" w:w="2412"/>
          </w:tcPr>
          <w:p>
            <w:r>
              <w:rPr>
                <w:sz w:val="19"/>
              </w:rPr>
            </w:r>
            <w:r>
              <w:rPr>
                <w:b/>
                <w:sz w:val="19"/>
              </w:rPr>
              <w:t>pbishop@varetire.org</w:t>
            </w:r>
            <w:r>
              <w:rPr>
                <w:sz w:val="19"/>
              </w:rPr>
              <w:t xml:space="preserve"> — published on the VRS leadership page</w:t>
            </w:r>
          </w:p>
        </w:tc>
        <w:tc>
          <w:tcPr>
            <w:tcW w:type="dxa" w:w="2412"/>
          </w:tcPr>
          <w:p>
            <w:r>
              <w:rPr>
                <w:sz w:val="19"/>
              </w:rPr>
            </w:r>
            <w:r>
              <w:rPr>
                <w:sz w:val="19"/>
              </w:rPr>
              <w:t>Virginia Retirement System, 1200 East Main Street, Richmond, VA 23219 · mailing alternative P.O. Box 2500, Richmond, VA 23218-2500</w:t>
            </w:r>
          </w:p>
        </w:tc>
      </w:tr>
      <w:tr>
        <w:tc>
          <w:tcPr>
            <w:tcW w:type="dxa" w:w="2412"/>
          </w:tcPr>
          <w:p>
            <w:r>
              <w:rPr>
                <w:sz w:val="19"/>
              </w:rPr>
            </w:r>
            <w:r>
              <w:rPr>
                <w:b/>
                <w:sz w:val="19"/>
              </w:rPr>
              <w:t>Copy — the working channel</w:t>
            </w:r>
          </w:p>
        </w:tc>
        <w:tc>
          <w:tcPr>
            <w:tcW w:type="dxa" w:w="2412"/>
          </w:tcPr>
          <w:p>
            <w:r>
              <w:rPr>
                <w:sz w:val="19"/>
              </w:rPr>
            </w:r>
            <w:r>
              <w:rPr>
                <w:sz w:val="19"/>
              </w:rPr>
              <w:t>Jillian L. Sherman, ACP, MPA, Legislative Liaison and Policy Analyst</w:t>
            </w:r>
          </w:p>
        </w:tc>
        <w:tc>
          <w:tcPr>
            <w:tcW w:type="dxa" w:w="2412"/>
          </w:tcPr>
          <w:p>
            <w:r>
              <w:rPr>
                <w:sz w:val="19"/>
              </w:rPr>
            </w:r>
            <w:r>
              <w:rPr>
                <w:b/>
                <w:sz w:val="19"/>
              </w:rPr>
              <w:t>Not published.</w:t>
            </w:r>
            <w:r>
              <w:rPr>
                <w:sz w:val="19"/>
              </w:rPr>
              <w:t xml:space="preserve"> VRS staff addresses follow first-initial-surname, which gives jsherman@varetire.org — </w:t>
            </w:r>
            <w:r>
              <w:rPr>
                <w:i/>
                <w:sz w:val="19"/>
              </w:rPr>
              <w:t>inferred, not verified.</w:t>
            </w:r>
            <w:r>
              <w:rPr>
                <w:sz w:val="19"/>
              </w:rPr>
              <w:t xml:space="preserve"> Confirm on 804-771-7373 before using it</w:t>
            </w:r>
          </w:p>
        </w:tc>
        <w:tc>
          <w:tcPr>
            <w:tcW w:type="dxa" w:w="2412"/>
          </w:tcPr>
          <w:p>
            <w:r>
              <w:rPr>
                <w:sz w:val="19"/>
              </w:rPr>
            </w:r>
            <w:r>
              <w:rPr>
                <w:sz w:val="19"/>
              </w:rPr>
              <w:t>Same address · 804-771-7373</w:t>
            </w:r>
          </w:p>
        </w:tc>
      </w:tr>
      <w:tr>
        <w:tc>
          <w:tcPr>
            <w:tcW w:type="dxa" w:w="2412"/>
          </w:tcPr>
          <w:p>
            <w:r>
              <w:rPr>
                <w:sz w:val="19"/>
              </w:rPr>
            </w:r>
            <w:r>
              <w:rPr>
                <w:sz w:val="19"/>
              </w:rPr>
              <w:t>Copy — for the administration-cost item only</w:t>
            </w:r>
          </w:p>
        </w:tc>
        <w:tc>
          <w:tcPr>
            <w:tcW w:type="dxa" w:w="2412"/>
          </w:tcPr>
          <w:p>
            <w:r>
              <w:rPr>
                <w:sz w:val="19"/>
              </w:rPr>
            </w:r>
            <w:r>
              <w:rPr>
                <w:sz w:val="19"/>
              </w:rPr>
              <w:t>Michael Cooper, Chief Operating Officer</w:t>
            </w:r>
          </w:p>
        </w:tc>
        <w:tc>
          <w:tcPr>
            <w:tcW w:type="dxa" w:w="2412"/>
          </w:tcPr>
          <w:p>
            <w:r>
              <w:rPr>
                <w:sz w:val="19"/>
              </w:rPr>
            </w:r>
            <w:r>
              <w:rPr>
                <w:b/>
                <w:sz w:val="19"/>
              </w:rPr>
              <w:t>mcooper@varetire.org</w:t>
            </w:r>
            <w:r>
              <w:rPr>
                <w:sz w:val="19"/>
              </w:rPr>
              <w:t xml:space="preserve"> — published</w:t>
            </w:r>
          </w:p>
        </w:tc>
        <w:tc>
          <w:tcPr>
            <w:tcW w:type="dxa" w:w="2412"/>
          </w:tcPr>
          <w:p>
            <w:r>
              <w:rPr>
                <w:sz w:val="19"/>
              </w:rPr>
            </w:r>
            <w:r>
              <w:rPr>
                <w:sz w:val="19"/>
              </w:rPr>
              <w:t>Same address</w:t>
            </w:r>
          </w:p>
        </w:tc>
      </w:tr>
    </w:tbl>
    <w:p/>
    <w:p>
      <w:pPr>
        <w:ind w:left="360"/>
      </w:pPr>
      <w:r>
        <w:rPr>
          <w:b/>
          <w:sz w:val="20"/>
        </w:rPr>
        <w:t>Do not send the data request to FOIA@varetire.org.</w:t>
      </w:r>
      <w:r>
        <w:rPr>
          <w:sz w:val="20"/>
        </w:rPr>
        <w:t xml:space="preserve"> That address is published and it would work, and it is the wrong channel. The Freedom of Information Act does not require a public body to create a record that does not already exist, and most of what we are asking for — counts screened on eligibility proximity, a normal-cost-to-actuarial-equivalent ratio — are figures VRS would have to compute. Filing as FOIA invites a lawful refusal on exactly our most important items. As legislative and policy correspondence to the Director, the same questions can be answered. </w:t>
      </w:r>
      <w:r>
        <w:rPr>
          <w:b/>
          <w:sz w:val="20"/>
        </w:rPr>
        <w:t>FOIA stays in reserve</w:t>
      </w:r>
      <w:r>
        <w:rPr>
          <w:sz w:val="20"/>
        </w:rPr>
        <w:t xml:space="preserve"> for the underlying membership records if the Director declines to compute anything.</w:t>
      </w:r>
    </w:p>
    <w:p>
      <w:r>
        <w:rPr>
          <w:b/>
          <w:sz w:val="20"/>
        </w:rPr>
        <w:t>Table 3 — Department of Human Resource Management</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Role</w:t>
            </w:r>
          </w:p>
        </w:tc>
        <w:tc>
          <w:tcPr>
            <w:tcW w:type="dxa" w:w="2412"/>
          </w:tcPr>
          <w:p>
            <w:r>
              <w:rPr>
                <w:b/>
                <w:sz w:val="19"/>
              </w:rPr>
            </w:r>
            <w:r>
              <w:rPr>
                <w:b/>
                <w:sz w:val="19"/>
              </w:rPr>
              <w:t>Name and published title</w:t>
            </w:r>
          </w:p>
        </w:tc>
        <w:tc>
          <w:tcPr>
            <w:tcW w:type="dxa" w:w="2412"/>
          </w:tcPr>
          <w:p>
            <w:r>
              <w:rPr>
                <w:b/>
                <w:sz w:val="19"/>
              </w:rPr>
            </w:r>
            <w:r>
              <w:rPr>
                <w:b/>
                <w:sz w:val="19"/>
              </w:rPr>
              <w:t>Email</w:t>
            </w:r>
          </w:p>
        </w:tc>
        <w:tc>
          <w:tcPr>
            <w:tcW w:type="dxa" w:w="2412"/>
          </w:tcPr>
          <w:p>
            <w:r>
              <w:rPr>
                <w:b/>
                <w:sz w:val="19"/>
              </w:rPr>
            </w:r>
            <w:r>
              <w:rPr>
                <w:b/>
                <w:sz w:val="19"/>
              </w:rPr>
              <w:t>Address</w:t>
            </w:r>
          </w:p>
        </w:tc>
      </w:tr>
      <w:tr>
        <w:tc>
          <w:tcPr>
            <w:tcW w:type="dxa" w:w="2412"/>
          </w:tcPr>
          <w:p>
            <w:r>
              <w:rPr>
                <w:sz w:val="19"/>
              </w:rPr>
            </w:r>
            <w:r>
              <w:rPr>
                <w:b/>
                <w:sz w:val="19"/>
              </w:rPr>
              <w:t>Addressee</w:t>
            </w:r>
          </w:p>
        </w:tc>
        <w:tc>
          <w:tcPr>
            <w:tcW w:type="dxa" w:w="2412"/>
          </w:tcPr>
          <w:p>
            <w:r>
              <w:rPr>
                <w:sz w:val="19"/>
              </w:rPr>
            </w:r>
            <w:r>
              <w:rPr>
                <w:sz w:val="19"/>
              </w:rPr>
              <w:t>Janet L. Lawson, Director</w:t>
            </w:r>
          </w:p>
        </w:tc>
        <w:tc>
          <w:tcPr>
            <w:tcW w:type="dxa" w:w="2412"/>
          </w:tcPr>
          <w:p>
            <w:r>
              <w:rPr>
                <w:sz w:val="19"/>
              </w:rPr>
            </w:r>
            <w:r>
              <w:rPr>
                <w:b/>
                <w:sz w:val="19"/>
              </w:rPr>
              <w:t>Not published.</w:t>
            </w:r>
            <w:r>
              <w:rPr>
                <w:sz w:val="19"/>
              </w:rPr>
              <w:t xml:space="preserve"> Send to the published policy mailbox </w:t>
            </w:r>
            <w:r>
              <w:rPr>
                <w:b/>
                <w:sz w:val="19"/>
              </w:rPr>
              <w:t>policy@dhrm.virginia.gov</w:t>
            </w:r>
            <w:r>
              <w:rPr>
                <w:sz w:val="19"/>
              </w:rPr>
              <w:t>, addressed to the Director by name</w:t>
            </w:r>
          </w:p>
        </w:tc>
        <w:tc>
          <w:tcPr>
            <w:tcW w:type="dxa" w:w="2412"/>
          </w:tcPr>
          <w:p>
            <w:r>
              <w:rPr>
                <w:sz w:val="19"/>
              </w:rPr>
            </w:r>
            <w:r>
              <w:rPr>
                <w:sz w:val="19"/>
              </w:rPr>
              <w:t>Department of Human Resource Management, 600 East Main Street, 17th Floor, Richmond, VA 23219 · 804-225-2131 · fax 804-371-7401</w:t>
            </w:r>
          </w:p>
        </w:tc>
      </w:tr>
      <w:tr>
        <w:tc>
          <w:tcPr>
            <w:tcW w:type="dxa" w:w="2412"/>
          </w:tcPr>
          <w:p>
            <w:r>
              <w:rPr>
                <w:sz w:val="19"/>
              </w:rPr>
            </w:r>
            <w:r>
              <w:rPr>
                <w:b/>
                <w:sz w:val="19"/>
              </w:rPr>
              <w:t>Copy — items 3 and 8</w:t>
            </w:r>
          </w:p>
        </w:tc>
        <w:tc>
          <w:tcPr>
            <w:tcW w:type="dxa" w:w="2412"/>
          </w:tcPr>
          <w:p>
            <w:r>
              <w:rPr>
                <w:sz w:val="19"/>
              </w:rPr>
            </w:r>
            <w:r>
              <w:rPr>
                <w:sz w:val="19"/>
              </w:rPr>
              <w:t>Stacy Pendleton, Deputy Director (Human Resource Consulting Services — compensation and workforce analytics)</w:t>
            </w:r>
          </w:p>
        </w:tc>
        <w:tc>
          <w:tcPr>
            <w:tcW w:type="dxa" w:w="2412"/>
          </w:tcPr>
          <w:p>
            <w:r>
              <w:rPr>
                <w:sz w:val="19"/>
              </w:rPr>
            </w:r>
            <w:r>
              <w:rPr>
                <w:b/>
                <w:sz w:val="19"/>
              </w:rPr>
              <w:t>compensation@dhrm.virginia.gov</w:t>
            </w:r>
            <w:r>
              <w:rPr>
                <w:sz w:val="19"/>
              </w:rPr>
              <w:t xml:space="preserve"> — the published compensation and workforce mailbox</w:t>
            </w:r>
          </w:p>
        </w:tc>
        <w:tc>
          <w:tcPr>
            <w:tcW w:type="dxa" w:w="2412"/>
          </w:tcPr>
          <w:p>
            <w:r>
              <w:rPr>
                <w:sz w:val="19"/>
              </w:rPr>
            </w:r>
            <w:r>
              <w:rPr>
                <w:sz w:val="19"/>
              </w:rPr>
              <w:t>Same address</w:t>
            </w:r>
          </w:p>
        </w:tc>
      </w:tr>
      <w:tr>
        <w:tc>
          <w:tcPr>
            <w:tcW w:type="dxa" w:w="2412"/>
          </w:tcPr>
          <w:p>
            <w:r>
              <w:rPr>
                <w:sz w:val="19"/>
              </w:rPr>
            </w:r>
            <w:r>
              <w:rPr>
                <w:b/>
                <w:sz w:val="19"/>
              </w:rPr>
              <w:t>Copy — item 11, the health premium</w:t>
            </w:r>
          </w:p>
        </w:tc>
        <w:tc>
          <w:tcPr>
            <w:tcW w:type="dxa" w:w="2412"/>
          </w:tcPr>
          <w:p>
            <w:r>
              <w:rPr>
                <w:sz w:val="19"/>
              </w:rPr>
            </w:r>
            <w:r>
              <w:rPr>
                <w:sz w:val="19"/>
              </w:rPr>
              <w:t>Gary Johnston, Director of Health Benefits Services</w:t>
            </w:r>
          </w:p>
        </w:tc>
        <w:tc>
          <w:tcPr>
            <w:tcW w:type="dxa" w:w="2412"/>
          </w:tcPr>
          <w:p>
            <w:r>
              <w:rPr>
                <w:sz w:val="19"/>
              </w:rPr>
            </w:r>
            <w:r>
              <w:rPr>
                <w:b/>
                <w:sz w:val="19"/>
              </w:rPr>
              <w:t>Not published.</w:t>
            </w:r>
            <w:r>
              <w:rPr>
                <w:sz w:val="19"/>
              </w:rPr>
              <w:t xml:space="preserve"> The Office of Health Benefits mailbox </w:t>
            </w:r>
            <w:r>
              <w:rPr>
                <w:b/>
                <w:sz w:val="19"/>
              </w:rPr>
              <w:t>ohb@dhrm.virginia.gov</w:t>
            </w:r>
            <w:r>
              <w:rPr>
                <w:sz w:val="19"/>
              </w:rPr>
              <w:t xml:space="preserve"> is the published route</w:t>
            </w:r>
          </w:p>
        </w:tc>
        <w:tc>
          <w:tcPr>
            <w:tcW w:type="dxa" w:w="2412"/>
          </w:tcPr>
          <w:p>
            <w:r>
              <w:rPr>
                <w:sz w:val="19"/>
              </w:rPr>
            </w:r>
            <w:r>
              <w:rPr>
                <w:sz w:val="19"/>
              </w:rPr>
              <w:t>Same address</w:t>
            </w:r>
          </w:p>
        </w:tc>
      </w:tr>
    </w:tbl>
    <w:p/>
    <w:p>
      <w:pPr>
        <w:ind w:left="360"/>
      </w:pPr>
      <w:r>
        <w:rPr>
          <w:b/>
          <w:sz w:val="20"/>
        </w:rPr>
        <w:t>Correction to the earlier draft: DHRM's address is not the James Monroe Building.</w:t>
      </w:r>
      <w:r>
        <w:rPr>
          <w:sz w:val="20"/>
        </w:rPr>
        <w:t xml:space="preserve"> We had 101 North 14th Street, 12th Floor. DHRM's own published correspondence address is </w:t>
      </w:r>
      <w:r>
        <w:rPr>
          <w:b/>
          <w:sz w:val="20"/>
        </w:rPr>
        <w:t>600 East Main Street, 17th Floor, Richmond, VA 23219</w:t>
      </w:r>
      <w:r>
        <w:rPr>
          <w:sz w:val="20"/>
        </w:rPr>
        <w:t xml:space="preserve"> (DHRM Contact Us, retrieved 12 October 2026). Both letters are corrected. A hard copy sent to the old address would most likely still arrive, and it would announce that we had not checked.</w:t>
      </w:r>
    </w:p>
    <w:p>
      <w:pPr>
        <w:ind w:left="360"/>
      </w:pPr>
      <w:r>
        <w:rPr>
          <w:b/>
          <w:sz w:val="20"/>
        </w:rPr>
        <w:t>DHRM publishes no individual staff email addresses.</w:t>
      </w:r>
      <w:r>
        <w:rPr>
          <w:sz w:val="20"/>
        </w:rPr>
        <w:t xml:space="preserve"> Its addresses follow firstname.lastname@dhrm.virginia.gov — the FOIA and media contact is published that way — so the Director's address is inferable, and I will not put an inferred address on an outgoing letter. Use the published functional mailboxes above and name the Director in the salutation. One telephone call to 804-225-2131 replaces all of this with a direct address if you want one.</w:t>
      </w:r>
    </w:p>
    <w:p>
      <w:pPr>
        <w:ind w:left="360"/>
      </w:pPr>
      <w:r>
        <w:rPr>
          <w:sz w:val="20"/>
        </w:rPr>
        <w:t xml:space="preserve">All names and titles from the published VRS and DHRM leadership pages and the VRS FOIA page, retrieved 12 October 2026. </w:t>
      </w:r>
      <w:r>
        <w:rPr>
          <w:b/>
          <w:sz w:val="20"/>
        </w:rPr>
        <w:t>Verify each one by telephone on the day of sending.</w:t>
      </w:r>
      <w:r>
        <w:rPr>
          <w:sz w:val="20"/>
        </w:rPr>
        <w:t xml:space="preserve"> Leadership pages go stale, and a letter to a predecessor reads as carelessness about exactly the kind of detail we are asking VRS to be careful about.</w:t>
      </w:r>
    </w:p>
    <w:p>
      <w:pPr>
        <w:pStyle w:val="Heading2"/>
      </w:pPr>
      <w:r>
        <w:t>1.3 Signature — decided 12 October 2026</w:t>
      </w:r>
    </w:p>
    <w:p>
      <w:r>
        <w:rPr>
          <w:b/>
        </w:rPr>
        <w:t>Decided: both letters go out over Moody's own signature, as the author of the proposal, with no organisation named.</w:t>
      </w:r>
      <w:r>
        <w:t xml:space="preserve"> This was the recommendation and it is now the instruction. The reasons are recorded here because they govern how the letters are written, not only how they are signed:</w:t>
      </w:r>
    </w:p>
    <w:p>
      <w:pPr>
        <w:pStyle w:val="ListNumber"/>
      </w:pPr>
      <w:r>
        <w:rPr>
          <w:b/>
        </w:rPr>
        <w:t>It is accurate.</w:t>
      </w:r>
      <w:r>
        <w:t xml:space="preserve"> The Joint Leadership Council has not adopted this proposal. Signing as, or implying, a JLC initiative before the JLC has voted would be claiming an endorsement we do not have, and it is the one thing that would cost us the JLC.</w:t>
      </w:r>
    </w:p>
    <w:p>
      <w:pPr>
        <w:pStyle w:val="ListNumber"/>
      </w:pPr>
      <w:r>
        <w:rPr>
          <w:b/>
        </w:rPr>
        <w:t>It matches what the letters actually say.</w:t>
      </w:r>
      <w:r>
        <w:t xml:space="preserve"> Both are explicit that we are not asking VRS to endorse anything and that only VRS can price the proposal. A letter that modest reads correctly from an individual and oddly from an institution.</w:t>
      </w:r>
    </w:p>
    <w:p>
      <w:pPr>
        <w:pStyle w:val="ListNumber"/>
      </w:pPr>
      <w:r>
        <w:rPr>
          <w:b/>
        </w:rPr>
        <w:t>It keeps the second, stronger approach available.</w:t>
      </w:r>
      <w:r>
        <w:t xml:space="preserve"> VRS responds to a legislator's request differently from a citizen's. If the 20 November date passes without a substantive answer, a patron can ask the same questions with far more force — but only if we have not already spent that card.</w:t>
      </w:r>
    </w:p>
    <w:p>
      <w:r>
        <w:rPr>
          <w:b/>
        </w:rPr>
        <w:t>The alternative was a patron's signature now.</w:t>
      </w:r>
      <w:r>
        <w:t xml:space="preserve"> It is faster and it spends that card. It also makes the counsel question — the one that invites the answer “this mechanism does not work” — a legislator's question. </w:t>
      </w:r>
      <w:r>
        <w:rPr>
          <w:b/>
        </w:rPr>
        <w:t>The first substantive bad news about this design should arrive to us and not to a legislator.</w:t>
      </w:r>
      <w:r>
        <w:t xml:space="preserve"> That is the argument that decided it, and the patron route stays available if 20 November passes without a substantive answer.</w:t>
      </w:r>
    </w:p>
    <w:p>
      <w:r>
        <w:rPr>
          <w:b/>
        </w:rPr>
        <w:t>What the decision requires in practice.</w:t>
      </w:r>
      <w:r>
        <w:t xml:space="preserve"> No letterhead, and nothing that looks like it. No organisation name in the signature block, the return address or the email signature. No implication that the proposal has been introduced, endorsed or scored. Both letters already read in the first person as the proposal's author, so no rewriting was needed — but if the letters are sent from an address that carries an organisation's name in its domain or footer, the decision is undone by the plumbing. Check the email footer before sending.</w:t>
      </w:r>
    </w:p>
    <w:p>
      <w:pPr>
        <w:jc w:val="left"/>
      </w:pPr>
      <w:r>
        <w:rPr>
          <w:color w:val="BBBBBB"/>
        </w:rPr>
        <w:t>______________________________________________________________________________________</w:t>
      </w:r>
    </w:p>
    <w:p>
      <w:pPr>
        <w:pStyle w:val="Heading1"/>
      </w:pPr>
      <w:r>
        <w:t>2. Routing — what goes to whom</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Letter</w:t>
            </w:r>
          </w:p>
        </w:tc>
        <w:tc>
          <w:tcPr>
            <w:tcW w:type="dxa" w:w="2412"/>
          </w:tcPr>
          <w:p>
            <w:r>
              <w:rPr>
                <w:b/>
                <w:sz w:val="19"/>
              </w:rPr>
            </w:r>
            <w:r>
              <w:rPr>
                <w:b/>
                <w:sz w:val="19"/>
              </w:rPr>
              <w:t>Primary addressee</w:t>
            </w:r>
          </w:p>
        </w:tc>
        <w:tc>
          <w:tcPr>
            <w:tcW w:type="dxa" w:w="2412"/>
          </w:tcPr>
          <w:p>
            <w:r>
              <w:rPr>
                <w:b/>
                <w:sz w:val="19"/>
              </w:rPr>
            </w:r>
            <w:r>
              <w:rPr>
                <w:b/>
                <w:sz w:val="19"/>
              </w:rPr>
              <w:t>Copies</w:t>
            </w:r>
          </w:p>
        </w:tc>
        <w:tc>
          <w:tcPr>
            <w:tcW w:type="dxa" w:w="2412"/>
          </w:tcPr>
          <w:p>
            <w:r>
              <w:rPr>
                <w:b/>
                <w:sz w:val="19"/>
              </w:rPr>
            </w:r>
            <w:r>
              <w:rPr>
                <w:b/>
                <w:sz w:val="19"/>
              </w:rPr>
              <w:t>Items</w:t>
            </w:r>
          </w:p>
        </w:tc>
      </w:tr>
      <w:tr>
        <w:tc>
          <w:tcPr>
            <w:tcW w:type="dxa" w:w="2412"/>
          </w:tcPr>
          <w:p>
            <w:r>
              <w:rPr>
                <w:sz w:val="19"/>
              </w:rPr>
            </w:r>
            <w:r>
              <w:rPr>
                <w:sz w:val="19"/>
              </w:rPr>
              <w:t>Data request</w:t>
            </w:r>
          </w:p>
        </w:tc>
        <w:tc>
          <w:tcPr>
            <w:tcW w:type="dxa" w:w="2412"/>
          </w:tcPr>
          <w:p>
            <w:r>
              <w:rPr>
                <w:sz w:val="19"/>
              </w:rPr>
            </w:r>
            <w:r>
              <w:rPr>
                <w:sz w:val="19"/>
              </w:rPr>
              <w:t>Director, VRS</w:t>
            </w:r>
          </w:p>
        </w:tc>
        <w:tc>
          <w:tcPr>
            <w:tcW w:type="dxa" w:w="2412"/>
          </w:tcPr>
          <w:p>
            <w:r>
              <w:rPr>
                <w:sz w:val="19"/>
              </w:rPr>
            </w:r>
            <w:r>
              <w:rPr>
                <w:sz w:val="19"/>
              </w:rPr>
              <w:t>VRS Legislative Liaison; VRS Chief Operating Officer (item 9)</w:t>
            </w:r>
          </w:p>
        </w:tc>
        <w:tc>
          <w:tcPr>
            <w:tcW w:type="dxa" w:w="2412"/>
          </w:tcPr>
          <w:p>
            <w:r>
              <w:rPr>
                <w:sz w:val="19"/>
              </w:rPr>
            </w:r>
            <w:r>
              <w:rPr>
                <w:sz w:val="19"/>
              </w:rPr>
              <w:t>1–10, and 12–13 (new, VaLORS and SPORS)</w:t>
            </w:r>
          </w:p>
        </w:tc>
      </w:tr>
      <w:tr>
        <w:tc>
          <w:tcPr>
            <w:tcW w:type="dxa" w:w="2412"/>
          </w:tcPr>
          <w:p>
            <w:r>
              <w:rPr>
                <w:sz w:val="19"/>
              </w:rPr>
            </w:r>
            <w:r>
              <w:rPr>
                <w:sz w:val="19"/>
              </w:rPr>
              <w:t>Data request — DHRM portion</w:t>
            </w:r>
          </w:p>
        </w:tc>
        <w:tc>
          <w:tcPr>
            <w:tcW w:type="dxa" w:w="2412"/>
          </w:tcPr>
          <w:p>
            <w:r>
              <w:rPr>
                <w:sz w:val="19"/>
              </w:rPr>
            </w:r>
            <w:r>
              <w:rPr>
                <w:sz w:val="19"/>
              </w:rPr>
              <w:t>Director, DHRM</w:t>
            </w:r>
          </w:p>
        </w:tc>
        <w:tc>
          <w:tcPr>
            <w:tcW w:type="dxa" w:w="2412"/>
          </w:tcPr>
          <w:p>
            <w:r>
              <w:rPr>
                <w:sz w:val="19"/>
              </w:rPr>
            </w:r>
            <w:r>
              <w:rPr>
                <w:sz w:val="19"/>
              </w:rPr>
              <w:t>Deputy Director, HR Consulting Services; Health Benefits Services Director</w:t>
            </w:r>
          </w:p>
        </w:tc>
        <w:tc>
          <w:tcPr>
            <w:tcW w:type="dxa" w:w="2412"/>
          </w:tcPr>
          <w:p>
            <w:r>
              <w:rPr>
                <w:sz w:val="19"/>
              </w:rPr>
            </w:r>
            <w:r>
              <w:rPr>
                <w:sz w:val="19"/>
              </w:rPr>
              <w:t>3 (veteran status), 9 (administration), 11 (health premium)</w:t>
            </w:r>
          </w:p>
        </w:tc>
      </w:tr>
      <w:tr>
        <w:tc>
          <w:tcPr>
            <w:tcW w:type="dxa" w:w="2412"/>
          </w:tcPr>
          <w:p>
            <w:r>
              <w:rPr>
                <w:sz w:val="19"/>
              </w:rPr>
            </w:r>
            <w:r>
              <w:rPr>
                <w:sz w:val="19"/>
              </w:rPr>
              <w:t>Counsel question</w:t>
            </w:r>
          </w:p>
        </w:tc>
        <w:tc>
          <w:tcPr>
            <w:tcW w:type="dxa" w:w="2412"/>
          </w:tcPr>
          <w:p>
            <w:r>
              <w:rPr>
                <w:sz w:val="19"/>
              </w:rPr>
            </w:r>
            <w:r>
              <w:rPr>
                <w:sz w:val="19"/>
              </w:rPr>
              <w:t>Director, VRS, with a request to refer to the Office of the Attorney General</w:t>
            </w:r>
          </w:p>
        </w:tc>
        <w:tc>
          <w:tcPr>
            <w:tcW w:type="dxa" w:w="2412"/>
          </w:tcPr>
          <w:p>
            <w:r>
              <w:rPr>
                <w:sz w:val="19"/>
              </w:rPr>
            </w:r>
            <w:r>
              <w:rPr>
                <w:sz w:val="19"/>
              </w:rPr>
              <w:t>VRS Legislative Liaison</w:t>
            </w:r>
          </w:p>
        </w:tc>
        <w:tc>
          <w:tcPr>
            <w:tcW w:type="dxa" w:w="2412"/>
          </w:tcPr>
          <w:p>
            <w:r>
              <w:rPr>
                <w:sz w:val="19"/>
              </w:rPr>
            </w:r>
            <w:r>
              <w:rPr>
                <w:sz w:val="19"/>
              </w:rPr>
              <w:t>All seven questions</w:t>
            </w:r>
          </w:p>
        </w:tc>
      </w:tr>
    </w:tbl>
    <w:p/>
    <w:p>
      <w:r>
        <w:rPr>
          <w:b/>
        </w:rPr>
        <w:t>Send both letters in one envelope to each addressee, with this transmittal on top.</w:t>
      </w:r>
      <w:r>
        <w:t xml:space="preserve"> The board decided on 12 October 2026 that they go together, and the reason holds: item 1 of the data request and question 1 of the counsel letter are the two items that decide whether the design survives. Splitting them invites VRS to answer the easy one.</w:t>
      </w:r>
    </w:p>
    <w:p>
      <w:r>
        <w:t>DHRM receives the data request only. The counsel question is not DHRM's to answer and sending it there would blur who owns what.</w:t>
      </w:r>
    </w:p>
    <w:p>
      <w:pPr>
        <w:jc w:val="left"/>
      </w:pPr>
      <w:r>
        <w:rPr>
          <w:color w:val="BBBBBB"/>
        </w:rPr>
        <w:t>______________________________________________________________________________________</w:t>
      </w:r>
    </w:p>
    <w:p>
      <w:pPr>
        <w:pStyle w:val="Heading1"/>
      </w:pPr>
      <w:r>
        <w:t>3. Two items added to the data request since the board approved it</w:t>
      </w:r>
    </w:p>
    <w:p>
      <w:r>
        <w:t>The board also decided on 12 October 2026 to pre-score a VaLORS amendment before it is offered. That work is in V2-annex-VaLORS-prescore and it turned up two figures we cannot derive, so the data request now carries them as items 12 and 13. They are additive and they do not change anything already approved.</w:t>
      </w:r>
    </w:p>
    <w:p>
      <w:pPr>
        <w:pStyle w:val="ListBullet"/>
      </w:pPr>
      <w:r>
        <w:rPr>
          <w:b/>
        </w:rPr>
        <w:t>Item 12 — veterans among active VaLORS and SPORS members.</w:t>
      </w:r>
      <w:r>
        <w:t xml:space="preserve"> The annex is forced to apply the 6% classified-workforce share to a law-enforcement population, where it is almost certainly too low, and we hold no Virginia figure to replace it with.</w:t>
      </w:r>
    </w:p>
    <w:p>
      <w:pPr>
        <w:pStyle w:val="ListBullet"/>
      </w:pPr>
      <w:r>
        <w:rPr>
          <w:b/>
        </w:rPr>
        <w:t>Item 13 — whether purchased military service can take a VaLORS or SPORS member aged 60 or over to the five-year hazardous-duty threshold.</w:t>
      </w:r>
      <w:r>
        <w:t xml:space="preserve"> VRS requires five years of hazardous-duty-covered service to retire with hazardous-duty benefits, and purchased military service does not count toward the 20-year supplement test. Whether the same exclusion applies to the five-year eligibility test decides whether the VaLORS Bridge pool is 150 or 225.</w:t>
      </w:r>
    </w:p>
    <w:p>
      <w:r>
        <w:t xml:space="preserve">Both items are marked in the request as relating to a plan </w:t>
      </w:r>
      <w:r>
        <w:rPr>
          <w:b/>
        </w:rPr>
        <w:t>expressly excluded</w:t>
      </w:r>
      <w:r>
        <w:t xml:space="preserve"> from the bill, asked for contingency pricing only. That wording matters: we do not want the request read as a signal that we intend to expand the bill.</w:t>
      </w:r>
    </w:p>
    <w:p>
      <w:pPr>
        <w:jc w:val="left"/>
      </w:pPr>
      <w:r>
        <w:rPr>
          <w:color w:val="BBBBBB"/>
        </w:rPr>
        <w:t>______________________________________________________________________________________</w:t>
      </w:r>
    </w:p>
    <w:p>
      <w:pPr>
        <w:pStyle w:val="Heading1"/>
      </w:pPr>
      <w:r>
        <w:t>4. Send status — decided, prepared, not yet transmitted</w:t>
      </w:r>
    </w:p>
    <w:p>
      <w:r>
        <w:rPr>
          <w:b/>
        </w:rPr>
        <w:t>All three open questions are answered.</w:t>
      </w:r>
      <w:r>
        <w:t xml:space="preserve"> Signature: Moody's own, as the proposal's author, no organisation named. Date: this week, with 20 November and 30 November held. Channel: both — email first, hard copy to follow.</w:t>
      </w:r>
    </w:p>
    <w:p>
      <w:r>
        <w:rPr>
          <w:b/>
        </w:rPr>
        <w:t>Both letters are prepared for both channels and neither has been transmitted. I cannot transmit them.</w:t>
      </w:r>
      <w:r>
        <w:t xml:space="preserve"> This session has no outbound mail channel, and these have to leave from a real mailbox under a real signature in any case. Everything that can be done without you is done; what is left is in V2-send-packet, which holds the email text to paste, the attachment list, the hard-copy instructions and the day-of-send checks.</w:t>
      </w:r>
    </w:p>
    <w:p>
      <w:r>
        <w:rPr>
          <w:b/>
          <w:sz w:val="20"/>
        </w:rPr>
        <w:t>Table 4 — what is done and what is left</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r>
              <w:rPr>
                <w:b/>
                <w:sz w:val="19"/>
              </w:rPr>
              <w:t>Step</w:t>
            </w:r>
          </w:p>
        </w:tc>
        <w:tc>
          <w:tcPr>
            <w:tcW w:type="dxa" w:w="4824"/>
          </w:tcPr>
          <w:p>
            <w:r>
              <w:rPr>
                <w:b/>
                <w:sz w:val="19"/>
              </w:rPr>
            </w:r>
            <w:r>
              <w:rPr>
                <w:b/>
                <w:sz w:val="19"/>
              </w:rPr>
              <w:t>Status</w:t>
            </w:r>
          </w:p>
        </w:tc>
      </w:tr>
      <w:tr>
        <w:tc>
          <w:tcPr>
            <w:tcW w:type="dxa" w:w="4824"/>
          </w:tcPr>
          <w:p>
            <w:r>
              <w:rPr>
                <w:sz w:val="19"/>
              </w:rPr>
            </w:r>
            <w:r>
              <w:rPr>
                <w:sz w:val="19"/>
              </w:rPr>
              <w:t>Content of both letters</w:t>
            </w:r>
          </w:p>
        </w:tc>
        <w:tc>
          <w:tcPr>
            <w:tcW w:type="dxa" w:w="4824"/>
          </w:tcPr>
          <w:p>
            <w:r>
              <w:rPr>
                <w:sz w:val="19"/>
              </w:rPr>
            </w:r>
            <w:r>
              <w:rPr>
                <w:b/>
                <w:sz w:val="19"/>
              </w:rPr>
              <w:t>Complete.</w:t>
            </w:r>
            <w:r>
              <w:rPr>
                <w:sz w:val="19"/>
              </w:rPr>
              <w:t xml:space="preserve"> Board-approved 12 October 2026</w:t>
            </w:r>
          </w:p>
        </w:tc>
      </w:tr>
      <w:tr>
        <w:tc>
          <w:tcPr>
            <w:tcW w:type="dxa" w:w="4824"/>
          </w:tcPr>
          <w:p>
            <w:r>
              <w:rPr>
                <w:sz w:val="19"/>
              </w:rPr>
            </w:r>
            <w:r>
              <w:rPr>
                <w:sz w:val="19"/>
              </w:rPr>
              <w:t>Addressees, names, titles, addresses</w:t>
            </w:r>
          </w:p>
        </w:tc>
        <w:tc>
          <w:tcPr>
            <w:tcW w:type="dxa" w:w="4824"/>
          </w:tcPr>
          <w:p>
            <w:r>
              <w:rPr>
                <w:sz w:val="19"/>
              </w:rPr>
            </w:r>
            <w:r>
              <w:rPr>
                <w:b/>
                <w:sz w:val="19"/>
              </w:rPr>
              <w:t>Complete and corrected.</w:t>
            </w:r>
            <w:r>
              <w:rPr>
                <w:sz w:val="19"/>
              </w:rPr>
              <w:t xml:space="preserve"> §1.2. DHRM address was wrong and is fixed</w:t>
            </w:r>
          </w:p>
        </w:tc>
      </w:tr>
      <w:tr>
        <w:tc>
          <w:tcPr>
            <w:tcW w:type="dxa" w:w="4824"/>
          </w:tcPr>
          <w:p>
            <w:r>
              <w:rPr>
                <w:sz w:val="19"/>
              </w:rPr>
            </w:r>
            <w:r>
              <w:rPr>
                <w:sz w:val="19"/>
              </w:rPr>
              <w:t>Email addresses for each addressee</w:t>
            </w:r>
          </w:p>
        </w:tc>
        <w:tc>
          <w:tcPr>
            <w:tcW w:type="dxa" w:w="4824"/>
          </w:tcPr>
          <w:p>
            <w:r>
              <w:rPr>
                <w:sz w:val="19"/>
              </w:rPr>
            </w:r>
            <w:r>
              <w:rPr>
                <w:b/>
                <w:sz w:val="19"/>
              </w:rPr>
              <w:t>Complete</w:t>
            </w:r>
            <w:r>
              <w:rPr>
                <w:sz w:val="19"/>
              </w:rPr>
              <w:t xml:space="preserve"> where published; the two unpublished ones are flagged with a published mailbox to use instead. §1.2</w:t>
            </w:r>
          </w:p>
        </w:tc>
      </w:tr>
      <w:tr>
        <w:tc>
          <w:tcPr>
            <w:tcW w:type="dxa" w:w="4824"/>
          </w:tcPr>
          <w:p>
            <w:r>
              <w:rPr>
                <w:sz w:val="19"/>
              </w:rPr>
            </w:r>
            <w:r>
              <w:rPr>
                <w:sz w:val="19"/>
              </w:rPr>
              <w:t>Signature decision</w:t>
            </w:r>
          </w:p>
        </w:tc>
        <w:tc>
          <w:tcPr>
            <w:tcW w:type="dxa" w:w="4824"/>
          </w:tcPr>
          <w:p>
            <w:r>
              <w:rPr>
                <w:sz w:val="19"/>
              </w:rPr>
            </w:r>
            <w:r>
              <w:rPr>
                <w:b/>
                <w:sz w:val="19"/>
              </w:rPr>
              <w:t>Decided.</w:t>
            </w:r>
            <w:r>
              <w:rPr>
                <w:sz w:val="19"/>
              </w:rPr>
              <w:t xml:space="preserve"> Moody, as author, no organisation named</w:t>
            </w:r>
          </w:p>
        </w:tc>
      </w:tr>
      <w:tr>
        <w:tc>
          <w:tcPr>
            <w:tcW w:type="dxa" w:w="4824"/>
          </w:tcPr>
          <w:p>
            <w:r>
              <w:rPr>
                <w:sz w:val="19"/>
              </w:rPr>
            </w:r>
            <w:r>
              <w:rPr>
                <w:sz w:val="19"/>
              </w:rPr>
              <w:t>Signature block applied to both letters</w:t>
            </w:r>
          </w:p>
        </w:tc>
        <w:tc>
          <w:tcPr>
            <w:tcW w:type="dxa" w:w="4824"/>
          </w:tcPr>
          <w:p>
            <w:r>
              <w:rPr>
                <w:sz w:val="19"/>
              </w:rPr>
            </w:r>
            <w:r>
              <w:rPr>
                <w:b/>
                <w:sz w:val="19"/>
              </w:rPr>
              <w:t>Complete.</w:t>
            </w:r>
            <w:r>
              <w:rPr>
                <w:sz w:val="19"/>
              </w:rPr>
              <w:t xml:space="preserve"> Name, return address, email and telephone supplied 12 October 2026 and applied. Nothing is left bracketed</w:t>
            </w:r>
          </w:p>
        </w:tc>
      </w:tr>
      <w:tr>
        <w:tc>
          <w:tcPr>
            <w:tcW w:type="dxa" w:w="4824"/>
          </w:tcPr>
          <w:p>
            <w:r>
              <w:rPr>
                <w:sz w:val="19"/>
              </w:rPr>
            </w:r>
            <w:r>
              <w:rPr>
                <w:sz w:val="19"/>
              </w:rPr>
              <w:t>Date line</w:t>
            </w:r>
          </w:p>
        </w:tc>
        <w:tc>
          <w:tcPr>
            <w:tcW w:type="dxa" w:w="4824"/>
          </w:tcPr>
          <w:p>
            <w:r>
              <w:rPr>
                <w:sz w:val="19"/>
              </w:rPr>
            </w:r>
            <w:r>
              <w:rPr>
                <w:b/>
                <w:sz w:val="19"/>
              </w:rPr>
              <w:t>Applied as 13 October 2026.</w:t>
            </w:r>
            <w:r>
              <w:rPr>
                <w:sz w:val="19"/>
              </w:rPr>
              <w:t xml:space="preserve"> Change it to the actual send day; nothing else moves</w:t>
            </w:r>
          </w:p>
        </w:tc>
      </w:tr>
      <w:tr>
        <w:tc>
          <w:tcPr>
            <w:tcW w:type="dxa" w:w="4824"/>
          </w:tcPr>
          <w:p>
            <w:r>
              <w:rPr>
                <w:sz w:val="19"/>
              </w:rPr>
            </w:r>
            <w:r>
              <w:rPr>
                <w:sz w:val="19"/>
              </w:rPr>
              <w:t>Email text, attachment list, hard-copy instructions</w:t>
            </w:r>
          </w:p>
        </w:tc>
        <w:tc>
          <w:tcPr>
            <w:tcW w:type="dxa" w:w="4824"/>
          </w:tcPr>
          <w:p>
            <w:r>
              <w:rPr>
                <w:sz w:val="19"/>
              </w:rPr>
            </w:r>
            <w:r>
              <w:rPr>
                <w:b/>
                <w:sz w:val="19"/>
              </w:rPr>
              <w:t>Complete.</w:t>
            </w:r>
            <w:r>
              <w:rPr>
                <w:sz w:val="19"/>
              </w:rPr>
              <w:t xml:space="preserve"> V2-send-packet</w:t>
            </w:r>
          </w:p>
        </w:tc>
      </w:tr>
      <w:tr>
        <w:tc>
          <w:tcPr>
            <w:tcW w:type="dxa" w:w="4824"/>
          </w:tcPr>
          <w:p>
            <w:r>
              <w:rPr>
                <w:sz w:val="19"/>
              </w:rPr>
            </w:r>
            <w:r>
              <w:rPr>
                <w:sz w:val="19"/>
              </w:rPr>
              <w:t>Authorisation to transmit</w:t>
            </w:r>
          </w:p>
        </w:tc>
        <w:tc>
          <w:tcPr>
            <w:tcW w:type="dxa" w:w="4824"/>
          </w:tcPr>
          <w:p>
            <w:r>
              <w:rPr>
                <w:sz w:val="19"/>
              </w:rPr>
            </w:r>
            <w:r>
              <w:rPr>
                <w:b/>
                <w:sz w:val="19"/>
              </w:rPr>
              <w:t>Given</w:t>
            </w:r>
            <w:r>
              <w:rPr>
                <w:sz w:val="19"/>
              </w:rPr>
              <w:t>, 12 October 2026</w:t>
            </w:r>
          </w:p>
        </w:tc>
      </w:tr>
      <w:tr>
        <w:tc>
          <w:tcPr>
            <w:tcW w:type="dxa" w:w="4824"/>
          </w:tcPr>
          <w:p>
            <w:r>
              <w:rPr>
                <w:sz w:val="19"/>
              </w:rPr>
            </w:r>
            <w:r>
              <w:rPr>
                <w:sz w:val="19"/>
              </w:rPr>
              <w:t>Names verified by telephone on the day</w:t>
            </w:r>
          </w:p>
        </w:tc>
        <w:tc>
          <w:tcPr>
            <w:tcW w:type="dxa" w:w="4824"/>
          </w:tcPr>
          <w:p>
            <w:r>
              <w:rPr>
                <w:sz w:val="19"/>
              </w:rPr>
            </w:r>
            <w:r>
              <w:rPr>
                <w:b/>
                <w:sz w:val="19"/>
              </w:rPr>
              <w:t>Not done.</w:t>
            </w:r>
            <w:r>
              <w:rPr>
                <w:sz w:val="19"/>
              </w:rPr>
              <w:t xml:space="preserve"> Two calls, five minutes. Requires you</w:t>
            </w:r>
          </w:p>
        </w:tc>
      </w:tr>
      <w:tr>
        <w:tc>
          <w:tcPr>
            <w:tcW w:type="dxa" w:w="4824"/>
          </w:tcPr>
          <w:p>
            <w:r>
              <w:rPr>
                <w:sz w:val="19"/>
              </w:rPr>
            </w:r>
            <w:r>
              <w:rPr>
                <w:sz w:val="19"/>
              </w:rPr>
              <w:t>Letters signed and sent</w:t>
            </w:r>
          </w:p>
        </w:tc>
        <w:tc>
          <w:tcPr>
            <w:tcW w:type="dxa" w:w="4824"/>
          </w:tcPr>
          <w:p>
            <w:r>
              <w:rPr>
                <w:sz w:val="19"/>
              </w:rPr>
            </w:r>
            <w:r>
              <w:rPr>
                <w:b/>
                <w:sz w:val="19"/>
              </w:rPr>
              <w:t>Not done.</w:t>
            </w:r>
            <w:r>
              <w:rPr>
                <w:sz w:val="19"/>
              </w:rPr>
              <w:t xml:space="preserve"> Requires you</w:t>
            </w:r>
          </w:p>
        </w:tc>
      </w:tr>
      <w:tr>
        <w:tc>
          <w:tcPr>
            <w:tcW w:type="dxa" w:w="4824"/>
          </w:tcPr>
          <w:p>
            <w:r>
              <w:rPr>
                <w:sz w:val="19"/>
              </w:rPr>
            </w:r>
            <w:r>
              <w:rPr>
                <w:sz w:val="19"/>
              </w:rPr>
              <w:t>Response logged and our estimates retired</w:t>
            </w:r>
          </w:p>
        </w:tc>
        <w:tc>
          <w:tcPr>
            <w:tcW w:type="dxa" w:w="4824"/>
          </w:tcPr>
          <w:p>
            <w:r>
              <w:rPr>
                <w:sz w:val="19"/>
              </w:rPr>
            </w:r>
            <w:r>
              <w:rPr>
                <w:sz w:val="19"/>
              </w:rPr>
              <w:t>Pending. Requested by 20 November 2026</w:t>
            </w:r>
          </w:p>
        </w:tc>
      </w:tr>
    </w:tbl>
    <w:p/>
    <w:p>
      <w:pPr>
        <w:pStyle w:val="Heading2"/>
      </w:pPr>
      <w:r>
        <w:t>What I need from you, and it is now a short list</w:t>
      </w:r>
    </w:p>
    <w:p>
      <w:pPr>
        <w:pStyle w:val="ListNumber"/>
      </w:pPr>
      <w:r>
        <w:rPr>
          <w:b/>
        </w:rPr>
        <w:t>Make the two verification calls</w:t>
      </w:r>
      <w:r>
        <w:t xml:space="preserve"> — VRS on 804-771-7373, DHRM on 804-225-2131 — and confirm that Bishop and Lawson are still in post and that Sherman is still the legislative liaison. Leadership pages go stale, and a letter to a predecessor reads as carelessness about exactly the kind of detail we are asking VRS to be careful about.</w:t>
      </w:r>
    </w:p>
    <w:p>
      <w:pPr>
        <w:pStyle w:val="ListNumber"/>
      </w:pPr>
      <w:r>
        <w:rPr>
          <w:b/>
        </w:rPr>
        <w:t>Send them.</w:t>
      </w:r>
      <w:r>
        <w:t xml:space="preserve"> Email bodies are in V2-send-packet §2, ready to paste. Post the hard copies the same day or the next.</w:t>
      </w:r>
    </w:p>
    <w:p>
      <w:r>
        <w:rPr>
          <w:b/>
        </w:rPr>
        <w:t>One timing note that is mine to flag and yours to decide.</w:t>
      </w:r>
      <w:r>
        <w:t xml:space="preserve"> The 20 November response date gives VRS about five and a half weeks, and it asks for figures that have to be computed rather than retrieved. That is tight but defensible, and both letters already say we will narrow the request to items 1, 4 and 5 if that is all that fits. If nothing substantive has arrived by about 10 November, the decision to make then is whether a patron asks the same questions — not whether to extend our own deadline.</w:t>
      </w:r>
    </w:p>
    <w:p>
      <w:pPr>
        <w:jc w:val="left"/>
      </w:pPr>
      <w:r>
        <w:rPr>
          <w:color w:val="BBBBBB"/>
        </w:rPr>
        <w:t>______________________________________________________________________________________</w:t>
      </w:r>
    </w:p>
    <w:p>
      <w:pPr>
        <w:pStyle w:val="Heading1"/>
      </w:pPr>
      <w:r>
        <w:t>5. Enclosures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w:t>
            </w:r>
          </w:p>
        </w:tc>
        <w:tc>
          <w:tcPr>
            <w:tcW w:type="dxa" w:w="2412"/>
          </w:tcPr>
          <w:p>
            <w:r>
              <w:rPr>
                <w:b/>
                <w:sz w:val="19"/>
              </w:rPr>
            </w:r>
            <w:r>
              <w:rPr>
                <w:b/>
                <w:sz w:val="19"/>
              </w:rPr>
              <w:t>Document</w:t>
            </w:r>
          </w:p>
        </w:tc>
        <w:tc>
          <w:tcPr>
            <w:tcW w:type="dxa" w:w="2412"/>
          </w:tcPr>
          <w:p>
            <w:r>
              <w:rPr>
                <w:b/>
                <w:sz w:val="19"/>
              </w:rPr>
            </w:r>
            <w:r>
              <w:rPr>
                <w:b/>
                <w:sz w:val="19"/>
              </w:rPr>
              <w:t>Pages</w:t>
            </w:r>
          </w:p>
        </w:tc>
        <w:tc>
          <w:tcPr>
            <w:tcW w:type="dxa" w:w="2412"/>
          </w:tcPr>
          <w:p>
            <w:r>
              <w:rPr>
                <w:b/>
                <w:sz w:val="19"/>
              </w:rPr>
            </w:r>
            <w:r>
              <w:rPr>
                <w:b/>
                <w:sz w:val="19"/>
              </w:rPr>
              <w:t>State</w:t>
            </w:r>
          </w:p>
        </w:tc>
      </w:tr>
      <w:tr>
        <w:tc>
          <w:tcPr>
            <w:tcW w:type="dxa" w:w="2412"/>
          </w:tcPr>
          <w:p>
            <w:r>
              <w:rPr>
                <w:sz w:val="19"/>
              </w:rPr>
            </w:r>
            <w:r>
              <w:rPr>
                <w:sz w:val="19"/>
              </w:rPr>
              <w:t>1</w:t>
            </w:r>
          </w:p>
        </w:tc>
        <w:tc>
          <w:tcPr>
            <w:tcW w:type="dxa" w:w="2412"/>
          </w:tcPr>
          <w:p>
            <w:r>
              <w:rPr>
                <w:sz w:val="19"/>
              </w:rPr>
            </w:r>
            <w:r>
              <w:rPr>
                <w:b/>
                <w:sz w:val="19"/>
              </w:rPr>
              <w:t>V2-data-request-VRS-DHRM</w:t>
            </w:r>
            <w:r>
              <w:rPr>
                <w:sz w:val="19"/>
              </w:rPr>
              <w:t xml:space="preserve"> — thirteen items, k first</w:t>
            </w:r>
          </w:p>
        </w:tc>
        <w:tc>
          <w:tcPr>
            <w:tcW w:type="dxa" w:w="2412"/>
          </w:tcPr>
          <w:p>
            <w:r>
              <w:rPr>
                <w:sz w:val="19"/>
              </w:rPr>
            </w:r>
            <w:r>
              <w:rPr>
                <w:sz w:val="19"/>
              </w:rPr>
              <w:t>6</w:t>
            </w:r>
          </w:p>
        </w:tc>
        <w:tc>
          <w:tcPr>
            <w:tcW w:type="dxa" w:w="2412"/>
          </w:tcPr>
          <w:p>
            <w:r>
              <w:rPr>
                <w:sz w:val="19"/>
              </w:rPr>
            </w:r>
            <w:r>
              <w:rPr>
                <w:sz w:val="19"/>
              </w:rPr>
              <w:t>Approved, ready to sign</w:t>
            </w:r>
          </w:p>
        </w:tc>
      </w:tr>
      <w:tr>
        <w:tc>
          <w:tcPr>
            <w:tcW w:type="dxa" w:w="2412"/>
          </w:tcPr>
          <w:p>
            <w:r>
              <w:rPr>
                <w:sz w:val="19"/>
              </w:rPr>
            </w:r>
            <w:r>
              <w:rPr>
                <w:sz w:val="19"/>
              </w:rPr>
              <w:t>2</w:t>
            </w:r>
          </w:p>
        </w:tc>
        <w:tc>
          <w:tcPr>
            <w:tcW w:type="dxa" w:w="2412"/>
          </w:tcPr>
          <w:p>
            <w:r>
              <w:rPr>
                <w:sz w:val="19"/>
              </w:rPr>
            </w:r>
            <w:r>
              <w:rPr>
                <w:b/>
                <w:sz w:val="19"/>
              </w:rPr>
              <w:t>V2-counsel-question-trueup</w:t>
            </w:r>
            <w:r>
              <w:rPr>
                <w:sz w:val="19"/>
              </w:rPr>
              <w:t xml:space="preserve"> — seven questions on whether the G5 true-up is collectible</w:t>
            </w:r>
          </w:p>
        </w:tc>
        <w:tc>
          <w:tcPr>
            <w:tcW w:type="dxa" w:w="2412"/>
          </w:tcPr>
          <w:p>
            <w:r>
              <w:rPr>
                <w:sz w:val="19"/>
              </w:rPr>
            </w:r>
            <w:r>
              <w:rPr>
                <w:sz w:val="19"/>
              </w:rPr>
              <w:t>3</w:t>
            </w:r>
          </w:p>
        </w:tc>
        <w:tc>
          <w:tcPr>
            <w:tcW w:type="dxa" w:w="2412"/>
          </w:tcPr>
          <w:p>
            <w:r>
              <w:rPr>
                <w:sz w:val="19"/>
              </w:rPr>
            </w:r>
            <w:r>
              <w:rPr>
                <w:sz w:val="19"/>
              </w:rPr>
              <w:t>Approved, ready to sign</w:t>
            </w:r>
          </w:p>
        </w:tc>
      </w:tr>
      <w:tr>
        <w:tc>
          <w:tcPr>
            <w:tcW w:type="dxa" w:w="2412"/>
          </w:tcPr>
          <w:p>
            <w:r>
              <w:rPr>
                <w:sz w:val="19"/>
              </w:rPr>
            </w:r>
            <w:r>
              <w:rPr>
                <w:sz w:val="19"/>
              </w:rPr>
              <w:t>—</w:t>
            </w:r>
          </w:p>
        </w:tc>
        <w:tc>
          <w:tcPr>
            <w:tcW w:type="dxa" w:w="2412"/>
          </w:tcPr>
          <w:p>
            <w:r>
              <w:rPr>
                <w:sz w:val="19"/>
              </w:rPr>
            </w:r>
            <w:r>
              <w:rPr>
                <w:b/>
                <w:sz w:val="19"/>
              </w:rPr>
              <w:t>V2-send-packet</w:t>
            </w:r>
            <w:r>
              <w:rPr>
                <w:sz w:val="19"/>
              </w:rPr>
              <w:t xml:space="preserve"> — email text to paste, attachment list, hard-copy instructions, day-of-send checks, send record. </w:t>
            </w:r>
            <w:r>
              <w:rPr>
                <w:b/>
                <w:sz w:val="19"/>
              </w:rPr>
              <w:t>Not enclosed with the letters — this is for you.</w:t>
            </w:r>
          </w:p>
        </w:tc>
        <w:tc>
          <w:tcPr>
            <w:tcW w:type="dxa" w:w="2412"/>
          </w:tcPr>
          <w:p>
            <w:r>
              <w:rPr>
                <w:sz w:val="19"/>
              </w:rPr>
            </w:r>
            <w:r>
              <w:rPr>
                <w:sz w:val="19"/>
              </w:rPr>
              <w:t>5</w:t>
            </w:r>
          </w:p>
        </w:tc>
        <w:tc>
          <w:tcPr>
            <w:tcW w:type="dxa" w:w="2412"/>
          </w:tcPr>
          <w:p>
            <w:r>
              <w:rPr>
                <w:sz w:val="19"/>
              </w:rPr>
            </w:r>
            <w:r>
              <w:rPr>
                <w:sz w:val="19"/>
              </w:rPr>
              <w:t>Internal only</w:t>
            </w:r>
          </w:p>
        </w:tc>
      </w:tr>
      <w:tr>
        <w:tc>
          <w:tcPr>
            <w:tcW w:type="dxa" w:w="2412"/>
          </w:tcPr>
          <w:p>
            <w:r>
              <w:rPr>
                <w:sz w:val="19"/>
              </w:rPr>
            </w:r>
            <w:r>
              <w:rPr>
                <w:sz w:val="19"/>
              </w:rPr>
              <w:t>—</w:t>
            </w:r>
          </w:p>
        </w:tc>
        <w:tc>
          <w:tcPr>
            <w:tcW w:type="dxa" w:w="2412"/>
          </w:tcPr>
          <w:p>
            <w:r>
              <w:rPr>
                <w:sz w:val="19"/>
              </w:rPr>
            </w:r>
            <w:r>
              <w:rPr>
                <w:sz w:val="19"/>
              </w:rPr>
              <w:t xml:space="preserve">V2-annex-VaLORS-prescore — reserve pricing. </w:t>
            </w:r>
            <w:r>
              <w:rPr>
                <w:b/>
                <w:sz w:val="19"/>
              </w:rPr>
              <w:t>Not enclosed. Not for circulation.</w:t>
            </w:r>
          </w:p>
        </w:tc>
        <w:tc>
          <w:tcPr>
            <w:tcW w:type="dxa" w:w="2412"/>
          </w:tcPr>
          <w:p>
            <w:r>
              <w:rPr>
                <w:sz w:val="19"/>
              </w:rPr>
            </w:r>
            <w:r>
              <w:rPr>
                <w:sz w:val="19"/>
              </w:rPr>
              <w:t>12</w:t>
            </w:r>
          </w:p>
        </w:tc>
        <w:tc>
          <w:tcPr>
            <w:tcW w:type="dxa" w:w="2412"/>
          </w:tcPr>
          <w:p>
            <w:r>
              <w:rPr>
                <w:sz w:val="19"/>
              </w:rPr>
            </w:r>
            <w:r>
              <w:rPr>
                <w:sz w:val="19"/>
              </w:rPr>
              <w:t>Internal only</w:t>
            </w:r>
          </w:p>
        </w:tc>
      </w:tr>
    </w:tbl>
    <w:p/>
    <w:p>
      <w:pPr>
        <w:ind w:left="360"/>
      </w:pPr>
      <w:r>
        <w:rPr>
          <w:b/>
          <w:sz w:val="20"/>
        </w:rPr>
        <w:t>Nothing but the two letters goes to VRS or DHRM.</w:t>
      </w:r>
      <w:r>
        <w:rPr>
          <w:sz w:val="20"/>
        </w:rPr>
        <w:t xml:space="preserve"> The annex prices an amendment that has not been offered, to a plan the bill expressly excludes. Enclosing it would read as a signal that we intend to expand the bill, which is the opposite of what the exclusion is for. The send packet is an internal instruction sheet and has our own reasoning in it.</w:t>
      </w:r>
    </w:p>
    <w:p>
      <w:r>
        <w:rPr>
          <w:i/>
        </w:rPr>
        <w:t>Sources for every name, title and address in this document: VRS Leadership page; VRS Freedom of Information Act page (Legislative Liaison and Policy Analyst, address, telephone); VRS Annual Comprehensive Financial Report for the fiscal year ended 30 June 2025 (legal counsel, consulting actuary, professional-services schedule); DHRM Our Leadership page; DHRM published correspondence address. All retrieved 12 October 2026.</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