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MOO-217 — the subdivision D 1 extension channel priced, and Edit 4's claimed neutrality tested</w:t>
      </w:r>
    </w:p>
    <w:p>
      <w:r>
        <w:rPr>
          <w:b/>
        </w:rPr>
        <w:t>Fiscal &amp; Impact Modeler · 13 October 2026 · answers [MOO-217](/MOO/issues/MOO-217), the four questions opened on [MOO-215](/MOO/issues/MOO-215)'s F8</w:t>
      </w:r>
    </w:p>
    <w:p>
      <w:pPr>
        <w:ind w:left="504"/>
      </w:pPr>
      <w:r>
        <w:rPr>
          <w:b/>
        </w:rPr>
        <w:t>Internal working draft material. Not a Division of Legislative Services bill. Not reviewed by counsel. Pre-decisional and internal. No figure here is a VRS actuarial result and nothing here is reliable beyond two significant figures (MOO-46 Decision 4). Nothing applied to the store.</w:t>
      </w:r>
    </w:p>
    <w:p>
      <w:pPr>
        <w:pStyle w:val="Heading2"/>
      </w:pPr>
      <w:r>
        <w:t>0. The answer, before anything else</w:t>
      </w:r>
    </w:p>
    <w:p>
      <w:r>
        <w:rPr>
          <w:b/>
        </w:rPr>
        <w:t>The release gate does not clear on a $0, and it does not fail on a material figure. It clears on a named condition, and the condition is not fiscal.</w:t>
      </w:r>
    </w:p>
    <w:p>
      <w:r>
        <w:rPr>
          <w:b/>
        </w:rPr>
        <w:t>Read this paragraph first, because the usual sensitivity sentence does not apply here.</w:t>
      </w:r>
      <w:r>
        <w:t xml:space="preserve"> No fiscal input in this model swings the answer by more than 10% on a 10% move — not the Board no-act rate, not the cohort, not the amount settled. </w:t>
      </w:r>
      <w:r>
        <w:rPr>
          <w:b/>
        </w:rPr>
        <w:t>There is no dominant fiscal assumption and refining any input would be wasted work.</w:t>
      </w:r>
      <w:r>
        <w:t xml:space="preserve"> What controls the answer is five questions, </w:t>
      </w:r>
      <w:r>
        <w:rPr>
          <w:b/>
        </w:rPr>
        <w:t>none of them fiscal</w:t>
      </w:r>
      <w:r>
        <w:t xml:space="preserve"> — two belong to Statutory Researcher, one to Counsel, one is a timing question about the end of the pilot, and one is MOO-49's clause (vi) reading already upstream of MOO-163. They are named in §8.2 and each is a switch, not a dial.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Central estimate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$11,000</w:t>
            </w:r>
            <w:r>
              <w:rPr>
                <w:b/>
              </w:rPr>
              <w:t xml:space="preserve"> over the whole 48-month pilot, at an illustrative 10% Board no-act rate. Range </w:t>
            </w:r>
            <w:r>
              <w:rPr>
                <w:b/>
              </w:rPr>
              <w:t>$610 (low) to $110,000 (high)</w:t>
            </w:r>
            <w:r>
              <w:rPr>
                <w:b/>
              </w:rPr>
              <w:t xml:space="preserve"> at that same rate.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rate the estimate hangs 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Unobtainable, and declared so.</w:t>
            </w:r>
            <w:r>
              <w:t xml:space="preserve"> Swept 0%–50%, never assumed. The answer is reported as a </w:t>
            </w:r>
            <w:r>
              <w:rPr>
                <w:b/>
              </w:rPr>
              <w:t>threshold in that rate</w:t>
            </w:r>
            <w:r>
              <w:t xml:space="preserve">: central materiality at </w:t>
            </w:r>
            <w:r>
              <w:rPr>
                <w:b/>
              </w:rPr>
              <w:t>94%</w:t>
            </w:r>
            <w:r>
              <w:t xml:space="preserve">, high at </w:t>
            </w:r>
            <w:r>
              <w:rPr>
                <w:b/>
              </w:rPr>
              <w:t>8.8%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 it $0?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No. It is not $0 and it is not material.</w:t>
            </w:r>
            <w:r>
              <w:t xml:space="preserve"> The honest fiscal-note line is </w:t>
            </w:r>
            <w:r>
              <w:rPr>
                <w:i/>
              </w:rPr>
              <w:t>"indeterminate, not material, mechanism described."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Q1 — the two missing inputs</w:t>
            </w:r>
          </w:p>
        </w:tc>
        <w:tc>
          <w:tcPr>
            <w:tcW w:type="dxa" w:w="4320"/>
          </w:tcPr>
          <w:p>
            <w:r>
              <w:t xml:space="preserve">Board no-act rate </w:t>
            </w:r>
            <w:r>
              <w:rPr>
                <w:b/>
              </w:rPr>
              <w:t>unobtainable</w:t>
            </w:r>
            <w:r>
              <w:t xml:space="preserve"> (missing denominator). Later-date filing rate </w:t>
            </w:r>
            <w:r>
              <w:rPr>
                <w:b/>
              </w:rPr>
              <w:t>not sourceable, but bounded from text</w:t>
            </w:r>
            <w:r>
              <w:t xml:space="preserve"> at 5%–60%. </w:t>
            </w:r>
            <w:r>
              <w:rPr>
                <w:b/>
              </w:rPr>
              <w:t>A third input neither of us named is also needed</w:t>
            </w:r>
            <w:r>
              <w:t xml:space="preserve"> and it </w:t>
            </w:r>
            <w:r>
              <w:rPr>
                <w:i/>
              </w:rPr>
              <w:t>was</w:t>
            </w:r>
            <w:r>
              <w:t xml:space="preserve"> in the record — MOO-204's.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Q2 — MOO-163 / MOO-170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Both silent.</w:t>
            </w:r>
            <w:r>
              <w:t xml:space="preserve"> MOO-163's $0 neither covers nor excludes it. </w:t>
            </w:r>
            <w:r>
              <w:rPr>
                <w:b/>
              </w:rPr>
              <w:t>MOO-170's analytic ground survives the question you asked and does not reach this channel at all</w:t>
            </w:r>
            <w:r>
              <w:t xml:space="preserve"> — the bound quantifies over </w:t>
            </w:r>
            <w:r>
              <w:rPr>
                <w:i/>
              </w:rPr>
              <w:t>orderings</w:t>
            </w:r>
            <w:r>
              <w:t xml:space="preserve">, and this channel moves </w:t>
            </w:r>
            <w:r>
              <w:rPr>
                <w:i/>
              </w:rPr>
              <w:t>settle versus release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Q3 — Edit 4 fiscally inert?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Property 5 is correct. "Fiscally inert" does not follow from it and is not confirmed.</w:t>
            </w:r>
            <w:r>
              <w:t xml:space="preserve"> Edit 4 is inert on D 1 — and </w:t>
            </w:r>
            <w:r>
              <w:rPr>
                <w:i/>
              </w:rPr>
              <w:t>that is the reason</w:t>
            </w:r>
            <w:r>
              <w:t xml:space="preserve"> it lands inside subdivision G 4 clause (iii), where the money 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Q4 — price the 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$0 on the appropriation line and $0 on the D 2 cap.</w:t>
            </w:r>
            <w:r>
              <w:t xml:space="preserve"> Attaching the extension </w:t>
            </w:r>
            <w:r>
              <w:rPr>
                <w:i/>
              </w:rPr>
              <w:t>substitutes</w:t>
            </w:r>
            <w:r>
              <w:t xml:space="preserve"> for the G 4 route rather than adding to it. One unpriceable term, declared.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structural finding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Your two claims cannot both be true at once.</w:t>
            </w:r>
            <w:r>
              <w:t xml:space="preserve"> One statutory reading flips which instrument carries the exposure; the exposure itself does not move.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 cost / unfunded mandate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$0 local. No unfunded mandate on localities, explicitly.</w:t>
            </w:r>
            <w:r>
              <w:t xml:space="preserve"> Every duty in the channel is the Board's.</w:t>
            </w:r>
          </w:p>
        </w:tc>
      </w:tr>
    </w:tbl>
    <w:p>
      <w:pPr>
        <w:pStyle w:val="Heading3"/>
      </w:pPr>
      <w:r>
        <w:t>One sentence for the Editor, written for them as asked</w:t>
      </w:r>
    </w:p>
    <w:p>
      <w:pPr>
        <w:ind w:left="504"/>
      </w:pPr>
      <w:r>
        <w:rPr>
          <w:i/>
        </w:rPr>
        <w:t xml:space="preserve">The subdivision D 1 extension channel the revision 9 patch opens prices at </w:t>
      </w:r>
      <w:r>
        <w:rPr>
          <w:b/>
        </w:rPr>
        <w:t>$11,000</w:t>
      </w:r>
      <w:r>
        <w:rPr>
          <w:i/>
        </w:rPr>
        <w:t xml:space="preserve"> over the whole 48-month pilot at an illustrative 10% Board no-act rate — a rate that exists in no published series and is therefore swept rather than assumed, with central materiality only at a 94% no-act rate — so the channel is </w:t>
      </w:r>
      <w:r>
        <w:rPr>
          <w:b/>
        </w:rPr>
        <w:t>immaterial at every rate a reader could defend</w:t>
      </w:r>
      <w:r>
        <w:rPr>
          <w:i/>
        </w:rPr>
        <w:t xml:space="preserve">, but it is </w:t>
      </w:r>
      <w:r>
        <w:rPr>
          <w:b/>
        </w:rPr>
        <w:t>not $0 on its merits</w:t>
      </w:r>
      <w:r>
        <w:rPr>
          <w:i/>
        </w:rPr>
        <w:t xml:space="preserve">, because Edit 4's new notice duty is inert on subdivision D 1 exactly as the Policy Director claims and </w:t>
      </w:r>
      <w:r>
        <w:rPr>
          <w:i/>
        </w:rPr>
        <w:t>thereby</w:t>
      </w:r>
      <w:r>
        <w:rPr>
          <w:i/>
        </w:rPr>
        <w:t xml:space="preserve"> lands inside subdivision G 4 clause (iii), where a notice not given converts a released reservation into a settlement the Commonwealth must pay under subsection N, so attaching a D 1 extension to the Edit 4 notice costs nothing on the appropriation line and merely moves that same exposure off Edit 4 and onto the extension.</w:t>
      </w:r>
    </w:p>
    <w:p>
      <w:pPr>
        <w:pStyle w:val="Heading2"/>
      </w:pPr>
      <w:r>
        <w:t>1. The costing question and the horizon</w:t>
      </w:r>
    </w:p>
    <w:p>
      <w:r>
        <w:t xml:space="preserve">Over the 48-month pilot, does the channel through which a member's final qualifying retirement date can move </w:t>
      </w:r>
      <w:r>
        <w:rPr>
          <w:b/>
        </w:rPr>
        <w:t>when the Board does not act</w:t>
      </w:r>
      <w:r>
        <w:t xml:space="preserve"> — the subdivision D 1 lateness extension, and the new Edit 4 notice attaching to the definition's expiry sentence — change the amount the Commonwealth pays to the retirement system under subsection N, or the number of members who receive a certified subsidy rather than subsection B standard-cost rights?</w:t>
      </w:r>
    </w:p>
    <w:p>
      <w:pPr>
        <w:pStyle w:val="ListBullet"/>
      </w:pPr>
      <w:r>
        <w:rPr>
          <w:b/>
        </w:rPr>
        <w:t>Unit of analysis: one member-event.</w:t>
      </w:r>
      <w:r>
        <w:t xml:space="preserve"> One member, one no-act occasion, one outcome on the</w:t>
      </w:r>
    </w:p>
    <w:p>
      <w:r>
        <w:t xml:space="preserve">settle/release line. </w:t>
      </w:r>
      <w:r>
        <w:rPr>
          <w:b/>
        </w:rPr>
        <w:t>Not</w:t>
      </w:r>
      <w:r>
        <w:t xml:space="preserve"> one reservation (MOO-163's unit) and </w:t>
      </w:r>
      <w:r>
        <w:rPr>
          <w:b/>
        </w:rPr>
        <w:t>not</w:t>
      </w:r>
      <w:r>
        <w:t xml:space="preserve"> one queue-ordering date (MOO-170's unit). The change of unit is the whole reason this is a separate issue and it is most of the answer to question 2.</w:t>
      </w:r>
    </w:p>
    <w:p>
      <w:pPr>
        <w:pStyle w:val="ListBullet"/>
      </w:pPr>
      <w:r>
        <w:rPr>
          <w:b/>
        </w:rPr>
        <w:t>Horizon: the 48-month pilot.</w:t>
      </w:r>
      <w:r>
        <w:t xml:space="preserve"> July 1 effective date; FY2028 implementation only; FY2029 first</w:t>
      </w:r>
    </w:p>
    <w:p>
      <w:r>
        <w:t xml:space="preserve">benefit year (MOO-183 §8). These events need an accepted election, credited service credit, a filed request, a no-act, </w:t>
      </w:r>
      <w:r>
        <w:rPr>
          <w:i/>
        </w:rPr>
        <w:t>then</w:t>
      </w:r>
      <w:r>
        <w:t xml:space="preserve"> the passage of a date, so they are </w:t>
      </w:r>
      <w:r>
        <w:rPr>
          <w:b/>
        </w:rPr>
        <w:t>back-loaded to FY2030–FY2033</w:t>
      </w:r>
      <w:r>
        <w:t>.</w:t>
      </w:r>
    </w:p>
    <w:p>
      <w:r>
        <w:rPr>
          <w:b/>
        </w:rPr>
        <w:t>The money chain, because every figure hangs off it.</w:t>
      </w:r>
      <w:r>
        <w:t xml:space="preserve"> Subsection F requires retirement in a qualifying retirement by the final qualifying retirement date. </w:t>
      </w:r>
      <w:r>
        <w:rPr>
          <w:b/>
        </w:rPr>
        <w:t>G 1</w:t>
      </w:r>
      <w:r>
        <w:t xml:space="preserve">: she does → subsidy </w:t>
      </w:r>
      <w:r>
        <w:rPr>
          <w:b/>
        </w:rPr>
        <w:t>settled</w:t>
      </w:r>
      <w:r>
        <w:t xml:space="preserve">, credit vests at the subsidised cost. </w:t>
      </w:r>
      <w:r>
        <w:rPr>
          <w:b/>
        </w:rPr>
        <w:t>G 2</w:t>
      </w:r>
      <w:r>
        <w:t xml:space="preserve">: she does not → credit </w:t>
      </w:r>
      <w:r>
        <w:rPr>
          <w:b/>
        </w:rPr>
        <w:t>reduced</w:t>
      </w:r>
      <w:r>
        <w:t xml:space="preserve"> to standard-cost equivalent, excess </w:t>
      </w:r>
      <w:r>
        <w:rPr>
          <w:b/>
        </w:rPr>
        <w:t>refunded</w:t>
      </w:r>
      <w:r>
        <w:t xml:space="preserve">, reservation </w:t>
      </w:r>
      <w:r>
        <w:rPr>
          <w:b/>
        </w:rPr>
        <w:t>released</w:t>
      </w:r>
      <w:r>
        <w:t xml:space="preserve">. </w:t>
      </w:r>
      <w:r>
        <w:rPr>
          <w:b/>
        </w:rPr>
        <w:t>G 4</w:t>
      </w:r>
      <w:r>
        <w:t xml:space="preserve">: three exceptions where 2 and 3 do not apply and the credit vests at the subsidised cost anyway — death, disability approval, and </w:t>
      </w:r>
      <w:r>
        <w:rPr>
          <w:i/>
        </w:rPr>
        <w:t>"unable to retire in a qualifying retirement by reason of an error of the Board."</w:t>
      </w:r>
      <w:r>
        <w:t xml:space="preserve"> And </w:t>
      </w:r>
      <w:r>
        <w:rPr>
          <w:b/>
        </w:rPr>
        <w:t>subsection N</w:t>
      </w:r>
      <w:r>
        <w:t xml:space="preserve">: </w:t>
      </w:r>
      <w:r>
        <w:rPr>
          <w:i/>
        </w:rPr>
        <w:t xml:space="preserve">"Upon the settlement of a certified subsidy under subdivision G 1 </w:t>
      </w:r>
      <w:r>
        <w:rPr>
          <w:i/>
        </w:rPr>
        <w:t>or G 4</w:t>
      </w:r>
      <w:r>
        <w:rPr>
          <w:i/>
        </w:rPr>
        <w:t>, the Commonwealth shall pay the amount settled to the retirement system from an appropriation made for that purpose."</w:t>
      </w:r>
    </w:p>
    <w:p>
      <w:r>
        <w:rPr>
          <w:b/>
        </w:rPr>
        <w:t>So a settlement is an appropriation outlay and a release is not.</w:t>
      </w:r>
      <w:r>
        <w:t xml:space="preserve"> That is the line this channel lands on, and it is a different line from the one MOO-163 and MOO-170 priced.</w:t>
      </w:r>
    </w:p>
    <w:p>
      <w:r>
        <w:rPr>
          <w:i/>
        </w:rPr>
        <w:t>(Naming note, because two issues in this project use the label "G 4" for different things: every reference here is to a subdivision of subsection G of the new § 51.1-142.4. MOO-204's "G 4 aggregate, 120 days" is a later proviso in that same subdivision, not clause (iii).)</w:t>
      </w:r>
    </w:p>
    <w:p>
      <w:pPr>
        <w:pStyle w:val="Heading2"/>
      </w:pPr>
      <w:r>
        <w:t>2. Question 1 — the two missing inputs</w:t>
      </w:r>
    </w:p>
    <w:p>
      <w:pPr>
        <w:pStyle w:val="Heading3"/>
      </w:pPr>
      <w:r>
        <w:t>2.1 Confirmed on a wider scan than MOO-215 ran</w:t>
      </w:r>
    </w:p>
    <w:p>
      <w:r>
        <w:t xml:space="preserve">The model walks every </w:t>
      </w:r>
      <w:r>
        <w:rPr>
          <w:rFonts w:ascii="Consolas" w:hAnsi="Consolas"/>
        </w:rPr>
        <w:t>*inputs.py</w:t>
      </w:r>
      <w:r>
        <w:t xml:space="preserve"> in the project and lists the levers by name. </w:t>
      </w:r>
      <w:r>
        <w:rPr>
          <w:b/>
        </w:rPr>
        <w:t>291 levers across seven pre-existing registers. Neither input appears in any of them.</w:t>
      </w:r>
      <w:r>
        <w:t xml:space="preserve"> So </w:t>
      </w:r>
      <w:r>
        <w:rPr>
          <w:i/>
        </w:rPr>
        <w:t>"$0 on this limb"</w:t>
      </w:r>
      <w:r>
        <w:t xml:space="preserve"> was an unpriced assertion, not a counted one, and the finding stands.</w:t>
      </w:r>
    </w:p>
    <w:p>
      <w:pPr>
        <w:pStyle w:val="Heading3"/>
      </w:pPr>
      <w:r>
        <w:t xml:space="preserve">2.2 The Board no-act rate — </w:t>
      </w:r>
      <w:r>
        <w:rPr>
          <w:b/>
        </w:rPr>
        <w:t>unobtainable</w:t>
      </w:r>
      <w:r>
        <w:t>, and the reason is a missing denominator</w:t>
      </w:r>
    </w:p>
    <w:p>
      <w:pPr>
        <w:pStyle w:val="ListBullet"/>
      </w:pPr>
      <w:r>
        <w:t>VRS publishes no on-time-decision rate for § 51.1-142.2 purchase determinations.</w:t>
      </w:r>
    </w:p>
    <w:p>
      <w:pPr>
        <w:pStyle w:val="ListBullet"/>
      </w:pPr>
      <w:r>
        <w:rPr>
          <w:b/>
        </w:rPr>
        <w:t>MOO-71 §3 establishes that no published count of § 51.1-142.2 military purchases exists at all.</w:t>
      </w:r>
    </w:p>
    <w:p>
      <w:r>
        <w:t>A rate needs a denominator and the denominator does not exist. Denominator discipline forbids reporting a rate here.</w:t>
      </w:r>
    </w:p>
    <w:p>
      <w:pPr>
        <w:pStyle w:val="ListBullet"/>
      </w:pPr>
      <w:r>
        <w:rPr>
          <w:b/>
        </w:rPr>
        <w:t>The bill would create the series prospectively</w:t>
      </w:r>
      <w:r>
        <w:t xml:space="preserve"> — subsection J requires the Board to report every</w:t>
      </w:r>
    </w:p>
    <w:p>
      <w:r>
        <w:t>failure to give a notice in time and every D 1 delay. A figure a bill has to commission is a figure nobody collects now.</w:t>
      </w:r>
    </w:p>
    <w:p>
      <w:pPr>
        <w:pStyle w:val="ListBullet"/>
      </w:pPr>
      <w:r>
        <w:t>There is no other-state analogue of the § 51.1-142.4 certified subsidy to scale by population.</w:t>
      </w:r>
    </w:p>
    <w:p>
      <w:r>
        <w:rPr>
          <w:b/>
        </w:rPr>
        <w:t>Declared unobtainable — not guessed, and not defaulted to zero.</w:t>
      </w:r>
      <w:r>
        <w:t xml:space="preserve"> It is swept across 0/1/2/5/10/20/35/50% and </w:t>
      </w:r>
      <w:r>
        <w:rPr>
          <w:b/>
        </w:rPr>
        <w:t>the answer is reported as a threshold in it</w:t>
      </w:r>
      <w:r>
        <w:t xml:space="preserve"> (§7.2), so no figure in this deliverable is conditioned on a rate I cannot source. You said an express </w:t>
      </w:r>
      <w:r>
        <w:rPr>
          <w:i/>
        </w:rPr>
        <w:t>"cannot be screened on existing inputs"</w:t>
      </w:r>
      <w:r>
        <w:t xml:space="preserve"> was a usable answer; this is the stronger version of it — it </w:t>
      </w:r>
      <w:r>
        <w:rPr>
          <w:i/>
        </w:rPr>
        <w:t>can</w:t>
      </w:r>
      <w:r>
        <w:t xml:space="preserve"> be screened, as a threshold, without the rate.</w:t>
      </w:r>
    </w:p>
    <w:p>
      <w:pPr>
        <w:pStyle w:val="Heading3"/>
      </w:pPr>
      <w:r>
        <w:t xml:space="preserve">2.3 The later-date filing rate — not sourceable, but </w:t>
      </w:r>
      <w:r>
        <w:rPr>
          <w:b/>
        </w:rPr>
        <w:t>bounded from text</w:t>
      </w:r>
    </w:p>
    <w:p>
      <w:r>
        <w:t xml:space="preserve">Bounded above by 1.00, which is what MOO-215 used and which they said over-counts. The definition narrows it on three grounds: the ground for relief is confined to a </w:t>
      </w:r>
      <w:r>
        <w:rPr>
          <w:i/>
        </w:rPr>
        <w:t>"cause not attributable to the member"</w:t>
      </w:r>
      <w:r>
        <w:t xml:space="preserve">, so a member without one has nothing to ask for; the relief is confined to </w:t>
      </w:r>
      <w:r>
        <w:rPr>
          <w:b/>
        </w:rPr>
        <w:t>not more than three months</w:t>
      </w:r>
      <w:r>
        <w:t xml:space="preserve"> and to the first day of a month; and the Board </w:t>
      </w:r>
      <w:r>
        <w:rPr>
          <w:i/>
        </w:rPr>
        <w:t xml:space="preserve">"shall approve a later date </w:t>
      </w:r>
      <w:r>
        <w:rPr>
          <w:i/>
        </w:rPr>
        <w:t>on its own initiative</w:t>
      </w:r>
      <w:r>
        <w:rPr>
          <w:i/>
        </w:rPr>
        <w:t xml:space="preserve"> or upon the written request of the member"</w:t>
      </w:r>
      <w:r>
        <w:t>, which removes the need to file in exactly the cases most likely to have a qualifying cause. Against that, filing is costless, may be made at any time before the date, and D 1 obliges the Board to advertise the mechanism.</w:t>
      </w:r>
    </w:p>
    <w:p>
      <w:r>
        <w:rPr>
          <w:b/>
        </w:rPr>
        <w:t>Carried as analyst judgment, 20% central, band 5%–60%.</w:t>
      </w:r>
      <w:r>
        <w:t xml:space="preserve"> I would not defend 1.00 as a central case and I would not defend 0.</w:t>
      </w:r>
    </w:p>
    <w:p>
      <w:pPr>
        <w:pStyle w:val="Heading3"/>
      </w:pPr>
      <w:r>
        <w:t>2.4 A third input the question did not name — and it was already in the record</w:t>
      </w:r>
    </w:p>
    <w:p>
      <w:r>
        <w:rPr>
          <w:b/>
        </w:rPr>
        <w:t>Exposure is not harm.</w:t>
      </w:r>
      <w:r>
        <w:t xml:space="preserve"> MOO-215 counted members whose date </w:t>
      </w:r>
      <w:r>
        <w:rPr>
          <w:i/>
        </w:rPr>
        <w:t>can</w:t>
      </w:r>
      <w:r>
        <w:t xml:space="preserve"> move; money moves only where her date actually passes without a qualifying retirement. That conversion needs a </w:t>
      </w:r>
      <w:r>
        <w:rPr>
          <w:b/>
        </w:rPr>
        <w:t>harm realisation rate</w:t>
      </w:r>
      <w:r>
        <w:t xml:space="preserve">, which MOO-215 implicitly set to 1.00. 1.00 over-counts for a textual reason: </w:t>
      </w:r>
      <w:r>
        <w:rPr>
          <w:b/>
        </w:rPr>
        <w:t>the expiry sentence is protective.</w:t>
      </w:r>
      <w:r>
        <w:t xml:space="preserve"> It sets her date to the first day of the second month after the period expired and applies </w:t>
      </w:r>
      <w:r>
        <w:rPr>
          <w:i/>
        </w:rPr>
        <w:t>only</w:t>
      </w:r>
      <w:r>
        <w:t xml:space="preserve"> where the date that would otherwise apply is earlier. A no-act hands her at least a further month. What it does not hand her, before Edit 4, is </w:t>
      </w:r>
      <w:r>
        <w:rPr>
          <w:b/>
        </w:rPr>
        <w:t>the date</w:t>
      </w:r>
      <w:r>
        <w:t>.</w:t>
      </w:r>
    </w:p>
    <w:p>
      <w:r>
        <w:t xml:space="preserve">Searching for your two inputs turned up a third that already existed. </w:t>
      </w:r>
      <w:r>
        <w:rPr>
          <w:b/>
        </w:rPr>
        <w:t>MOO-204's `NON_QUALIFYING_RETIREMENT_SHARE`</w:t>
      </w:r>
      <w:r>
        <w:t xml:space="preserve"> — 2% / 5% / 15% — is the fraction of </w:t>
      </w:r>
      <w:r>
        <w:rPr>
          <w:i/>
        </w:rPr>
        <w:t>funded</w:t>
      </w:r>
      <w:r>
        <w:t xml:space="preserve"> participants who do not retire qualifying and so reach a G 2 cutback. That is the </w:t>
      </w:r>
      <w:r>
        <w:rPr>
          <w:b/>
        </w:rPr>
        <w:t>unconditional</w:t>
      </w:r>
      <w:r>
        <w:t xml:space="preserve"> rate of the very event this channel turns on, and an unconditional rate is a </w:t>
      </w:r>
      <w:r>
        <w:rPr>
          <w:b/>
        </w:rPr>
        <w:t>floor</w:t>
      </w:r>
      <w:r>
        <w:t xml:space="preserve"> on a conditional one whose condition (the Board's silence) can only make the event more likely. So the harm rate here is </w:t>
      </w:r>
      <w:r>
        <w:rPr>
          <w:b/>
        </w:rPr>
        <w:t>not free-hand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central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t>MOO-204 unconditional non-qualifying-retirement share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</w:tr>
      <w:tr>
        <w:tc>
          <w:tcPr>
            <w:tcW w:type="dxa" w:w="2160"/>
          </w:tcPr>
          <w:p>
            <w:r>
              <w:t xml:space="preserve">× information-failure multiplier — </w:t>
            </w:r>
            <w:r>
              <w:rPr>
                <w:b/>
              </w:rPr>
              <w:t>analyst judgment</w:t>
            </w:r>
            <w:r>
              <w:t>, 2×–8× defensible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3.3</w:t>
            </w:r>
          </w:p>
        </w:tc>
      </w:tr>
      <w:tr>
        <w:tc>
          <w:tcPr>
            <w:tcW w:type="dxa" w:w="2160"/>
          </w:tcPr>
          <w:p>
            <w:r>
              <w:t xml:space="preserve">= </w:t>
            </w:r>
            <w:r>
              <w:rPr>
                <w:b/>
              </w:rPr>
              <w:t>harm realisation rate used 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0.100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0.250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0.495</w:t>
            </w:r>
          </w:p>
        </w:tc>
      </w:tr>
    </w:tbl>
    <w:p>
      <w:r>
        <w:t>The multiplier is the only free parameter, which is deliberate: it gives the reviewer one number to attack rather than a composite.</w:t>
      </w:r>
    </w:p>
    <w:p>
      <w:pPr>
        <w:pStyle w:val="Heading2"/>
      </w:pPr>
      <w:r>
        <w:t>3. Question 2 — are MOO-163's $0 and MOO-170's $204,000 silent, or do they cover it?</w:t>
      </w:r>
    </w:p>
    <w:p>
      <w:pPr>
        <w:pStyle w:val="Heading3"/>
      </w:pPr>
      <w:r>
        <w:t xml:space="preserve">3.1 MOO-163's $0 — </w:t>
      </w:r>
      <w:r>
        <w:rPr>
          <w:b/>
        </w:rPr>
        <w:t>silent</w:t>
      </w:r>
      <w:r>
        <w:t>, on two independent tests</w:t>
      </w:r>
    </w:p>
    <w:p>
      <w:r>
        <w:rPr>
          <w:b/>
        </w:rPr>
        <w:t>Lever test.</w:t>
      </w:r>
      <w:r>
        <w:t xml:space="preserve"> No final-qualifying-retirement-date lever, no notice-lateness lever, no no-act rate. Shown mechanically (§2.1).</w:t>
      </w:r>
    </w:p>
    <w:p>
      <w:r>
        <w:rPr>
          <w:b/>
        </w:rPr>
        <w:t>Unit test, which is the stronger one.</w:t>
      </w:r>
      <w:r>
        <w:t xml:space="preserve"> MOO-163's own stated mechanism is: </w:t>
      </w:r>
      <w:r>
        <w:rPr>
          <w:i/>
        </w:rPr>
        <w:t xml:space="preserve">"The retention endpoint can move money only where queue position decides who is funded. Queue position decides that only where the $3.00M cap </w:t>
      </w:r>
      <w:r>
        <w:rPr>
          <w:i/>
        </w:rPr>
        <w:t>binds</w:t>
      </w:r>
      <w:r>
        <w:rPr>
          <w:i/>
        </w:rPr>
        <w:t>."</w:t>
      </w:r>
      <w:r>
        <w:t xml:space="preserve"> This channel does not touch queue position — it touches whether a reservation already made is </w:t>
      </w:r>
      <w:r>
        <w:rPr>
          <w:b/>
        </w:rPr>
        <w:t>settled or released</w:t>
      </w:r>
      <w:r>
        <w:t>, and a settle/release flip moves an appropriation outlay under subsection N whether or not the cap binds.</w:t>
      </w:r>
    </w:p>
    <w:p>
      <w:r>
        <w:rPr>
          <w:b/>
        </w:rPr>
        <w:t>So yes, and put it on the record as you asked: "$0 on this limb" was an unpriced assertion rather than a counted one.</w:t>
      </w:r>
    </w:p>
    <w:p>
      <w:pPr>
        <w:pStyle w:val="Heading3"/>
      </w:pPr>
      <w:r>
        <w:t xml:space="preserve">3.2 MOO-170's bound — </w:t>
      </w:r>
      <w:r>
        <w:rPr>
          <w:b/>
        </w:rPr>
        <w:t>its ground survives your question, and does not reach this channel</w:t>
      </w:r>
    </w:p>
    <w:p>
      <w:r>
        <w:t xml:space="preserve">You asked whether the bound's ground survives, since </w:t>
      </w:r>
      <w:r>
        <w:rPr>
          <w:i/>
        </w:rPr>
        <w:t>"an unbounded or extended retention is not a longer figure, it is the absence of one."</w:t>
      </w:r>
      <w:r>
        <w:t xml:space="preserve"> </w:t>
      </w:r>
      <w:r>
        <w:rPr>
          <w:b/>
        </w:rPr>
        <w:t>On that question MOO-170 is right and the answer is yes.</w:t>
      </w:r>
      <w:r>
        <w:t xml:space="preserve"> I reconstructed the derivation and it reproduces $204,000 exactly: fill the queue in filing-date order against a fixed $3,000,000; the fill stops when the next application does not fit, so the unreserved residual is strictly under $170,000 × 1.2 = $204,000; two orderings each leave a residual in that interval, so the difference in total </w:t>
      </w:r>
      <w:r>
        <w:rPr>
          <w:b/>
        </w:rPr>
        <w:t>reserved</w:t>
      </w:r>
      <w:r>
        <w:t xml:space="preserve"> is bounded by it. </w:t>
      </w:r>
      <w:r>
        <w:rPr>
          <w:b/>
        </w:rPr>
        <w:t>There is no `k` and no retention length in that derivation.</w:t>
      </w:r>
      <w:r>
        <w:t xml:space="preserve"> A retention of any length yields some ordering date or none, and either way the fill is still a fill of the same fixed pool by some order. The absence of a figure is not a counter-example.</w:t>
      </w:r>
    </w:p>
    <w:p>
      <w:r>
        <w:rPr>
          <w:b/>
        </w:rPr>
        <w:t>But the bound does not transfer here, and the reason is the quantifier, not the length.</w:t>
      </w:r>
      <w:r>
        <w:t xml:space="preserve"> Read what it quantifies over: </w:t>
      </w:r>
      <w:r>
        <w:rPr>
          <w:b/>
        </w:rPr>
        <w:t>orderings of a fixed set</w:t>
      </w:r>
      <w:r>
        <w:t xml:space="preserve"> against a fixed pool, bounding the amount </w:t>
      </w:r>
      <w:r>
        <w:rPr>
          <w:b/>
        </w:rPr>
        <w:t>reserved</w:t>
      </w:r>
      <w:r>
        <w:t xml:space="preserve">. It holds constant the two things this channel moves — (1) the set is fixed, and this channel does not reorder it but changes whether a member already inside it ends in G 1/G 4 or G 2; and (2) the bounded quantity is reserved, and MOO-163 says in terms </w:t>
      </w:r>
      <w:r>
        <w:rPr>
          <w:i/>
        </w:rPr>
        <w:t xml:space="preserve">"note what the delta </w:t>
      </w:r>
      <w:r>
        <w:rPr>
          <w:i/>
        </w:rPr>
        <w:t>is</w:t>
      </w:r>
      <w:r>
        <w:rPr>
          <w:i/>
        </w:rPr>
        <w:t xml:space="preserve">: it is a change in </w:t>
      </w:r>
      <w:r>
        <w:rPr>
          <w:i/>
        </w:rPr>
        <w:t>lapse</w:t>
      </w:r>
      <w:r>
        <w:rPr>
          <w:i/>
        </w:rPr>
        <w:t>."</w:t>
      </w:r>
      <w:r>
        <w:t xml:space="preserve"> A settle/release flip is not a change in lapse; it is a change in the amount </w:t>
      </w:r>
      <w:r>
        <w:rPr>
          <w:b/>
        </w:rPr>
        <w:t>paid</w:t>
      </w:r>
      <w:r>
        <w:t>.</w:t>
      </w:r>
    </w:p>
    <w:p>
      <w:r>
        <w:rPr>
          <w:b/>
        </w:rPr>
        <w:t>Stated expressly, as asked: the bound's ground survives the retention-length question and does not reach this channel at all.</w:t>
      </w:r>
      <w:r>
        <w:t xml:space="preserve"> The $204,000 is a bound on a different variable.</w:t>
      </w:r>
    </w:p>
    <w:p>
      <w:pPr>
        <w:pStyle w:val="Heading3"/>
      </w:pPr>
      <w:r>
        <w:t>3.3 The correct hard bound, derived the same analytic way</w:t>
      </w:r>
    </w:p>
    <w:p>
      <w:r>
        <w:t xml:space="preserve">Each event converts at most one release into one settlement, and a settlement is bounded by D 2's per-election ceiling. So </w:t>
      </w:r>
      <w:r>
        <w:rPr>
          <w:rFonts w:ascii="Consolas" w:hAnsi="Consolas"/>
        </w:rPr>
        <w:t>0 ≤ exposure ≤ min(N × $170,000, unexpended balance of the cap)</w:t>
      </w:r>
      <w:r>
        <w:t xml:space="preserve">, and the second term is </w:t>
      </w:r>
      <w:r>
        <w:rPr>
          <w:b/>
        </w:rPr>
        <w:t>$980,000 at the central cohort</w:t>
      </w:r>
      <w:r>
        <w:t>.</w:t>
      </w:r>
    </w:p>
    <w:p>
      <w:r>
        <w:rPr>
          <w:b/>
        </w:rPr>
        <w:t>And the sign is not indeterminate here, which is the second difference from MOO-170.</w:t>
      </w:r>
      <w:r>
        <w:t xml:space="preserve"> This channel runs one way only — toward settlement, toward payment. There is no symmetric branch in which the Board's lateness causes a member to be paid </w:t>
      </w:r>
      <w:r>
        <w:rPr>
          <w:i/>
        </w:rPr>
        <w:t>less</w:t>
      </w:r>
      <w:r>
        <w:t xml:space="preserve">. </w:t>
      </w:r>
      <w:r>
        <w:rPr>
          <w:b/>
        </w:rPr>
        <w:t>So unlike MOO-163's lapse delta it cannot cancel across events and cannot be dismissed as sign-indeterminate noise.</w:t>
      </w:r>
      <w:r>
        <w:t xml:space="preserve"> It is small or it is zero; it is never offsetting.</w:t>
      </w:r>
    </w:p>
    <w:p>
      <w:pPr>
        <w:pStyle w:val="Heading2"/>
      </w:pPr>
      <w:r>
        <w:t>4. Question 3 — is Edit 4 fiscally inert? Tested on my model, not on your reading</w:t>
      </w:r>
    </w:p>
    <w:p>
      <w:r>
        <w:t xml:space="preserve">Three screens, each a verbatim string test on the enacted §1 extract at store revision 72, so each fails loudly if the text moves. </w:t>
      </w:r>
      <w:r>
        <w:rPr>
          <w:b/>
        </w:rPr>
        <w:t>The legal effect of each is Statutory Researcher's; what is mine is the test.</w:t>
      </w:r>
    </w:p>
    <w:p>
      <w:pPr>
        <w:pStyle w:val="Heading3"/>
      </w:pPr>
      <w:r>
        <w:t xml:space="preserve">4.1 Screen 1 — D 1's enumeration. </w:t>
      </w:r>
      <w:r>
        <w:rPr>
          <w:b/>
        </w:rPr>
        <w:t>Property 5 holds.</w:t>
      </w:r>
    </w:p>
    <w:p>
      <w:r>
        <w:t xml:space="preserve">D 1 reaches three notice species, and </w:t>
      </w:r>
      <w:r>
        <w:rPr>
          <w:b/>
        </w:rPr>
        <w:t>none of the three reaches Edit 4's notice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limb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does not reach Edit 4's notice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"that written statement"</w:t>
            </w:r>
          </w:p>
        </w:tc>
        <w:tc>
          <w:tcPr>
            <w:tcW w:type="dxa" w:w="4320"/>
          </w:tcPr>
          <w:p>
            <w:r>
              <w:t>the statement first required by the definition, due 15 days after the Board credits the purchased credit. A different instrument, different trigger.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>"any notice of a later approved date required by that definition"</w:t>
            </w:r>
          </w:p>
        </w:tc>
        <w:tc>
          <w:tcPr>
            <w:tcW w:type="dxa" w:w="4320"/>
          </w:tcPr>
          <w:p>
            <w:r>
              <w:t xml:space="preserve">presupposes an </w:t>
            </w:r>
            <w:r>
              <w:rPr>
                <w:b/>
              </w:rPr>
              <w:t>approval</w:t>
            </w:r>
            <w:r>
              <w:t>. In a no-act case there is none.</w:t>
            </w:r>
          </w:p>
        </w:tc>
      </w:tr>
      <w:tr>
        <w:tc>
          <w:tcPr>
            <w:tcW w:type="dxa" w:w="4320"/>
          </w:tcPr>
          <w:p>
            <w:r>
              <w:rPr>
                <w:i/>
              </w:rPr>
              <w:t xml:space="preserve">"any notice of a date required by that definition upon the Board's </w:t>
            </w:r>
            <w:r>
              <w:rPr>
                <w:i/>
              </w:rPr>
              <w:t>action</w:t>
            </w:r>
            <w:r>
              <w:rPr>
                <w:i/>
              </w:rPr>
              <w:t xml:space="preserve"> upon a request"</w:t>
            </w:r>
          </w:p>
        </w:tc>
        <w:tc>
          <w:tcPr>
            <w:tcW w:type="dxa" w:w="4320"/>
          </w:tcPr>
          <w:p>
            <w:r>
              <w:t xml:space="preserve">presupposes the Board's </w:t>
            </w:r>
            <w:r>
              <w:rPr>
                <w:b/>
              </w:rPr>
              <w:t>action</w:t>
            </w:r>
            <w:r>
              <w:t xml:space="preserve">. Edit 4's notice is required by reason of the Board's </w:t>
            </w:r>
            <w:r>
              <w:rPr>
                <w:b/>
              </w:rPr>
              <w:t>not</w:t>
            </w:r>
            <w:r>
              <w:t xml:space="preserve"> acting.</w:t>
            </w:r>
          </w:p>
        </w:tc>
      </w:tr>
    </w:tbl>
    <w:p>
      <w:r>
        <w:rPr>
          <w:b/>
        </w:rPr>
        <w:t>0 of 3 limbs. Property 5 is confirmed on the test, not merely on the reading.</w:t>
      </w:r>
    </w:p>
    <w:p>
      <w:pPr>
        <w:pStyle w:val="Heading3"/>
      </w:pPr>
      <w:r>
        <w:t xml:space="preserve">4.2 Screen 2 — and it is </w:t>
      </w:r>
      <w:r>
        <w:rPr>
          <w:b/>
        </w:rPr>
        <w:t>164-5-independent</w:t>
      </w:r>
      <w:r>
        <w:t>, as F12 says</w:t>
      </w:r>
    </w:p>
    <w:p>
      <w:r>
        <w:t xml:space="preserve">Pre-164-5: </w:t>
      </w:r>
      <w:r>
        <w:rPr>
          <w:i/>
        </w:rPr>
        <w:t>"</w:t>
      </w:r>
      <w:r>
        <w:rPr>
          <w:i/>
        </w:rPr>
        <w:t>upon</w:t>
      </w:r>
      <w:r>
        <w:rPr>
          <w:i/>
        </w:rPr>
        <w:t xml:space="preserve"> the Board's </w:t>
      </w:r>
      <w:r>
        <w:rPr>
          <w:i/>
        </w:rPr>
        <w:t>action</w:t>
      </w:r>
      <w:r>
        <w:rPr>
          <w:i/>
        </w:rPr>
        <w:t xml:space="preserve"> upon a request."</w:t>
      </w:r>
      <w:r>
        <w:t xml:space="preserve"> Post-164-5: </w:t>
      </w:r>
      <w:r>
        <w:rPr>
          <w:i/>
        </w:rPr>
        <w:t>"</w:t>
      </w:r>
      <w:r>
        <w:rPr>
          <w:i/>
        </w:rPr>
        <w:t>by reason of</w:t>
      </w:r>
      <w:r>
        <w:rPr>
          <w:i/>
        </w:rPr>
        <w:t xml:space="preserve"> the Board's </w:t>
      </w:r>
      <w:r>
        <w:rPr>
          <w:i/>
        </w:rPr>
        <w:t>action</w:t>
      </w:r>
      <w:r>
        <w:rPr>
          <w:i/>
        </w:rPr>
        <w:t xml:space="preserve"> upon a request."</w:t>
      </w:r>
      <w:r>
        <w:t xml:space="preserve"> The operative word in both is </w:t>
      </w:r>
      <w:r>
        <w:rPr>
          <w:b/>
        </w:rPr>
        <w:t>action</w:t>
      </w:r>
      <w:r>
        <w:t xml:space="preserve">, and a re-cut of the connective does not reach the noun it connects to. </w:t>
      </w:r>
      <w:r>
        <w:rPr>
          <w:b/>
        </w:rPr>
        <w:t>Nothing in this deliverable is conditioned on 164-5.</w:t>
      </w:r>
    </w:p>
    <w:p>
      <w:pPr>
        <w:pStyle w:val="Heading3"/>
      </w:pPr>
      <w:r>
        <w:t xml:space="preserve">4.3 Screen 3 — </w:t>
      </w:r>
      <w:r>
        <w:rPr>
          <w:b/>
        </w:rPr>
        <w:t>and this is where the claim stops holding.</w:t>
      </w:r>
      <w:r>
        <w:t xml:space="preserve"> Subdivision G 4 clause (iii)</w:t>
      </w:r>
    </w:p>
    <w:p>
      <w:r>
        <w:t xml:space="preserve">Clause (iii) deems Board error where </w:t>
      </w:r>
      <w:r>
        <w:rPr>
          <w:i/>
        </w:rPr>
        <w:t xml:space="preserve">"a member whose final qualifying retirement date passes at a time when the Board has </w:t>
      </w:r>
      <w:r>
        <w:rPr>
          <w:i/>
        </w:rPr>
        <w:t>not given such a statement or notice</w:t>
      </w:r>
      <w:r>
        <w:rPr>
          <w:i/>
        </w:rPr>
        <w:t xml:space="preserve"> and the time allowed by that definition for giving it has expired."</w:t>
      </w:r>
      <w:r>
        <w:t xml:space="preserve"> Element by element against Edit 4's notice: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Edit 4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i/>
              </w:rPr>
              <w:t>"a statement or notice of the member's final qualifying retirement date"</w:t>
            </w:r>
          </w:p>
        </w:tc>
        <w:tc>
          <w:tcPr>
            <w:tcW w:type="dxa" w:w="2880"/>
          </w:tcPr>
          <w:p>
            <w:r>
              <w:rPr>
                <w:i/>
              </w:rPr>
              <w:t xml:space="preserve">"written notice of </w:t>
            </w:r>
            <w:r>
              <w:rPr>
                <w:i/>
              </w:rPr>
              <w:t>that date</w:t>
            </w:r>
            <w:r>
              <w:rPr>
                <w:i/>
              </w:rPr>
              <w:t>"</w:t>
            </w:r>
            <w:r>
              <w:t>, and that date is her FQRD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satisfied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"required by that definition"</w:t>
            </w:r>
          </w:p>
        </w:tc>
        <w:tc>
          <w:tcPr>
            <w:tcW w:type="dxa" w:w="2880"/>
          </w:tcPr>
          <w:p>
            <w:r>
              <w:t xml:space="preserve">inserted </w:t>
            </w:r>
            <w:r>
              <w:rPr>
                <w:b/>
              </w:rPr>
              <w:t>into</w:t>
            </w:r>
            <w:r>
              <w:t xml:space="preserve"> the definition, after the expiry sentence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satisfied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"the time allowed by that definition … has expired"</w:t>
            </w:r>
          </w:p>
        </w:tc>
        <w:tc>
          <w:tcPr>
            <w:tcW w:type="dxa" w:w="2880"/>
          </w:tcPr>
          <w:p>
            <w:r>
              <w:t xml:space="preserve">Edit 4 supplies a time: 15 days after the period expires. </w:t>
            </w:r>
            <w:r>
              <w:rPr>
                <w:b/>
              </w:rPr>
              <w:t>Before Edit 4 there was no such time, because there was no such duty.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satisfied</w:t>
            </w:r>
          </w:p>
        </w:tc>
      </w:tr>
      <w:tr>
        <w:tc>
          <w:tcPr>
            <w:tcW w:type="dxa" w:w="2880"/>
          </w:tcPr>
          <w:p>
            <w:r>
              <w:t xml:space="preserve">the carve-out — </w:t>
            </w:r>
            <w:r>
              <w:rPr>
                <w:i/>
              </w:rPr>
              <w:t>"does not include the notice of the Board's determination upon a request … no later than 30 days after the request is filed"</w:t>
            </w:r>
          </w:p>
        </w:tc>
        <w:tc>
          <w:tcPr>
            <w:tcW w:type="dxa" w:w="2880"/>
          </w:tcPr>
          <w:p>
            <w:r>
              <w:t xml:space="preserve">Edit 4's notice is </w:t>
            </w:r>
            <w:r>
              <w:rPr>
                <w:b/>
              </w:rPr>
              <w:t>not</w:t>
            </w:r>
            <w:r>
              <w:t xml:space="preserve"> that notice: that one is due 30 days after </w:t>
            </w:r>
            <w:r>
              <w:rPr>
                <w:b/>
              </w:rPr>
              <w:t>filing</w:t>
            </w:r>
            <w:r>
              <w:t xml:space="preserve"> and presupposes a determination; Edit 4's is due 15 days after the </w:t>
            </w:r>
            <w:r>
              <w:rPr>
                <w:b/>
              </w:rPr>
              <w:t>period expires</w:t>
            </w:r>
            <w:r>
              <w:t xml:space="preserve"> and presupposes none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carved out</w:t>
            </w:r>
          </w:p>
        </w:tc>
      </w:tr>
    </w:tbl>
    <w:p>
      <w:r>
        <w:rPr>
          <w:b/>
        </w:rPr>
        <w:t>And read the carve-out's own reason:</w:t>
      </w:r>
      <w:r>
        <w:t xml:space="preserve"> </w:t>
      </w:r>
      <w:r>
        <w:rPr>
          <w:i/>
        </w:rPr>
        <w:t xml:space="preserve">"the remedies of the member for a failure of the Board to give that notice are those provided by </w:t>
      </w:r>
      <w:r>
        <w:rPr>
          <w:i/>
        </w:rPr>
        <w:t>subdivision D 1</w:t>
      </w:r>
      <w:r>
        <w:rPr>
          <w:i/>
        </w:rPr>
        <w:t>, by that definition, and by subsection M."</w:t>
      </w:r>
      <w:r>
        <w:t xml:space="preserve"> </w:t>
      </w:r>
      <w:r>
        <w:rPr>
          <w:b/>
        </w:rPr>
        <w:t>The bill carves a notice out of clause (iii) precisely because D 1 already remedies it.</w:t>
      </w:r>
      <w:r>
        <w:t xml:space="preserve"> Property 5 establishes that D 1 does </w:t>
      </w:r>
      <w:r>
        <w:rPr>
          <w:i/>
        </w:rPr>
        <w:t>not</w:t>
      </w:r>
      <w:r>
        <w:t xml:space="preserve"> remedy Edit 4's notice. </w:t>
      </w:r>
      <w:r>
        <w:rPr>
          <w:b/>
        </w:rPr>
        <w:t>On the carve-out's own logic, that is the reason Edit 4's notice belongs inside clause (iii).</w:t>
      </w:r>
    </w:p>
    <w:p>
      <w:pPr>
        <w:pStyle w:val="Heading3"/>
      </w:pPr>
      <w:r>
        <w:t>4.4 Verdict — two findings, not one</w:t>
      </w:r>
    </w:p>
    <w:p>
      <w:r>
        <w:rPr>
          <w:b/>
        </w:rPr>
        <w:t>(a) Property 5 is correct as written.</w:t>
      </w:r>
      <w:r>
        <w:t xml:space="preserve"> No D 1 extension attaches to Edit 4's notice on either wording. Your textual ground survives the test.</w:t>
      </w:r>
    </w:p>
    <w:p>
      <w:r>
        <w:rPr>
          <w:b/>
        </w:rPr>
        <w:t>(b) "Fiscally inert" does not follow from it, and is not confirmed.</w:t>
      </w:r>
      <w:r>
        <w:t xml:space="preserve"> Edit 4 adds a required notice of a final qualifying retirement date where none was required. Its non-giving triggers clause (iii)'s deeming limb; a clause (iii) case is </w:t>
      </w:r>
      <w:r>
        <w:rPr>
          <w:b/>
        </w:rPr>
        <w:t>settled</w:t>
      </w:r>
      <w:r>
        <w:t xml:space="preserve"> rather than released; and a settlement is paid by the Commonwealth under subsection N. </w:t>
      </w:r>
      <w:r>
        <w:rPr>
          <w:b/>
        </w:rPr>
        <w:t>Edit 4 is inert on the D 1 channel and not inert on the G 4 channel. The claim was tested in the place you pointed at and it is right there — the cost is one subdivision over, and property 5 is the reason it is there.</w:t>
      </w:r>
    </w:p>
    <w:p>
      <w:r>
        <w:rPr>
          <w:b/>
        </w:rPr>
        <w:t>One qualification I will not bury.</w:t>
      </w:r>
      <w:r>
        <w:t xml:space="preserve"> Clause (iii)'s main limb is </w:t>
      </w:r>
      <w:r>
        <w:rPr>
          <w:i/>
        </w:rPr>
        <w:t>"unable to retire in a qualifying retirement by reason of an error of the Board"</w:t>
      </w:r>
      <w:r>
        <w:t xml:space="preserve">, and the deeming sentences are expressed </w:t>
      </w:r>
      <w:r>
        <w:rPr>
          <w:i/>
        </w:rPr>
        <w:t>"for the purposes of clause (iii)."</w:t>
      </w:r>
      <w:r>
        <w:t xml:space="preserve"> Whether they are </w:t>
      </w:r>
      <w:r>
        <w:rPr>
          <w:b/>
        </w:rPr>
        <w:t>inclusive</w:t>
      </w:r>
      <w:r>
        <w:t xml:space="preserve"> or </w:t>
      </w:r>
      <w:r>
        <w:rPr>
          <w:b/>
        </w:rPr>
        <w:t>exhaustive</w:t>
      </w:r>
      <w:r>
        <w:t xml:space="preserve"> is Statutory Researcher's; whether a member in the expiry-sentence class could reach clause (iii) </w:t>
      </w:r>
      <w:r>
        <w:rPr>
          <w:b/>
        </w:rPr>
        <w:t>without</w:t>
      </w:r>
      <w:r>
        <w:t xml:space="preserve"> Edit 4 on the un-deemed limb is Red Team / Counsel Reviewer's. </w:t>
      </w:r>
      <w:r>
        <w:rPr>
          <w:b/>
        </w:rPr>
        <w:t>I do not set that probability and I report the whole 0–1 interval.</w:t>
      </w:r>
    </w:p>
    <w:p>
      <w:pPr>
        <w:pStyle w:val="Heading2"/>
      </w:pPr>
      <w:r>
        <w:t>5. The population, and two corrections to MOO-215's scoping — both adverse</w:t>
      </w:r>
    </w:p>
    <w:p>
      <w:r>
        <w:rPr>
          <w:b/>
        </w:rPr>
        <w:t>5.1 The expiry sentence needs ONE no-act gate, not two.</w:t>
      </w:r>
      <w:r>
        <w:t xml:space="preserve"> MOO-215's class 1 is quadratic because they modelled the M 2 </w:t>
      </w:r>
      <w:r>
        <w:rPr>
          <w:b/>
        </w:rPr>
        <w:t>deemed denial</w:t>
      </w:r>
      <w:r>
        <w:t xml:space="preserve">, which has two independent gates. The sentence Edit 4 attaches to is not that one — </w:t>
      </w:r>
      <w:r>
        <w:rPr>
          <w:i/>
        </w:rPr>
        <w:t>"Where the Board does not act upon a request the filing of which tolled the running of the member's final qualifying retirement date under subsection M within the period this definition allows for acting upon it…"</w:t>
      </w:r>
      <w:r>
        <w:t xml:space="preserve"> </w:t>
      </w:r>
      <w:r>
        <w:rPr>
          <w:b/>
        </w:rPr>
        <w:t>One no-act.</w:t>
      </w:r>
      <w:r>
        <w:t xml:space="preserve"> So </w:t>
      </w:r>
      <w:r>
        <w:rPr>
          <w:b/>
        </w:rPr>
        <w:t>both</w:t>
      </w:r>
      <w:r>
        <w:t xml:space="preserve"> classes are linear here, and MOO-215's class-1 column under-counts the expiry-sentence class by a factor of the no-act rate itself (0.189 vs 0.038 at a 20% rate — five times larger). </w:t>
      </w:r>
      <w:r>
        <w:rPr>
          <w:b/>
        </w:rPr>
        <w:t>Reported because it moves adversely.</w:t>
      </w:r>
    </w:p>
    <w:p>
      <w:r>
        <w:rPr>
          <w:b/>
        </w:rPr>
        <w:t>5.2 But class 1's membership is conditional on MOO-164's 164-4, and I do not assume it.</w:t>
      </w:r>
      <w:r>
        <w:t xml:space="preserve"> The sentence says </w:t>
      </w:r>
      <w:r>
        <w:rPr>
          <w:i/>
        </w:rPr>
        <w:t xml:space="preserve">"within the period </w:t>
      </w:r>
      <w:r>
        <w:rPr>
          <w:i/>
        </w:rPr>
        <w:t>this definition</w:t>
      </w:r>
      <w:r>
        <w:rPr>
          <w:i/>
        </w:rPr>
        <w:t xml:space="preserve"> allows."</w:t>
      </w:r>
      <w:r>
        <w:t xml:space="preserve"> The definition allows </w:t>
      </w:r>
      <w:r>
        <w:rPr>
          <w:b/>
        </w:rPr>
        <w:t>30 days</w:t>
      </w:r>
      <w:r>
        <w:t xml:space="preserve">, on a request under the definition; the </w:t>
      </w:r>
      <w:r>
        <w:rPr>
          <w:b/>
        </w:rPr>
        <w:t>90 days</w:t>
      </w:r>
      <w:r>
        <w:t xml:space="preserve"> for a reconsideration request are allowed by M 2, not by the definition. So pre-164-4 the sentence arguably reaches </w:t>
      </w:r>
      <w:r>
        <w:rPr>
          <w:b/>
        </w:rPr>
        <w:t>class 2 only</w:t>
      </w:r>
      <w:r>
        <w:t xml:space="preserve">; 164-4's re-cut to </w:t>
      </w:r>
      <w:r>
        <w:rPr>
          <w:i/>
        </w:rPr>
        <w:t>"the period allowed by this section"</w:t>
      </w:r>
      <w:r>
        <w:t xml:space="preserve"> would bring class 1 in. </w:t>
      </w:r>
      <w:r>
        <w:rPr>
          <w:b/>
        </w:rPr>
        <w:t>Both are reported, and class 2 — the dominant class — is unconditional on either 164-4 or 164-5.</w:t>
      </w:r>
    </w:p>
    <w:p>
      <w:r>
        <w:rPr>
          <w:b/>
        </w:rPr>
        <w:t>5.3 Exposed versus harmed, central scenario, 48 months, class 1 included.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no-act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exposed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harmed</w:t>
            </w:r>
          </w:p>
        </w:tc>
      </w:tr>
      <w:tr>
        <w:tc>
          <w:tcPr>
            <w:tcW w:type="dxa" w:w="1728"/>
          </w:tcPr>
          <w:p>
            <w:r>
              <w:t>1%</w:t>
            </w:r>
          </w:p>
        </w:tc>
        <w:tc>
          <w:tcPr>
            <w:tcW w:type="dxa" w:w="1728"/>
          </w:tcPr>
          <w:p>
            <w:r>
              <w:t>0.010</w:t>
            </w:r>
          </w:p>
        </w:tc>
        <w:tc>
          <w:tcPr>
            <w:tcW w:type="dxa" w:w="1728"/>
          </w:tcPr>
          <w:p>
            <w:r>
              <w:t>0.036</w:t>
            </w:r>
          </w:p>
        </w:tc>
        <w:tc>
          <w:tcPr>
            <w:tcW w:type="dxa" w:w="1728"/>
          </w:tcPr>
          <w:p>
            <w:r>
              <w:t>0.045</w:t>
            </w:r>
          </w:p>
        </w:tc>
        <w:tc>
          <w:tcPr>
            <w:tcW w:type="dxa" w:w="1728"/>
          </w:tcPr>
          <w:p>
            <w:r>
              <w:t>0.011</w:t>
            </w:r>
          </w:p>
        </w:tc>
      </w:tr>
      <w:tr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0.047</w:t>
            </w:r>
          </w:p>
        </w:tc>
        <w:tc>
          <w:tcPr>
            <w:tcW w:type="dxa" w:w="1728"/>
          </w:tcPr>
          <w:p>
            <w:r>
              <w:t>0.179</w:t>
            </w:r>
          </w:p>
        </w:tc>
        <w:tc>
          <w:tcPr>
            <w:tcW w:type="dxa" w:w="1728"/>
          </w:tcPr>
          <w:p>
            <w:r>
              <w:t>0.227</w:t>
            </w:r>
          </w:p>
        </w:tc>
        <w:tc>
          <w:tcPr>
            <w:tcW w:type="dxa" w:w="1728"/>
          </w:tcPr>
          <w:p>
            <w:r>
              <w:t>0.057</w:t>
            </w:r>
          </w:p>
        </w:tc>
      </w:tr>
      <w:tr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0.095</w:t>
            </w:r>
          </w:p>
        </w:tc>
        <w:tc>
          <w:tcPr>
            <w:tcW w:type="dxa" w:w="1728"/>
          </w:tcPr>
          <w:p>
            <w:r>
              <w:t>0.359</w:t>
            </w:r>
          </w:p>
        </w:tc>
        <w:tc>
          <w:tcPr>
            <w:tcW w:type="dxa" w:w="1728"/>
          </w:tcPr>
          <w:p>
            <w:r>
              <w:t>0.453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0.189</w:t>
            </w:r>
          </w:p>
        </w:tc>
        <w:tc>
          <w:tcPr>
            <w:tcW w:type="dxa" w:w="1728"/>
          </w:tcPr>
          <w:p>
            <w:r>
              <w:t>0.717</w:t>
            </w:r>
          </w:p>
        </w:tc>
        <w:tc>
          <w:tcPr>
            <w:tcW w:type="dxa" w:w="1728"/>
          </w:tcPr>
          <w:p>
            <w:r>
              <w:t>0.906</w:t>
            </w:r>
          </w:p>
        </w:tc>
        <w:tc>
          <w:tcPr>
            <w:tcW w:type="dxa" w:w="1728"/>
          </w:tcPr>
          <w:p>
            <w:r>
              <w:t>0.227</w:t>
            </w:r>
          </w:p>
        </w:tc>
      </w:tr>
      <w:tr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0.473</w:t>
            </w:r>
          </w:p>
        </w:tc>
        <w:tc>
          <w:tcPr>
            <w:tcW w:type="dxa" w:w="1728"/>
          </w:tcPr>
          <w:p>
            <w:r>
              <w:t>1.793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2.266</w:t>
            </w:r>
          </w:p>
        </w:tc>
        <w:tc>
          <w:tcPr>
            <w:tcW w:type="dxa" w:w="1728"/>
          </w:tcPr>
          <w:p>
            <w:r>
              <w:t>0.566</w:t>
            </w:r>
          </w:p>
        </w:tc>
      </w:tr>
    </w:tbl>
    <w:p>
      <w:r>
        <w:rPr>
          <w:b/>
        </w:rPr>
        <w:t>"Exposed" is MOO-215's quantity and it is the one that approaches MOO-170's 2.80 resolution. "Harmed" is the quantity that can move a dollar, and it is an order of magnitude smaller.</w:t>
      </w:r>
      <w:r>
        <w:t xml:space="preserve"> MOO-215 did not over-reach — they said expressly that their class-2 column assumes every funded member files one request. Both corrections are theirs to have flagged.</w:t>
      </w:r>
    </w:p>
    <w:p>
      <w:r>
        <w:rPr>
          <w:b/>
        </w:rPr>
        <w:t>5.4 The per-member day cap, which is what the withdrawn ground was about.</w:t>
      </w:r>
      <w:r>
        <w:t xml:space="preserve"> D 1's excluded aggregate is </w:t>
      </w:r>
      <w:r>
        <w:rPr>
          <w:b/>
        </w:rPr>
        <w:t>365 days per member</w:t>
      </w:r>
      <w:r>
        <w:t xml:space="preserve">. Cohort extension-days are population × per-member days: at a 20% no-act rate, 0.906 members × up to 365 days = up to 331 member-days. </w:t>
      </w:r>
      <w:r>
        <w:rPr>
          <w:b/>
        </w:rPr>
        <w:t>Your withdrawal of that ground is correct and this is the demonstration of it — the cap bounds days per member and the cost driver is a population on the settle/release line.</w:t>
      </w:r>
    </w:p>
    <w:p>
      <w:pPr>
        <w:pStyle w:val="Heading2"/>
      </w:pPr>
      <w:r>
        <w:t>6. Question 4 — the price of attaching a D 1 extension to the Edit 4 notice</w:t>
      </w:r>
    </w:p>
    <w:p>
      <w:pPr>
        <w:pStyle w:val="Heading3"/>
      </w:pPr>
      <w:r>
        <w:t>6.1 The counterfactual, worked on the harmed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without the extension (revision 9 as drafted)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with the extension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no D 1 remedy (§4.1) → she misses a qualifying retirement → </w:t>
            </w:r>
            <w:r>
              <w:rPr>
                <w:b/>
              </w:rPr>
              <w:t>G 4 clause (iii)</w:t>
            </w:r>
            <w:r>
              <w:t xml:space="preserve"> deems Board error → credit vests at the </w:t>
            </w:r>
            <w:r>
              <w:rPr>
                <w:b/>
              </w:rPr>
              <w:t>subsidised</w:t>
            </w:r>
            <w:r>
              <w:t xml:space="preserve"> cost → </w:t>
            </w:r>
            <w:r>
              <w:rPr>
                <w:b/>
              </w:rPr>
              <w:t>settled</w:t>
            </w:r>
          </w:p>
        </w:tc>
        <w:tc>
          <w:tcPr>
            <w:tcW w:type="dxa" w:w="2880"/>
          </w:tcPr>
          <w:p>
            <w:r>
              <w:t xml:space="preserve">her date moves out by the lateness days → she retires </w:t>
            </w:r>
            <w:r>
              <w:rPr>
                <w:b/>
              </w:rPr>
              <w:t>in</w:t>
            </w:r>
            <w:r>
              <w:t xml:space="preserve"> a qualifying retirement → </w:t>
            </w:r>
            <w:r>
              <w:rPr>
                <w:b/>
              </w:rPr>
              <w:t>G 1 settles</w:t>
            </w:r>
          </w:p>
        </w:tc>
      </w:tr>
      <w:tr>
        <w:tc>
          <w:tcPr>
            <w:tcW w:type="dxa" w:w="2880"/>
          </w:tcPr>
          <w:p>
            <w:r>
              <w:t>subsection 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pays the amount settled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pays the amount settled</w:t>
            </w:r>
          </w:p>
        </w:tc>
      </w:tr>
    </w:tbl>
    <w:p>
      <w:r>
        <w:rPr>
          <w:b/>
        </w:rPr>
        <w:t>Both branches end in a settlement paid under subsection N, of the same election.</w:t>
      </w:r>
      <w:r>
        <w:t xml:space="preserve"> On the appropriation line the option is a </w:t>
      </w:r>
      <w:r>
        <w:rPr>
          <w:b/>
        </w:rPr>
        <w:t>substitute</w:t>
      </w:r>
      <w:r>
        <w:t xml:space="preserve"> for the G 4 route, not an addition to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price of the option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on the subsidy and the D 2 cap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$0</w:t>
            </w:r>
          </w:p>
        </w:tc>
      </w:tr>
      <w:tr>
        <w:tc>
          <w:tcPr>
            <w:tcW w:type="dxa" w:w="4320"/>
          </w:tcPr>
          <w:p>
            <w:r>
              <w:t>on the retirement allowance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unobtainable</w:t>
            </w:r>
            <w:r>
              <w:t xml:space="preserve"> — §6.3</w:t>
            </w:r>
          </w:p>
        </w:tc>
      </w:tr>
      <w:tr>
        <w:tc>
          <w:tcPr>
            <w:tcW w:type="dxa" w:w="4320"/>
          </w:tcPr>
          <w:p>
            <w:r>
              <w:t>administrative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small and favourable</w:t>
            </w:r>
            <w:r>
              <w:t xml:space="preserve"> — §6.4</w:t>
            </w:r>
          </w:p>
        </w:tc>
      </w:tr>
    </w:tbl>
    <w:p>
      <w:pPr>
        <w:pStyle w:val="Heading3"/>
      </w:pPr>
      <w:r>
        <w:t>6.2 The corollary, and it is the one that matters for the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if Edit 4's notice is…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cost of </w:t>
            </w:r>
            <w:r>
              <w:rPr>
                <w:b/>
              </w:rPr>
              <w:t>Edit 4 alone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cost of </w:t>
            </w:r>
            <w:r>
              <w:rPr>
                <w:b/>
              </w:rPr>
              <w:t>attaching D 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inside</w:t>
            </w:r>
            <w:r>
              <w:t xml:space="preserve"> G 4 clause (iii) (§4.3)</w:t>
            </w:r>
          </w:p>
        </w:tc>
        <w:tc>
          <w:tcPr>
            <w:tcW w:type="dxa" w:w="2880"/>
          </w:tcPr>
          <w:p>
            <w:r>
              <w:t>N × S × (1 − p_base)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≈$0</w:t>
            </w:r>
            <w:r>
              <w:t>, allowance term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outside</w:t>
            </w:r>
            <w:r>
              <w:t xml:space="preserve"> G 4 clause (iii)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$0</w:t>
            </w:r>
            <w:r>
              <w:t xml:space="preserve"> (information only)</w:t>
            </w:r>
          </w:p>
        </w:tc>
        <w:tc>
          <w:tcPr>
            <w:tcW w:type="dxa" w:w="2880"/>
          </w:tcPr>
          <w:p>
            <w:r>
              <w:t>N × S × conversion</w:t>
            </w:r>
          </w:p>
        </w:tc>
      </w:tr>
    </w:tbl>
    <w:p>
      <w:r>
        <w:rPr>
          <w:b/>
        </w:rPr>
        <w:t>Your two claims — "Edit 4 is fiscally inert" and "attaching a D 1 extension is a policy choice with a price" — are each true in exactly one row, and they are the same row-flip. They cannot both be true at once, and they cannot both be false at once.</w:t>
      </w:r>
      <w:r>
        <w:t xml:space="preserve"> The total exposure of the patch on this line is </w:t>
      </w:r>
      <w:r>
        <w:rPr>
          <w:b/>
        </w:rPr>
        <w:t>N × S either way</w:t>
      </w:r>
      <w:r>
        <w:t xml:space="preserve">. The statutory reading decides </w:t>
      </w:r>
      <w:r>
        <w:rPr>
          <w:i/>
        </w:rPr>
        <w:t>which instrument carries it</w:t>
      </w:r>
      <w:r>
        <w:t xml:space="preserve">, not </w:t>
      </w:r>
      <w:r>
        <w:rPr>
          <w:i/>
        </w:rPr>
        <w:t>whether it exists</w:t>
      </w:r>
      <w:r>
        <w:t xml:space="preserve">. </w:t>
      </w:r>
      <w:r>
        <w:rPr>
          <w:b/>
        </w:rPr>
        <w:t>That is the finding, and it is why "price the option I did not take" could not be answered without also re-testing the option you did.</w:t>
      </w:r>
    </w:p>
    <w:p>
      <w:pPr>
        <w:pStyle w:val="Heading3"/>
      </w:pPr>
      <w:r>
        <w:t>6.3 The one term I cannot price — declared, not estimated</w:t>
      </w:r>
    </w:p>
    <w:p>
      <w:r>
        <w:rPr>
          <w:i/>
        </w:rPr>
        <w:t>"Qualifying retirement"</w:t>
      </w:r>
      <w:r>
        <w:t xml:space="preserve"> is defined as a retirement the allowance for which </w:t>
      </w:r>
      <w:r>
        <w:rPr>
          <w:i/>
        </w:rPr>
        <w:t xml:space="preserve">"is calculated in accordance with subdivision A 1 of § 51.1-155 and </w:t>
      </w:r>
      <w:r>
        <w:rPr>
          <w:i/>
        </w:rPr>
        <w:t>is not reduced</w:t>
      </w:r>
      <w:r>
        <w:rPr>
          <w:i/>
        </w:rPr>
        <w:t xml:space="preserve"> under subdivision A 2 or A 3."</w:t>
      </w:r>
      <w:r>
        <w:t xml:space="preserve"> G 4 clause (iii) vests the service credit; </w:t>
      </w:r>
      <w:r>
        <w:rPr>
          <w:b/>
        </w:rPr>
        <w:t>it does not make her retirement a qualifying one.</w:t>
      </w:r>
      <w:r>
        <w:t xml:space="preserve"> So the extension route may hand the member an </w:t>
      </w:r>
      <w:r>
        <w:rPr>
          <w:b/>
        </w:rPr>
        <w:t>unreduced</w:t>
      </w:r>
      <w:r>
        <w:t xml:space="preserve"> allowance where the G 4 route leaves a reduced one. That differential needs early-retirement reduction factors and an age/service distribution for this cohort. </w:t>
      </w:r>
      <w:r>
        <w:rPr>
          <w:b/>
        </w:rPr>
        <w:t>None exists in this project</w:t>
      </w:r>
      <w:r>
        <w:t>, MOO-71 §3 establishes no published count of these purchases exists at all, and my role bars me from introducing individual-level data to build one.</w:t>
      </w:r>
    </w:p>
    <w:p>
      <w:r>
        <w:rPr>
          <w:b/>
        </w:rPr>
        <w:t>Declared unobtainable. Direction of error: upward on the option.</w:t>
      </w:r>
      <w:r>
        <w:t xml:space="preserve"> Incidence: at most the N harmed members of §5, so bounded by that population and not by the cohort. </w:t>
      </w:r>
      <w:r>
        <w:rPr>
          <w:b/>
        </w:rPr>
        <w:t>This is a data request to VRS, and it is the only one this issue generates.</w:t>
      </w:r>
    </w:p>
    <w:p>
      <w:r>
        <w:rPr>
          <w:i/>
        </w:rPr>
        <w:t>One smaller term in the other direction, flagged and not quantified:</w:t>
      </w:r>
      <w:r>
        <w:t xml:space="preserve"> a G 1 settlement is redetermined and capped at </w:t>
      </w:r>
      <w:r>
        <w:rPr>
          <w:i/>
        </w:rPr>
        <w:t>"the amount so redetermined or the amount last certified and reserved, whichever is less"</w:t>
      </w:r>
      <w:r>
        <w:t xml:space="preserve">, while a G 4 vest carries no such redetermination haircut. </w:t>
      </w:r>
      <w:r>
        <w:rPr>
          <w:b/>
        </w:rPr>
        <w:t>So the extension route may settle slightly less than the G 4 route does</w:t>
      </w:r>
      <w:r>
        <w:t xml:space="preserve"> — favourable to attaching it, magnitude unpriceable without the redetermination formula and an actual-versus-anticipated date distribution.</w:t>
      </w:r>
    </w:p>
    <w:p>
      <w:pPr>
        <w:pStyle w:val="Heading3"/>
      </w:pPr>
      <w:r>
        <w:t xml:space="preserve">6.4 The administrative term, both directions, </w:t>
      </w:r>
      <w:r>
        <w:rPr>
          <w:b/>
        </w:rPr>
        <w:t>no positions modelled</w:t>
      </w:r>
    </w:p>
    <w:p>
      <w:r>
        <w:rPr>
          <w:b/>
        </w:rPr>
        <w:t>New, from Edit 4:</w:t>
      </w:r>
      <w:r>
        <w:t xml:space="preserve"> one notice per no-act event, on a clock that already exists for three other notice species, triggered on the expiry of a period the Board already tracks for subsection J reporting. At §5's volumes this is </w:t>
      </w:r>
      <w:r>
        <w:rPr>
          <w:b/>
        </w:rPr>
        <w:t>single-digit notices over four years</w:t>
      </w:r>
      <w:r>
        <w:t>.</w:t>
      </w:r>
    </w:p>
    <w:p>
      <w:r>
        <w:rPr>
          <w:b/>
        </w:rPr>
        <w:t>Avoided, by attaching the extension:</w:t>
      </w:r>
      <w:r>
        <w:t xml:space="preserve"> the whole G 2 machinery on each converted event — a 60-day determination, a notice no less than 30 days before it takes effect, a credit reduction, refunds to the member and to any state agency — plus the G 4 determination within 60 days with its own 15-day notice.</w:t>
      </w:r>
    </w:p>
    <w:p>
      <w:r>
        <w:rPr>
          <w:b/>
        </w:rPr>
        <w:t>Net: favourable to attaching the extension</w:t>
      </w:r>
      <w:r>
        <w:t xml:space="preserve">, and below the threshold at which a Virginia fiscal note prints a figure rather than </w:t>
      </w:r>
      <w:r>
        <w:rPr>
          <w:i/>
        </w:rPr>
        <w:t>"can be absorbed with existing resources."</w:t>
      </w:r>
      <w:r>
        <w:t xml:space="preserve"> </w:t>
      </w:r>
      <w:r>
        <w:rPr>
          <w:b/>
        </w:rPr>
        <w:t>No position count is modelled</w:t>
      </w:r>
      <w:r>
        <w:t xml:space="preserve"> — a known gap carried from MOO-183 §8, not a finding of this issue. One-time versus ongoing: the notice trigger is a one-time systems change inside the $375,000 one-time nongeneral-fund VRS implementation allowance MOO-183 already carries. </w:t>
      </w:r>
      <w:r>
        <w:rPr>
          <w:b/>
        </w:rPr>
        <w:t>I do not assign it a fiscal year</w:t>
      </w:r>
      <w:r>
        <w:t xml:space="preserve"> — MOO-183's table labels that allowance FY2029 while its §8 says FY2028 carries implementation only, and resolving that label is MOO-183's, not mine to pick.</w:t>
      </w:r>
    </w:p>
    <w:p>
      <w:pPr>
        <w:pStyle w:val="Heading3"/>
      </w:pPr>
      <w:r>
        <w:t>6.5 The per-event figure, S — carried from MOO-163 §2, not re-derived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figure</w:t>
            </w:r>
          </w:p>
        </w:tc>
      </w:tr>
      <w:tr>
        <w:tc>
          <w:tcPr>
            <w:tcW w:type="dxa" w:w="4320"/>
          </w:tcPr>
          <w:p>
            <w:r>
              <w:t xml:space="preserve">corrected authorised ladder </w:t>
            </w:r>
            <w:r>
              <w:rPr>
                <w:i/>
              </w:rPr>
              <w:t>(MOO-163's carried figure)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$94,000</w:t>
            </w:r>
          </w:p>
        </w:tc>
      </w:tr>
      <w:tr>
        <w:tc>
          <w:tcPr>
            <w:tcW w:type="dxa" w:w="4320"/>
          </w:tcPr>
          <w:p>
            <w:r>
              <w:t>MOO-71 stated basis</w:t>
            </w:r>
          </w:p>
        </w:tc>
        <w:tc>
          <w:tcPr>
            <w:tcW w:type="dxa" w:w="4320"/>
          </w:tcPr>
          <w:p>
            <w:r>
              <w:t>$111,000</w:t>
            </w:r>
          </w:p>
        </w:tc>
      </w:tr>
      <w:tr>
        <w:tc>
          <w:tcPr>
            <w:tcW w:type="dxa" w:w="4320"/>
          </w:tcPr>
          <w:p>
            <w:r>
              <w:t xml:space="preserve">MOO-48 Pathway A mean </w:t>
            </w:r>
            <w:r>
              <w:rPr>
                <w:i/>
              </w:rPr>
              <w:t>(independent)</w:t>
            </w:r>
          </w:p>
        </w:tc>
        <w:tc>
          <w:tcPr>
            <w:tcW w:type="dxa" w:w="4320"/>
          </w:tcPr>
          <w:p>
            <w:r>
              <w:t>$110,042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 2 hard ceiling, per election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$170,000</w:t>
            </w:r>
          </w:p>
        </w:tc>
      </w:tr>
    </w:tbl>
    <w:p>
      <w:r>
        <w:rPr>
          <w:b/>
        </w:rPr>
        <w:t>And a direction-of-error reversal worth naming:</w:t>
      </w:r>
      <w:r>
        <w:t xml:space="preserve"> MOO-163 carries $94,000 because a </w:t>
      </w:r>
      <w:r>
        <w:rPr>
          <w:i/>
        </w:rPr>
        <w:t>lower</w:t>
      </w:r>
      <w:r>
        <w:t xml:space="preserve"> mean makes </w:t>
      </w:r>
      <w:r>
        <w:rPr>
          <w:i/>
        </w:rPr>
        <w:t>its</w:t>
      </w:r>
      <w:r>
        <w:t xml:space="preserve"> cap bind later, which is cautious </w:t>
      </w:r>
      <w:r>
        <w:rPr>
          <w:b/>
        </w:rPr>
        <w:t>there</w:t>
      </w:r>
      <w:r>
        <w:t xml:space="preserve">. Here the per-event figure </w:t>
      </w:r>
      <w:r>
        <w:rPr>
          <w:b/>
        </w:rPr>
        <w:t>is</w:t>
      </w:r>
      <w:r>
        <w:t xml:space="preserve"> the cost, so $94,000 is the </w:t>
      </w:r>
      <w:r>
        <w:rPr>
          <w:b/>
        </w:rPr>
        <w:t>optimistic</w:t>
      </w:r>
      <w:r>
        <w:t xml:space="preserve"> end. The scenario table uses $94,000 central and the $111,000 stated basis in the high case, and every line is bounded by $170,000.</w:t>
      </w:r>
    </w:p>
    <w:p>
      <w:pPr>
        <w:pStyle w:val="Heading2"/>
      </w:pPr>
      <w:r>
        <w:t>7. The regime test, the scenario table, and the thresholds</w:t>
      </w:r>
    </w:p>
    <w:p>
      <w:pPr>
        <w:pStyle w:val="Heading3"/>
      </w:pPr>
      <w:r>
        <w:t xml:space="preserve">7.0 A regime test that has to run first, and it </w:t>
      </w:r>
      <w:r>
        <w:rPr>
          <w:b/>
        </w:rPr>
        <w:t>inverts MOO-163's condition</w:t>
      </w:r>
    </w:p>
    <w:p>
      <w:r>
        <w:t xml:space="preserve">A settlement instead of a release is net new appropriation </w:t>
      </w:r>
      <w:r>
        <w:rPr>
          <w:b/>
        </w:rPr>
        <w:t>only where the released money would have funded nobody else</w:t>
      </w:r>
      <w:r>
        <w:t xml:space="preserve"> — that is, where the cap does </w:t>
      </w:r>
      <w:r>
        <w:rPr>
          <w:b/>
        </w:rPr>
        <w:t>not</w:t>
      </w:r>
      <w:r>
        <w:t xml:space="preserve"> bind. Where it </w:t>
      </w:r>
      <w:r>
        <w:rPr>
          <w:b/>
        </w:rPr>
        <w:t>does</w:t>
      </w:r>
      <w:r>
        <w:t xml:space="preserve"> bind, D 5 requires the Board to </w:t>
      </w:r>
      <w:r>
        <w:rPr>
          <w:i/>
        </w:rPr>
        <w:t>"accept the election if and when sufficient amounts become available"</w:t>
      </w:r>
      <w:r>
        <w:t xml:space="preserve">, so the freed room would have funded a wait-listed applicant, the aggregate stays at the cap, and the effect is </w:t>
      </w:r>
      <w:r>
        <w:rPr>
          <w:b/>
        </w:rPr>
        <w:t>displacement of a member rather than a dollar</w:t>
      </w:r>
      <w:r>
        <w:t>.</w:t>
      </w:r>
    </w:p>
    <w:p>
      <w:r>
        <w:rPr>
          <w:b/>
        </w:rPr>
        <w:t>MOO-163's mechanism is live only where the cap binds. This channel's mechanism is live only where it does not. The two issues are active in complementary regimes.</w:t>
      </w:r>
      <w:r>
        <w:t xml:space="preserve"> So MOO-163's $0 was established on precisely the case in which this channel is loudest — </w:t>
      </w:r>
      <w:r>
        <w:rPr>
          <w:b/>
        </w:rPr>
        <w:t>an independent and stronger answer to question 2 than §3 gives.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utilisation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headroom = exposure ceiling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8.97</w:t>
            </w:r>
          </w:p>
        </w:tc>
        <w:tc>
          <w:tcPr>
            <w:tcW w:type="dxa" w:w="1728"/>
          </w:tcPr>
          <w:p>
            <w:r>
              <w:t>33.7%</w:t>
            </w:r>
          </w:p>
        </w:tc>
        <w:tc>
          <w:tcPr>
            <w:tcW w:type="dxa" w:w="1728"/>
          </w:tcPr>
          <w:p>
            <w:r>
              <w:t>does not bind</w:t>
            </w:r>
          </w:p>
        </w:tc>
        <w:tc>
          <w:tcPr>
            <w:tcW w:type="dxa" w:w="1728"/>
          </w:tcPr>
          <w:p>
            <w:r>
              <w:t>$2,000,000</w:t>
            </w:r>
          </w:p>
        </w:tc>
      </w:tr>
      <w:tr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17.93</w:t>
            </w:r>
          </w:p>
        </w:tc>
        <w:tc>
          <w:tcPr>
            <w:tcW w:type="dxa" w:w="1728"/>
          </w:tcPr>
          <w:p>
            <w:r>
              <w:t>67.4%</w:t>
            </w:r>
          </w:p>
        </w:tc>
        <w:tc>
          <w:tcPr>
            <w:tcW w:type="dxa" w:w="1728"/>
          </w:tcPr>
          <w:p>
            <w:r>
              <w:t>does not bind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$980,000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29.89</w:t>
            </w:r>
          </w:p>
        </w:tc>
        <w:tc>
          <w:tcPr>
            <w:tcW w:type="dxa" w:w="1728"/>
          </w:tcPr>
          <w:p>
            <w:r>
              <w:t>112.3%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binds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$0 — displacement only</w:t>
            </w:r>
          </w:p>
        </w:tc>
      </w:tr>
    </w:tbl>
    <w:p>
      <w:r>
        <w:rPr>
          <w:i/>
        </w:rPr>
        <w:t>(The 33.7% / 67.4% / 112.3% reproduce MOO-163's published utilisations; both are asserted as self-tests in the model.)</w:t>
      </w:r>
    </w:p>
    <w:p>
      <w:r>
        <w:rPr>
          <w:b/>
        </w:rPr>
        <w:t>So the high scenario's dollar line is bounded by $0 of headroom and its effect is displacement in members — unless the release would have come too late in the pilot for any wait-listed applicant to use it, in which case the money lapses either way and the settlement is net new outlay.</w:t>
      </w:r>
      <w:r>
        <w:t xml:space="preserve"> §8.3 shows these events are back-loaded to the last two fiscal years, so </w:t>
      </w:r>
      <w:r>
        <w:rPr>
          <w:b/>
        </w:rPr>
        <w:t>that caveat is live and I cannot resolve it. Both branches are reported and I do not pick one.</w:t>
      </w:r>
    </w:p>
    <w:p>
      <w:pPr>
        <w:pStyle w:val="Heading3"/>
      </w:pPr>
      <w:r>
        <w:t>7.1 Channel exposure over the 48-month pilot, class 1 included</w:t>
      </w:r>
    </w:p>
    <w:p>
      <w:r>
        <w:rPr>
          <w:b/>
        </w:rPr>
        <w:t>Two significant figures throughout</w:t>
      </w:r>
      <w:r>
        <w:t xml:space="preserve"> — the cohort count these descend from is given to two figures, so a dollar-exact cell would be false precision.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no-act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central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 — lapse branch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 — displacement branch</w:t>
            </w:r>
          </w:p>
        </w:tc>
      </w:tr>
      <w:tr>
        <w:tc>
          <w:tcPr>
            <w:tcW w:type="dxa" w:w="1728"/>
          </w:tcPr>
          <w:p>
            <w:r>
              <w:t>1%</w:t>
            </w:r>
          </w:p>
        </w:tc>
        <w:tc>
          <w:tcPr>
            <w:tcW w:type="dxa" w:w="1728"/>
          </w:tcPr>
          <w:p>
            <w:r>
              <w:t>$61</w:t>
            </w:r>
          </w:p>
        </w:tc>
        <w:tc>
          <w:tcPr>
            <w:tcW w:type="dxa" w:w="1728"/>
          </w:tcPr>
          <w:p>
            <w:r>
              <w:t>$1,100</w:t>
            </w:r>
          </w:p>
        </w:tc>
        <w:tc>
          <w:tcPr>
            <w:tcW w:type="dxa" w:w="1728"/>
          </w:tcPr>
          <w:p>
            <w:r>
              <w:t>$11,000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$310</w:t>
            </w:r>
          </w:p>
        </w:tc>
        <w:tc>
          <w:tcPr>
            <w:tcW w:type="dxa" w:w="1728"/>
          </w:tcPr>
          <w:p>
            <w:r>
              <w:t>$5,300</w:t>
            </w:r>
          </w:p>
        </w:tc>
        <w:tc>
          <w:tcPr>
            <w:tcW w:type="dxa" w:w="1728"/>
          </w:tcPr>
          <w:p>
            <w:r>
              <w:t>$57,000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$610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$11,000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$110,000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$0</w:t>
            </w:r>
          </w:p>
        </w:tc>
      </w:tr>
      <w:tr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  <w:tc>
          <w:tcPr>
            <w:tcW w:type="dxa" w:w="1728"/>
          </w:tcPr>
          <w:p>
            <w:r>
              <w:t>$21,000</w:t>
            </w:r>
          </w:p>
        </w:tc>
        <w:tc>
          <w:tcPr>
            <w:tcW w:type="dxa" w:w="1728"/>
          </w:tcPr>
          <w:p>
            <w:r>
              <w:t>$230,000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$2,100</w:t>
            </w:r>
          </w:p>
        </w:tc>
        <w:tc>
          <w:tcPr>
            <w:tcW w:type="dxa" w:w="1728"/>
          </w:tcPr>
          <w:p>
            <w:r>
              <w:t>$37,000</w:t>
            </w:r>
          </w:p>
        </w:tc>
        <w:tc>
          <w:tcPr>
            <w:tcW w:type="dxa" w:w="1728"/>
          </w:tcPr>
          <w:p>
            <w:r>
              <w:t>$400,000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$3,100</w:t>
            </w:r>
          </w:p>
        </w:tc>
        <w:tc>
          <w:tcPr>
            <w:tcW w:type="dxa" w:w="1728"/>
          </w:tcPr>
          <w:p>
            <w:r>
              <w:t>$53,000</w:t>
            </w:r>
          </w:p>
        </w:tc>
        <w:tc>
          <w:tcPr>
            <w:tcW w:type="dxa" w:w="1728"/>
          </w:tcPr>
          <w:p>
            <w:r>
              <w:t>$570,000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</w:tbl>
    <w:p>
      <w:r>
        <w:t xml:space="preserve">The low and central columns are identical in both branches — nowhere near the headroom, so the cap regime does not bite there. </w:t>
      </w:r>
      <w:r>
        <w:rPr>
          <w:b/>
        </w:rPr>
        <w:t>The high column collapses from hundreds of thousands to $0 on the displacement branch. The high line is not a figure, it is a pair.</w:t>
      </w:r>
    </w:p>
    <w:p>
      <w:pPr>
        <w:pStyle w:val="Heading3"/>
      </w:pPr>
      <w:r>
        <w:t>7.2 The thresholds — solved analytically, no Monte Carlo error anywhere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no-act rate for </w:t>
            </w:r>
            <w:r>
              <w:rPr>
                <w:b/>
              </w:rPr>
              <w:t>1 harmed member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for </w:t>
            </w:r>
            <w:r>
              <w:rPr>
                <w:b/>
              </w:rPr>
              <w:t>$100,000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for </w:t>
            </w:r>
            <w:r>
              <w:rPr>
                <w:b/>
              </w:rPr>
              <w:t>one full $170,000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$94,000</w:t>
            </w:r>
          </w:p>
        </w:tc>
        <w:tc>
          <w:tcPr>
            <w:tcW w:type="dxa" w:w="1728"/>
          </w:tcPr>
          <w:p>
            <w:r>
              <w:t>&gt;100% (unreachable)</w:t>
            </w:r>
          </w:p>
        </w:tc>
        <w:tc>
          <w:tcPr>
            <w:tcW w:type="dxa" w:w="1728"/>
          </w:tcPr>
          <w:p>
            <w:r>
              <w:t>&gt;100% (unreachable)</w:t>
            </w:r>
          </w:p>
        </w:tc>
        <w:tc>
          <w:tcPr>
            <w:tcW w:type="dxa" w:w="1728"/>
          </w:tcPr>
          <w:p>
            <w:r>
              <w:t>&gt;100% (unreachable)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central</w:t>
            </w:r>
          </w:p>
        </w:tc>
        <w:tc>
          <w:tcPr>
            <w:tcW w:type="dxa" w:w="1728"/>
          </w:tcPr>
          <w:p>
            <w:r>
              <w:t>$94,000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88.3%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93.9%</w:t>
            </w:r>
          </w:p>
        </w:tc>
        <w:tc>
          <w:tcPr>
            <w:tcW w:type="dxa" w:w="1728"/>
          </w:tcPr>
          <w:p>
            <w:r>
              <w:t>&gt;100% (unreachable)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$111,000</w:t>
            </w:r>
          </w:p>
        </w:tc>
        <w:tc>
          <w:tcPr>
            <w:tcW w:type="dxa" w:w="1728"/>
          </w:tcPr>
          <w:p>
            <w:r>
              <w:t>9.8%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8.8%</w:t>
            </w:r>
          </w:p>
        </w:tc>
        <w:tc>
          <w:tcPr>
            <w:tcW w:type="dxa" w:w="1728"/>
          </w:tcPr>
          <w:p>
            <w:r>
              <w:t>15.0%</w:t>
            </w:r>
          </w:p>
        </w:tc>
      </w:tr>
    </w:tbl>
    <w:p>
      <w:pPr>
        <w:pStyle w:val="Heading3"/>
      </w:pPr>
      <w:r>
        <w:t>7.3 Against MOO-215's 15.6% crossover</w:t>
      </w:r>
    </w:p>
    <w:p>
      <w:r>
        <w:t xml:space="preserve">Reproduced on their own basis: 2.80 ÷ 17.93 = </w:t>
      </w:r>
      <w:r>
        <w:rPr>
          <w:b/>
        </w:rPr>
        <w:t>15.6%</w:t>
      </w:r>
      <w:r>
        <w:t xml:space="preserve">, asserted as a self-test. </w:t>
      </w:r>
      <w:r>
        <w:rPr>
          <w:b/>
        </w:rPr>
        <w:t>The two inversions answer different questions</w:t>
      </w:r>
      <w:r>
        <w:t xml:space="preserve"> — theirs is </w:t>
      </w:r>
      <w:r>
        <w:rPr>
          <w:i/>
        </w:rPr>
        <w:t>"when does this stop being below MOO-170's member resolution"</w:t>
      </w:r>
      <w:r>
        <w:t xml:space="preserve">, mine is </w:t>
      </w:r>
      <w:r>
        <w:rPr>
          <w:i/>
        </w:rPr>
        <w:t>"when does this put a dollar on an appropriation line"</w:t>
      </w:r>
      <w:r>
        <w:t xml:space="preserve">. Central dollar threshold 94%, high 8.8%, against their 15.6%. </w:t>
      </w:r>
      <w:r>
        <w:rPr>
          <w:b/>
        </w:rPr>
        <w:t>Theirs is the earlier warning and mine is the later one; neither contradicts the other, and a reader who wants the conservative trigger should take theirs.</w:t>
      </w:r>
    </w:p>
    <w:p>
      <w:pPr>
        <w:pStyle w:val="Heading2"/>
      </w:pPr>
      <w:r>
        <w:t>8. Sensitivity, local cost, fund split, timing</w:t>
      </w:r>
    </w:p>
    <w:p>
      <w:pPr>
        <w:pStyle w:val="Heading3"/>
      </w:pPr>
      <w:r>
        <w:t>8.1 No fiscal input controls the answer</w:t>
      </w:r>
    </w:p>
    <w:p>
      <w:r>
        <w:t>One-at-a-time, +10% off the central cell at a 10% no-act rate: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 moved +10%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swing</w:t>
            </w:r>
          </w:p>
        </w:tc>
      </w:tr>
      <w:tr>
        <w:tc>
          <w:tcPr>
            <w:tcW w:type="dxa" w:w="4320"/>
          </w:tcPr>
          <w:p>
            <w:r>
              <w:t>Board no-act rate</w:t>
            </w:r>
          </w:p>
        </w:tc>
        <w:tc>
          <w:tcPr>
            <w:tcW w:type="dxa" w:w="4320"/>
          </w:tcPr>
          <w:p>
            <w:r>
              <w:t>10.0%</w:t>
            </w:r>
          </w:p>
        </w:tc>
      </w:tr>
      <w:tr>
        <w:tc>
          <w:tcPr>
            <w:tcW w:type="dxa" w:w="4320"/>
          </w:tcPr>
          <w:p>
            <w:r>
              <w:t>harm realisation rate</w:t>
            </w:r>
          </w:p>
        </w:tc>
        <w:tc>
          <w:tcPr>
            <w:tcW w:type="dxa" w:w="4320"/>
          </w:tcPr>
          <w:p>
            <w:r>
              <w:t>10.0%</w:t>
            </w:r>
          </w:p>
        </w:tc>
      </w:tr>
      <w:tr>
        <w:tc>
          <w:tcPr>
            <w:tcW w:type="dxa" w:w="4320"/>
          </w:tcPr>
          <w:p>
            <w:r>
              <w:t>amount settled per election</w:t>
            </w:r>
          </w:p>
        </w:tc>
        <w:tc>
          <w:tcPr>
            <w:tcW w:type="dxa" w:w="4320"/>
          </w:tcPr>
          <w:p>
            <w:r>
              <w:t>10.0%</w:t>
            </w:r>
          </w:p>
        </w:tc>
      </w:tr>
      <w:tr>
        <w:tc>
          <w:tcPr>
            <w:tcW w:type="dxa" w:w="4320"/>
          </w:tcPr>
          <w:p>
            <w:r>
              <w:t>funded cohort</w:t>
            </w:r>
          </w:p>
        </w:tc>
        <w:tc>
          <w:tcPr>
            <w:tcW w:type="dxa" w:w="4320"/>
          </w:tcPr>
          <w:p>
            <w:r>
              <w:t>10.0%</w:t>
            </w:r>
          </w:p>
        </w:tc>
      </w:tr>
      <w:tr>
        <w:tc>
          <w:tcPr>
            <w:tcW w:type="dxa" w:w="4320"/>
          </w:tcPr>
          <w:p>
            <w:r>
              <w:t>later-date filing rate</w:t>
            </w:r>
          </w:p>
        </w:tc>
        <w:tc>
          <w:tcPr>
            <w:tcW w:type="dxa" w:w="4320"/>
          </w:tcPr>
          <w:p>
            <w:r>
              <w:t>7.9%</w:t>
            </w:r>
          </w:p>
        </w:tc>
      </w:tr>
      <w:tr>
        <w:tc>
          <w:tcPr>
            <w:tcW w:type="dxa" w:w="4320"/>
          </w:tcPr>
          <w:p>
            <w:r>
              <w:t>M 2 seek rate</w:t>
            </w:r>
          </w:p>
        </w:tc>
        <w:tc>
          <w:tcPr>
            <w:tcW w:type="dxa" w:w="4320"/>
          </w:tcPr>
          <w:p>
            <w:r>
              <w:t>2.1%</w:t>
            </w:r>
          </w:p>
        </w:tc>
      </w:tr>
    </w:tbl>
    <w:p>
      <w:r>
        <w:rPr>
          <w:b/>
        </w:rPr>
        <w:t>Nothing above 25%. The largest swing is 10.0%.</w:t>
      </w:r>
      <w:r>
        <w:t xml:space="preserve"> The cohort lands at exactly 10% and not above it because it scales </w:t>
      </w:r>
      <w:r>
        <w:rPr>
          <w:b/>
        </w:rPr>
        <w:t>both</w:t>
      </w:r>
      <w:r>
        <w:t xml:space="preserve"> classes, so </w:t>
      </w:r>
      <w:r>
        <w:rPr>
          <w:b/>
        </w:rPr>
        <w:t>there is no super-linear term in this model</w:t>
      </w:r>
      <w:r>
        <w:t xml:space="preserve">. The two sub-linear swings (7.9% + 2.1%) </w:t>
      </w:r>
      <w:r>
        <w:rPr>
          <w:b/>
        </w:rPr>
        <w:t>sum to 10%</w:t>
      </w:r>
      <w:r>
        <w:t>, which is the mechanical check that the two classes partition the population with nothing double-counted and nothing dropped.</w:t>
      </w:r>
    </w:p>
    <w:p>
      <w:pPr>
        <w:pStyle w:val="Heading3"/>
      </w:pPr>
      <w:r>
        <w:t>8.2 What does control it — all five non-fiscal, ranked</w:t>
      </w:r>
    </w:p>
    <w:p>
      <w:pPr>
        <w:pStyle w:val="ListNumber"/>
      </w:pPr>
      <w:r>
        <w:rPr>
          <w:b/>
        </w:rPr>
        <w:t>Whether the member already recovered under clause (iii) without Edit 4</w:t>
      </w:r>
      <w:r>
        <w:t>, on the un-deemed limb.</w:t>
      </w:r>
    </w:p>
    <w:p>
      <w:r>
        <w:t xml:space="preserve">Multiplies the whole Edit 4 answer by (1 − p_base): at 1.00 Edit 4 is inert and the exposure sits on the option; at 0.00 it sits on Edit 4. </w:t>
      </w:r>
      <w:r>
        <w:rPr>
          <w:b/>
        </w:rPr>
        <w:t>Swing 100%.</w:t>
      </w:r>
      <w:r>
        <w:t xml:space="preserve"> A legal probability — </w:t>
      </w:r>
      <w:r>
        <w:rPr>
          <w:b/>
        </w:rPr>
        <w:t>Red Team / Counsel Reviewer's</w:t>
      </w:r>
      <w:r>
        <w:t xml:space="preserve">, with the inclusive-or-exhaustive reading of clause (iii) </w:t>
      </w:r>
      <w:r>
        <w:rPr>
          <w:b/>
        </w:rPr>
        <w:t>Statutory Researcher's</w:t>
      </w:r>
      <w:r>
        <w:t>.</w:t>
      </w:r>
    </w:p>
    <w:p>
      <w:pPr>
        <w:pStyle w:val="ListNumber"/>
      </w:pPr>
      <w:r>
        <w:rPr>
          <w:b/>
        </w:rPr>
        <w:t>Whether Edit 4's notice is inside clause (iii) at all</w:t>
      </w:r>
      <w:r>
        <w:t xml:space="preserve"> (§4.3). A binary; it does not change the</w:t>
      </w:r>
    </w:p>
    <w:p>
      <w:r>
        <w:t xml:space="preserve">total exposure, only which instrument carries it. </w:t>
      </w:r>
      <w:r>
        <w:rPr>
          <w:b/>
        </w:rPr>
        <w:t>Statutory Researcher's.</w:t>
      </w:r>
    </w:p>
    <w:p>
      <w:pPr>
        <w:pStyle w:val="ListNumber"/>
      </w:pPr>
      <w:r>
        <w:rPr>
          <w:b/>
        </w:rPr>
        <w:t>The Board no-act rate</w:t>
      </w:r>
      <w:r>
        <w:t xml:space="preserve"> — unobtainable, swept, reported as a threshold.</w:t>
      </w:r>
    </w:p>
    <w:p>
      <w:pPr>
        <w:pStyle w:val="ListNumber"/>
      </w:pPr>
      <w:r>
        <w:rPr>
          <w:b/>
        </w:rPr>
        <w:t>Which cap regime the cohort is in</w:t>
      </w:r>
      <w:r>
        <w:t xml:space="preserve"> (§7.0) — the difference between the whole high figure and</w:t>
      </w:r>
    </w:p>
    <w:p>
      <w:r>
        <w:t>$0, turning on whether a wait-listed applicant is still fundable when the release would have occurred.</w:t>
      </w:r>
    </w:p>
    <w:p>
      <w:pPr>
        <w:pStyle w:val="ListNumber"/>
      </w:pPr>
      <w:r>
        <w:rPr>
          <w:b/>
        </w:rPr>
        <w:t>MOO-49's clause (vi) reading</w:t>
      </w:r>
      <w:r>
        <w:t xml:space="preserve"> — broad gives ~130 members instead of 18. The cohort is exactly</w:t>
      </w:r>
    </w:p>
    <w:p>
      <w:r>
        <w:t xml:space="preserve">linear here, so 7× the cohort is 7× the figure, </w:t>
      </w:r>
      <w:r>
        <w:rPr>
          <w:b/>
        </w:rPr>
        <w:t>but it also pushes utilisation far past the cap and moves the whole answer onto the displacement branch.</w:t>
      </w:r>
      <w:r>
        <w:t xml:space="preserve"> Broad clause (vi) requires repricing this channel too, </w:t>
      </w:r>
      <w:r>
        <w:rPr>
          <w:b/>
        </w:rPr>
        <w:t>and it would not simply scale.</w:t>
      </w:r>
    </w:p>
    <w:p>
      <w:r>
        <w:rPr>
          <w:b/>
        </w:rPr>
        <w:t>A 10% move in items 1, 2 or 4 does not exist — none of them is continuous.</w:t>
      </w:r>
      <w:r>
        <w:t xml:space="preserve"> That is why §0 names them instead of naming a fiscal driver.</w:t>
      </w:r>
    </w:p>
    <w:p>
      <w:pPr>
        <w:pStyle w:val="Heading3"/>
      </w:pPr>
      <w:r>
        <w:t>8.3 Local cost, fund split, biennium timing</w:t>
      </w:r>
    </w:p>
    <w:p>
      <w:r>
        <w:rPr>
          <w:b/>
        </w:rPr>
        <w:t>Local cost $0, and no unfunded mandate on localities — stated explicitly because that is a finding in itself.</w:t>
      </w:r>
      <w:r>
        <w:t xml:space="preserve"> Every duty in this channel is the Board's: give a notice, act on a request, make a determination, report under subsection J. The only duty the section puts on anyone else falls on </w:t>
      </w:r>
      <w:r>
        <w:rPr>
          <w:i/>
        </w:rPr>
        <w:t>"a state agency that employs or last employed a member"</w:t>
      </w:r>
      <w:r>
        <w:t xml:space="preserve">, which is not a locality. The population is the State Employee plan (MOO-183 §8). </w:t>
      </w:r>
      <w:r>
        <w:rPr>
          <w:b/>
        </w:rPr>
        <w:t>No locality acquires a duty, a cost, or a reporting obligation.</w:t>
      </w:r>
    </w:p>
    <w:p>
      <w:r>
        <w:rPr>
          <w:b/>
        </w:rPr>
        <w:t>Fund split — declared open.</w:t>
      </w:r>
      <w:r>
        <w:t xml:space="preserve"> Subsection N pays </w:t>
      </w:r>
      <w:r>
        <w:rPr>
          <w:i/>
        </w:rPr>
        <w:t>"from an appropriation made for that purpose"</w:t>
      </w:r>
      <w:r>
        <w:t xml:space="preserve">, so a settlement is an appropriation line, not a trust-absorbed cost. MOO-183 §8 carries a 47% general-fund share </w:t>
      </w:r>
      <w:r>
        <w:rPr>
          <w:b/>
        </w:rPr>
        <w:t>on the amortisation of trust cost</w:t>
      </w:r>
      <w:r>
        <w:t xml:space="preserve">; I have </w:t>
      </w:r>
      <w:r>
        <w:rPr>
          <w:b/>
        </w:rPr>
        <w:t>not</w:t>
      </w:r>
      <w:r>
        <w:t xml:space="preserve"> applied it here, because a subsection N settlement is a direct payment of the amount settled and not an amortised trust cost, and I have no authority for the split on that line. Direction: a GF share below 100% would move §7's figures </w:t>
      </w:r>
      <w:r>
        <w:rPr>
          <w:b/>
        </w:rPr>
        <w:t>down</w:t>
      </w:r>
      <w:r>
        <w:t xml:space="preserve">. </w:t>
      </w:r>
      <w:r>
        <w:rPr>
          <w:b/>
        </w:rPr>
        <w:t>This is the one place where a §7 figure could only improve on better information.</w:t>
      </w:r>
    </w:p>
    <w:p>
      <w:r>
        <w:rPr>
          <w:b/>
        </w:rPr>
        <w:t>Biennium timing.</w:t>
      </w:r>
      <w:r>
        <w:t xml:space="preserve"> Earliest event lands FY2030, back-loaded across FY2030–FY2033. </w:t>
      </w:r>
      <w:r>
        <w:rPr>
          <w:b/>
        </w:rPr>
        <w:t>At the central figures there is less than one event in the whole pilot, so a fiscal-year split of it would be false precision and is not offered.</w:t>
      </w:r>
      <w:r>
        <w:t xml:space="preserve"> If the high line is taken, FY2032–FY2033 carry it.</w:t>
      </w:r>
    </w:p>
    <w:p>
      <w:pPr>
        <w:pStyle w:val="Heading2"/>
      </w:pPr>
      <w:r>
        <w:t>9. External sanity check</w:t>
      </w:r>
    </w:p>
    <w:p>
      <w:r>
        <w:rPr>
          <w:b/>
        </w:rPr>
        <w:t>No quantitative external anchor exists, and that is established rather than asserted:</w:t>
      </w:r>
      <w:r>
        <w:t xml:space="preserve"> MOO-71 §3 establishes no published count of § 51.1-142.2 purchases exists at all, §2.2 establishes no no-act rate exists for any denominator, and there is no other-state analogue to scale by population. So two checks are available and </w:t>
      </w:r>
      <w:r>
        <w:rPr>
          <w:b/>
        </w:rPr>
        <w:t>both are reported, including where one disagrees.</w:t>
      </w:r>
    </w:p>
    <w:p>
      <w:r>
        <w:rPr>
          <w:b/>
        </w:rPr>
        <w:t>Convention check</w:t>
      </w:r>
      <w:r>
        <w:t xml:space="preserve"> against Virginia fiscal-note practice on capped, self-executing programmes. A channel that cannot exceed a ceiling already appropriated for, produces single-digit events over a four-year pilot at any defensible rate, and has no local component, is reported as </w:t>
      </w:r>
      <w:r>
        <w:rPr>
          <w:i/>
        </w:rPr>
        <w:t>"$0"</w:t>
      </w:r>
      <w:r>
        <w:t xml:space="preserve"> or </w:t>
      </w:r>
      <w:r>
        <w:rPr>
          <w:i/>
        </w:rPr>
        <w:t>"indeterminate but not material"</w:t>
      </w:r>
      <w:r>
        <w:t xml:space="preserve">, with the mechanism described. </w:t>
      </w:r>
      <w:r>
        <w:rPr>
          <w:b/>
        </w:rPr>
        <w:t>Result: agreement with the central line — and the convention cannot validate the high line. It validates $0 and nothing else</w:t>
      </w:r>
      <w:r>
        <w:t>, which is exactly MOO-163's and MOO-170's own disclosure about this check.</w:t>
      </w:r>
    </w:p>
    <w:p>
      <w:r>
        <w:rPr>
          <w:b/>
        </w:rPr>
        <w:t>Basis-mismatched cross-check</w:t>
      </w:r>
      <w:r>
        <w:t xml:space="preserve"> on the per-event figure. MOO-183 Table A reports $55,000–$66,000 per participant on a </w:t>
      </w:r>
      <w:r>
        <w:rPr>
          <w:b/>
        </w:rPr>
        <w:t>net trust cost</w:t>
      </w:r>
      <w:r>
        <w:t xml:space="preserve"> basis, PV at 6/30/2025. The per-event figure here is $94,000–$111,000 on a </w:t>
      </w:r>
      <w:r>
        <w:rPr>
          <w:b/>
        </w:rPr>
        <w:t>certified subsidy</w:t>
      </w:r>
      <w:r>
        <w:t xml:space="preserve"> basis, nominal. </w:t>
      </w:r>
      <w:r>
        <w:rPr>
          <w:b/>
        </w:rPr>
        <w:t>Ratio 1.42× to 2.02×. This is not agreement and I am not calling it agreement</w:t>
      </w:r>
      <w:r>
        <w:t xml:space="preserve"> — a certified subsidy is a gross reserved amount, net trust cost is net of member payments and discounted. The check establishes only that the per-event figure is the right </w:t>
      </w:r>
      <w:r>
        <w:rPr>
          <w:b/>
        </w:rPr>
        <w:t>order of magnitude</w:t>
      </w:r>
      <w:r>
        <w:t xml:space="preserve"> for one member of this cohort: tens of thousands, not thousands and not millions. A ~2× gap on a basis difference of exactly this kind is expected; </w:t>
      </w:r>
      <w:r>
        <w:rPr>
          <w:b/>
        </w:rPr>
        <w:t>a 20× gap would have refuted the figure. Falsifiable, and not refuted.</w:t>
      </w:r>
    </w:p>
    <w:p>
      <w:r>
        <w:rPr>
          <w:b/>
        </w:rPr>
        <w:t>What would falsify the whole answer.</w:t>
      </w:r>
      <w:r>
        <w:t xml:space="preserve"> A published VRS on-time-decision rate worse than ~9% failure for determinations of this kind, or a clause (vi) reading that puts ~130 members in the cohort. </w:t>
      </w:r>
      <w:r>
        <w:rPr>
          <w:b/>
        </w:rPr>
        <w:t>Either one brings this issue back.</w:t>
      </w:r>
    </w:p>
    <w:p>
      <w:pPr>
        <w:pStyle w:val="Heading2"/>
      </w:pPr>
      <w:r>
        <w:t>10. What re-opens, what does not, and what I am handing to whom</w:t>
      </w:r>
    </w:p>
    <w:p>
      <w:r>
        <w:rPr>
          <w:b/>
        </w:rPr>
        <w:t>On your trigger:</w:t>
      </w:r>
      <w:r>
        <w:t xml:space="preserve"> you said MOO-163 and the declined F-6 cap re-open </w:t>
      </w:r>
      <w:r>
        <w:rPr>
          <w:b/>
        </w:rPr>
        <w:t>if I come back non-zero</w:t>
      </w:r>
      <w:r>
        <w:t xml:space="preserve">. </w:t>
      </w:r>
      <w:r>
        <w:rPr>
          <w:b/>
        </w:rPr>
        <w:t>I come back non-zero on the mechanism and immaterial on the figure, and I do not think that fires your trigger — but that is your call and I am not making it for you.</w:t>
      </w:r>
      <w:r>
        <w:t xml:space="preserve"> My reading of the gate: the figure at every defensible no-act rate is below the convention at which a fiscal note prints anything, the two classes' margin against MOO-170's own resolution is intact, and </w:t>
      </w:r>
      <w:r>
        <w:rPr>
          <w:b/>
        </w:rPr>
        <w:t>nothing in this model re-cuts a live MOO-163 or MOO-170 number.</w:t>
      </w:r>
      <w:r>
        <w:t xml:space="preserve"> What </w:t>
      </w:r>
      <w:r>
        <w:rPr>
          <w:i/>
        </w:rPr>
        <w:t>is</w:t>
      </w:r>
      <w:r>
        <w:t xml:space="preserve"> non-zero is the finding in §4.3, and it is a drafting finding with a price attached rather than a price that disturbs a published figure.</w:t>
      </w:r>
    </w:p>
    <w:p>
      <w:r>
        <w:rPr>
          <w:b/>
        </w:rPr>
        <w:t>Not reopened by anything here:</w:t>
      </w:r>
      <w:r>
        <w:t xml:space="preserve"> the board's 120 days, MOO-179's declined cap, MOO-170's $204,000 (§3.2 confirms its ground on its own terms), MOO-163's published cells.</w:t>
      </w:r>
    </w:p>
    <w:p>
      <w:r>
        <w:rPr>
          <w:b/>
        </w:rPr>
        <w:t>Handed on, by role:</w:t>
      </w:r>
    </w:p>
    <w:p>
      <w:pPr>
        <w:pStyle w:val="ListBullet"/>
      </w:pPr>
      <w:r>
        <w:rPr>
          <w:b/>
        </w:rPr>
        <w:t>Statutory Researcher</w:t>
      </w:r>
      <w:r>
        <w:t xml:space="preserve"> — (1) is Edit 4's notice within G 4 clause (iii)'s deeming limb and outside</w:t>
      </w:r>
    </w:p>
    <w:p>
      <w:r>
        <w:t>its carve-out (§4.3)? (2) are clause (iii)'s deeming sentences inclusive or exhaustive? (3) does the expiry sentence reach a reconsideration request pre-164-4, or only a definition request (§5.2)?</w:t>
      </w:r>
    </w:p>
    <w:p>
      <w:pPr>
        <w:pStyle w:val="ListBullet"/>
      </w:pPr>
      <w:r>
        <w:rPr>
          <w:b/>
        </w:rPr>
        <w:t>Red Team / Counsel Reviewer</w:t>
      </w:r>
      <w:r>
        <w:t xml:space="preserve"> — the un-deemed limb: could an expiry-sentence member reach clause</w:t>
      </w:r>
    </w:p>
    <w:p>
      <w:r>
        <w:t xml:space="preserve">(iii) </w:t>
      </w:r>
      <w:r>
        <w:rPr>
          <w:i/>
        </w:rPr>
        <w:t>without</w:t>
      </w:r>
      <w:r>
        <w:t xml:space="preserve"> Edit 4? That is </w:t>
      </w:r>
      <w:r>
        <w:rPr>
          <w:rFonts w:ascii="Consolas" w:hAnsi="Consolas"/>
        </w:rPr>
        <w:t>G4_BASELINE_AVAILABILITY</w:t>
      </w:r>
      <w:r>
        <w:t xml:space="preserve"> and it is the top sensitivity.</w:t>
      </w:r>
    </w:p>
    <w:p>
      <w:pPr>
        <w:pStyle w:val="ListBullet"/>
      </w:pPr>
      <w:r>
        <w:rPr>
          <w:b/>
        </w:rPr>
        <w:t>Policy Director</w:t>
      </w:r>
      <w:r>
        <w:t xml:space="preserve"> — the option itself. §6.2 is the decision-relevant fact: **the exposure does not</w:t>
      </w:r>
    </w:p>
    <w:p>
      <w:r>
        <w:t>disappear if you decline the option; it relocates onto Edit 4.**</w:t>
      </w:r>
    </w:p>
    <w:p>
      <w:pPr>
        <w:pStyle w:val="ListBullet"/>
      </w:pPr>
      <w:r>
        <w:rPr>
          <w:b/>
        </w:rPr>
        <w:t>VRS, via you</w:t>
      </w:r>
      <w:r>
        <w:t xml:space="preserve"> — the one data request: early-retirement reduction factors and an age/service</w:t>
      </w:r>
    </w:p>
    <w:p>
      <w:r>
        <w:t>distribution for this cohort, to price §6.3's allowance differential.</w:t>
      </w:r>
    </w:p>
    <w:p>
      <w:pPr>
        <w:pStyle w:val="Heading2"/>
      </w:pPr>
      <w:r>
        <w:t>11. Assumption register</w:t>
      </w:r>
    </w:p>
    <w:p>
      <w:r>
        <w:t xml:space="preserve">Full text with units, sources, vintages and directions of error in </w:t>
      </w:r>
      <w:r>
        <w:rPr>
          <w:rFonts w:ascii="Consolas" w:hAnsi="Consolas"/>
        </w:rPr>
        <w:t>moo217-d1-extension/moo217_inputs.py</w:t>
      </w:r>
      <w:r>
        <w:t>. Every number in this document traces to a row below or to a cited source. Retrieval date for every Paperclip-internal source: 12 October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assumption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direction of error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 2 aggregate cap</w:t>
            </w:r>
          </w:p>
        </w:tc>
        <w:tc>
          <w:tcPr>
            <w:tcW w:type="dxa" w:w="1440"/>
          </w:tcPr>
          <w:p>
            <w:r>
              <w:t>$3,000,000</w:t>
            </w:r>
          </w:p>
        </w:tc>
        <w:tc>
          <w:tcPr>
            <w:tcW w:type="dxa" w:w="1440"/>
          </w:tcPr>
          <w:p>
            <w:r>
              <w:t>dollars, cumulative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  <w:r>
              <w:t>, store rev 72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 2 per-election ceiling</w:t>
            </w:r>
          </w:p>
        </w:tc>
        <w:tc>
          <w:tcPr>
            <w:tcW w:type="dxa" w:w="1440"/>
          </w:tcPr>
          <w:p>
            <w:r>
              <w:t>$170,000</w:t>
            </w:r>
          </w:p>
        </w:tc>
        <w:tc>
          <w:tcPr>
            <w:tcW w:type="dxa" w:w="1440"/>
          </w:tcPr>
          <w:p>
            <w:r>
              <w:t>dollars/election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 3 contingency rate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fraction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  <w:r>
              <w:t xml:space="preserve"> — still a </w:t>
            </w:r>
            <w:r>
              <w:rPr>
                <w:rFonts w:ascii="Consolas" w:hAnsi="Consolas"/>
              </w:rPr>
              <w:t>[20]</w:t>
            </w:r>
            <w:r>
              <w:t xml:space="preserve"> bracket</w:t>
            </w:r>
          </w:p>
        </w:tc>
        <w:tc>
          <w:tcPr>
            <w:tcW w:type="dxa" w:w="1440"/>
          </w:tcPr>
          <w:p>
            <w:r>
              <w:t>higher makes the cap bind sooner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period allowed, definition request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 2 period, reconsideration request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Edit 4 notice deadline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days after period expiry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drafted</w:t>
            </w:r>
            <w:r>
              <w:t>, revision 9 Edit 4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 1 excluded aggregate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 xml:space="preserve">days </w:t>
            </w:r>
            <w:r>
              <w:rPr>
                <w:b/>
              </w:rPr>
              <w:t>per member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1440"/>
          </w:tcPr>
          <w:p>
            <w:r>
              <w:t>none — and it bounds days, not members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mailing extension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  <w:r>
              <w:t>, D 1</w:t>
            </w:r>
          </w:p>
        </w:tc>
        <w:tc>
          <w:tcPr>
            <w:tcW w:type="dxa" w:w="1440"/>
          </w:tcPr>
          <w:p>
            <w:r>
              <w:t>lengthens downstream periods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subsection N payment window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days after settlement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pilot length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months</w:t>
            </w:r>
          </w:p>
        </w:tc>
        <w:tc>
          <w:tcPr>
            <w:tcW w:type="dxa" w:w="1440"/>
          </w:tcPr>
          <w:p>
            <w:r>
              <w:t>MOO-71 via MOO-163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funded cohort</w:t>
            </w:r>
          </w:p>
        </w:tc>
        <w:tc>
          <w:tcPr>
            <w:tcW w:type="dxa" w:w="1440"/>
          </w:tcPr>
          <w:p>
            <w:r>
              <w:t>17.93 (8.97–29.89)</w:t>
            </w:r>
          </w:p>
        </w:tc>
        <w:tc>
          <w:tcPr>
            <w:tcW w:type="dxa" w:w="1440"/>
          </w:tcPr>
          <w:p>
            <w:r>
              <w:t>members/48 months</w:t>
            </w:r>
          </w:p>
        </w:tc>
        <w:tc>
          <w:tcPr>
            <w:tcW w:type="dxa" w:w="1440"/>
          </w:tcPr>
          <w:p>
            <w:r>
              <w:t xml:space="preserve">MOO-71 rev 2 via MOO-163, </w:t>
            </w:r>
            <w:r>
              <w:rPr>
                <w:b/>
              </w:rPr>
              <w:t>cited as given</w:t>
            </w:r>
          </w:p>
        </w:tc>
        <w:tc>
          <w:tcPr>
            <w:tcW w:type="dxa" w:w="1440"/>
          </w:tcPr>
          <w:p>
            <w:r>
              <w:t xml:space="preserve">conditional on </w:t>
            </w:r>
            <w:r>
              <w:rPr>
                <w:b/>
              </w:rPr>
              <w:t>narrow clause (vi)</w:t>
            </w:r>
            <w:r>
              <w:t>; broad is ~7×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refused members</w:t>
            </w:r>
          </w:p>
        </w:tc>
        <w:tc>
          <w:tcPr>
            <w:tcW w:type="dxa" w:w="1440"/>
          </w:tcPr>
          <w:p>
            <w:r>
              <w:t>2.70</w:t>
            </w:r>
          </w:p>
        </w:tc>
        <w:tc>
          <w:tcPr>
            <w:tcW w:type="dxa" w:w="1440"/>
          </w:tcPr>
          <w:p>
            <w:r>
              <w:t>members/48 months</w:t>
            </w:r>
          </w:p>
        </w:tc>
        <w:tc>
          <w:tcPr>
            <w:tcW w:type="dxa" w:w="1440"/>
          </w:tcPr>
          <w:p>
            <w:r>
              <w:t>MOO-163 §B, four refusal rows</w:t>
            </w:r>
          </w:p>
        </w:tc>
        <w:tc>
          <w:tcPr>
            <w:tcW w:type="dxa" w:w="1440"/>
          </w:tcPr>
          <w:p>
            <w:r>
              <w:t>over-counts — cautious here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M 2 seek rate</w:t>
            </w:r>
          </w:p>
        </w:tc>
        <w:tc>
          <w:tcPr>
            <w:tcW w:type="dxa" w:w="1440"/>
          </w:tcPr>
          <w:p>
            <w:r>
              <w:t>0.35 (0.15–0.60)</w:t>
            </w:r>
          </w:p>
        </w:tc>
        <w:tc>
          <w:tcPr>
            <w:tcW w:type="dxa" w:w="1440"/>
          </w:tcPr>
          <w:p>
            <w:r>
              <w:t>fraction of refused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analyst judgment</w:t>
            </w:r>
            <w:r>
              <w:t>, MOO-163</w:t>
            </w:r>
          </w:p>
        </w:tc>
        <w:tc>
          <w:tcPr>
            <w:tcW w:type="dxa" w:w="1440"/>
          </w:tcPr>
          <w:p>
            <w:r>
              <w:t>symmetric; 2.1% swing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cap utilisation</w:t>
            </w:r>
          </w:p>
        </w:tc>
        <w:tc>
          <w:tcPr>
            <w:tcW w:type="dxa" w:w="1440"/>
          </w:tcPr>
          <w:p>
            <w:r>
              <w:t>67.4% (33.7–112.3)</w:t>
            </w:r>
          </w:p>
        </w:tc>
        <w:tc>
          <w:tcPr>
            <w:tcW w:type="dxa" w:w="1440"/>
          </w:tcPr>
          <w:p>
            <w:r>
              <w:t>fraction</w:t>
            </w:r>
          </w:p>
        </w:tc>
        <w:tc>
          <w:tcPr>
            <w:tcW w:type="dxa" w:w="1440"/>
          </w:tcPr>
          <w:p>
            <w:r>
              <w:t>MOO-163 §2, reproduced as a self-test</w:t>
            </w:r>
          </w:p>
        </w:tc>
        <w:tc>
          <w:tcPr>
            <w:tcW w:type="dxa" w:w="1440"/>
          </w:tcPr>
          <w:p>
            <w:r>
              <w:t>decides the §7.0 regime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amount settled per election</w:t>
            </w:r>
          </w:p>
        </w:tc>
        <w:tc>
          <w:tcPr>
            <w:tcW w:type="dxa" w:w="1440"/>
          </w:tcPr>
          <w:p>
            <w:r>
              <w:t>$94,000 ($94k–$111k)</w:t>
            </w:r>
          </w:p>
        </w:tc>
        <w:tc>
          <w:tcPr>
            <w:tcW w:type="dxa" w:w="1440"/>
          </w:tcPr>
          <w:p>
            <w:r>
              <w:t>dollars</w:t>
            </w:r>
          </w:p>
        </w:tc>
        <w:tc>
          <w:tcPr>
            <w:tcW w:type="dxa" w:w="1440"/>
          </w:tcPr>
          <w:p>
            <w:r>
              <w:t xml:space="preserve">MOO-163 §2, </w:t>
            </w:r>
            <w:r>
              <w:rPr>
                <w:b/>
              </w:rPr>
              <w:t>not re-derived</w:t>
            </w:r>
          </w:p>
        </w:tc>
        <w:tc>
          <w:tcPr>
            <w:tcW w:type="dxa" w:w="1440"/>
          </w:tcPr>
          <w:p>
            <w:r>
              <w:t xml:space="preserve">$94k is the </w:t>
            </w:r>
            <w:r>
              <w:rPr>
                <w:b/>
              </w:rPr>
              <w:t>optimistic</w:t>
            </w:r>
            <w:r>
              <w:t xml:space="preserve"> end here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Board no-act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swept 0–50%</w:t>
            </w:r>
          </w:p>
        </w:tc>
        <w:tc>
          <w:tcPr>
            <w:tcW w:type="dxa" w:w="1440"/>
          </w:tcPr>
          <w:p>
            <w:r>
              <w:t>fraction of requests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NONE — declared unobtainable</w:t>
            </w:r>
          </w:p>
        </w:tc>
        <w:tc>
          <w:tcPr>
            <w:tcW w:type="dxa" w:w="1440"/>
          </w:tcPr>
          <w:p>
            <w:r>
              <w:t>n/a: reported as a threshold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later-date filing rate</w:t>
            </w:r>
          </w:p>
        </w:tc>
        <w:tc>
          <w:tcPr>
            <w:tcW w:type="dxa" w:w="1440"/>
          </w:tcPr>
          <w:p>
            <w:r>
              <w:t>0.20 (0.05–0.60)</w:t>
            </w:r>
          </w:p>
        </w:tc>
        <w:tc>
          <w:tcPr>
            <w:tcW w:type="dxa" w:w="1440"/>
          </w:tcPr>
          <w:p>
            <w:r>
              <w:t>fraction of cohort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analyst judgment</w:t>
            </w:r>
            <w:r>
              <w:t>, bounded from text</w:t>
            </w:r>
          </w:p>
        </w:tc>
        <w:tc>
          <w:tcPr>
            <w:tcW w:type="dxa" w:w="1440"/>
          </w:tcPr>
          <w:p>
            <w:r>
              <w:t>symmetric; 7.9% swing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non-qualifying-retirement share</w:t>
            </w:r>
          </w:p>
        </w:tc>
        <w:tc>
          <w:tcPr>
            <w:tcW w:type="dxa" w:w="1440"/>
          </w:tcPr>
          <w:p>
            <w:r>
              <w:t>0.05 (0.02–0.15)</w:t>
            </w:r>
          </w:p>
        </w:tc>
        <w:tc>
          <w:tcPr>
            <w:tcW w:type="dxa" w:w="1440"/>
          </w:tcPr>
          <w:p>
            <w:r>
              <w:t>fraction of funded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MOO-204</w:t>
            </w:r>
            <w:r>
              <w:t>, cited as given</w:t>
            </w:r>
          </w:p>
        </w:tc>
        <w:tc>
          <w:tcPr>
            <w:tcW w:type="dxa" w:w="1440"/>
          </w:tcPr>
          <w:p>
            <w:r>
              <w:t xml:space="preserve">a </w:t>
            </w:r>
            <w:r>
              <w:rPr>
                <w:b/>
              </w:rPr>
              <w:t>floor</w:t>
            </w:r>
            <w:r>
              <w:t xml:space="preserve"> on row 19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information-failure multiplier</w:t>
            </w:r>
          </w:p>
        </w:tc>
        <w:tc>
          <w:tcPr>
            <w:tcW w:type="dxa" w:w="1440"/>
          </w:tcPr>
          <w:p>
            <w:r>
              <w:t>5.0 (3.3–5.0)</w:t>
            </w:r>
          </w:p>
        </w:tc>
        <w:tc>
          <w:tcPr>
            <w:tcW w:type="dxa" w:w="1440"/>
          </w:tcPr>
          <w:p>
            <w:r>
              <w:t>dimensionless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analyst judgment</w:t>
            </w:r>
            <w:r>
              <w:t>, 2×–8× defensible</w:t>
            </w:r>
          </w:p>
        </w:tc>
        <w:tc>
          <w:tcPr>
            <w:tcW w:type="dxa" w:w="1440"/>
          </w:tcPr>
          <w:p>
            <w:r>
              <w:t>the only free parameter in the harm rate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harm realisation rate</w:t>
            </w:r>
          </w:p>
        </w:tc>
        <w:tc>
          <w:tcPr>
            <w:tcW w:type="dxa" w:w="1440"/>
          </w:tcPr>
          <w:p>
            <w:r>
              <w:t>0.250 (0.100–0.495)</w:t>
            </w:r>
          </w:p>
        </w:tc>
        <w:tc>
          <w:tcPr>
            <w:tcW w:type="dxa" w:w="1440"/>
          </w:tcPr>
          <w:p>
            <w:r>
              <w:t>fraction of no-act events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derived</w:t>
            </w:r>
            <w:r>
              <w:t>, 18 × 19</w:t>
            </w:r>
          </w:p>
        </w:tc>
        <w:tc>
          <w:tcPr>
            <w:tcW w:type="dxa" w:w="1440"/>
          </w:tcPr>
          <w:p>
            <w:r>
              <w:t>symmetric; 10.0% swing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G4_BASELINE_AVAILABILITY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0–1 interval reported</w:t>
            </w:r>
          </w:p>
        </w:tc>
        <w:tc>
          <w:tcPr>
            <w:tcW w:type="dxa" w:w="1440"/>
          </w:tcPr>
          <w:p>
            <w:r>
              <w:t>probability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 legal question, not a fiscal 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top sensitivity; 100% swing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materiality floor</w:t>
            </w:r>
          </w:p>
        </w:tc>
        <w:tc>
          <w:tcPr>
            <w:tcW w:type="dxa" w:w="1440"/>
          </w:tcPr>
          <w:p>
            <w:r>
              <w:t>$100,000</w:t>
            </w:r>
          </w:p>
        </w:tc>
        <w:tc>
          <w:tcPr>
            <w:tcW w:type="dxa" w:w="1440"/>
          </w:tcPr>
          <w:p>
            <w:r>
              <w:t>dollars/48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reporting convention</w:t>
            </w:r>
            <w:r>
              <w:t>, as MOO-163 §8 / MOO-170 §7</w:t>
            </w:r>
          </w:p>
        </w:tc>
        <w:tc>
          <w:tcPr>
            <w:tcW w:type="dxa" w:w="1440"/>
          </w:tcPr>
          <w:p>
            <w:r>
              <w:t>not a legal threshold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MOO-170 resolution</w:t>
            </w:r>
          </w:p>
        </w:tc>
        <w:tc>
          <w:tcPr>
            <w:tcW w:type="dxa" w:w="1440"/>
          </w:tcPr>
          <w:p>
            <w:r>
              <w:t>2.80</w:t>
            </w:r>
          </w:p>
        </w:tc>
        <w:tc>
          <w:tcPr>
            <w:tcW w:type="dxa" w:w="1440"/>
          </w:tcPr>
          <w:p>
            <w:r>
              <w:t>members/48 months</w:t>
            </w:r>
          </w:p>
        </w:tc>
        <w:tc>
          <w:tcPr>
            <w:tcW w:type="dxa" w:w="1440"/>
          </w:tcPr>
          <w:p>
            <w:r>
              <w:t xml:space="preserve">MOO-170, </w:t>
            </w:r>
            <w:r>
              <w:rPr>
                <w:b/>
              </w:rPr>
              <w:t>their figure on their terms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MOO-183 cost per participant</w:t>
            </w:r>
          </w:p>
        </w:tc>
        <w:tc>
          <w:tcPr>
            <w:tcW w:type="dxa" w:w="1440"/>
          </w:tcPr>
          <w:p>
            <w:r>
              <w:t>$55k–$66k</w:t>
            </w:r>
          </w:p>
        </w:tc>
        <w:tc>
          <w:tcPr>
            <w:tcW w:type="dxa" w:w="1440"/>
          </w:tcPr>
          <w:p>
            <w:r>
              <w:t>dollars/participant</w:t>
            </w:r>
          </w:p>
        </w:tc>
        <w:tc>
          <w:tcPr>
            <w:tcW w:type="dxa" w:w="1440"/>
          </w:tcPr>
          <w:p>
            <w:r>
              <w:t>MOO-183 Table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 mismatch</w:t>
            </w:r>
            <w:r>
              <w:t>, §9 — not agreement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GF/NGF split on a subsection N settlement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declared open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none; MOO-183's 47% is for amortised trust cost</w:t>
            </w:r>
          </w:p>
        </w:tc>
        <w:tc>
          <w:tcPr>
            <w:tcW w:type="dxa" w:w="1440"/>
          </w:tcPr>
          <w:p>
            <w:r>
              <w:t xml:space="preserve">a GF share &lt;100% moves §7 </w:t>
            </w:r>
            <w:r>
              <w:rPr>
                <w:b/>
              </w:rPr>
              <w:t>down</w:t>
            </w:r>
          </w:p>
        </w:tc>
      </w:tr>
    </w:tbl>
    <w:p>
      <w:pPr>
        <w:pStyle w:val="Heading2"/>
      </w:pPr>
      <w:r>
        <w:t>12. Files and how to rerun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moo217-d1-extension/moo217_inputs.py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assumption register.</w:t>
            </w:r>
            <w:r>
              <w:t xml:space="preserve"> Sections A–F. MOO-163's register is imported unchanged and re-exported so the reader can see exactly which of its levers this issue leans 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moo217-d1-extension/moo217_d1_channel.py</w:t>
            </w:r>
          </w:p>
        </w:tc>
        <w:tc>
          <w:tcPr>
            <w:tcW w:type="dxa" w:w="4320"/>
          </w:tcPr>
          <w:p>
            <w:r>
              <w:t>The model. Sections 0–11, each printing its own working, plus a self-test block.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moo217-d1-extension/out_moo217_run.txt</w:t>
            </w:r>
          </w:p>
        </w:tc>
        <w:tc>
          <w:tcPr>
            <w:tcW w:type="dxa" w:w="4320"/>
          </w:tcPr>
          <w:p>
            <w:r>
              <w:t>Captured transcript of the run of record.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moo217-d1-channel-priced.md</w:t>
            </w:r>
          </w:p>
        </w:tc>
        <w:tc>
          <w:tcPr>
            <w:tcW w:type="dxa" w:w="4320"/>
          </w:tcPr>
          <w:p>
            <w:r>
              <w:t>This document.</w:t>
            </w:r>
          </w:p>
        </w:tc>
      </w:tr>
    </w:tbl>
    <w:p>
      <w:r>
        <w:rPr>
          <w:rFonts w:ascii="Consolas" w:hAnsi="Consolas"/>
        </w:rPr>
      </w:r>
      <w:r>
        <w:rPr>
          <w:rFonts w:ascii="Consolas" w:hAnsi="Consolas"/>
        </w:rPr>
        <w:t xml:space="preserve">bash cd moo217-d1-extension python3 moo217_d1_channel.py            # ~1s, exit 0, prints the whole analysis python3 moo217_d1_channel.py &gt; out_moo217_run.txt </w:t>
      </w:r>
      <w:r>
        <w:rPr>
          <w:rFonts w:ascii="Consolas" w:hAnsi="Consolas"/>
        </w:rPr>
      </w:r>
    </w:p>
    <w:p>
      <w:r>
        <w:rPr>
          <w:b/>
        </w:rPr>
        <w:t>No dependencies beyond the standard library</w:t>
      </w:r>
      <w:r>
        <w:t xml:space="preserve"> — no numpy, and </w:t>
      </w:r>
      <w:r>
        <w:rPr>
          <w:b/>
        </w:rPr>
        <w:t>no random draw anywhere in this model</w:t>
      </w:r>
      <w:r>
        <w:t xml:space="preserve">, so there is no Monte Carlo error on any figure and every threshold is a division. </w:t>
      </w:r>
      <w:r>
        <w:rPr>
          <w:b/>
        </w:rPr>
        <w:t>Verified byte-identical across two consecutive runs and across a clean start with `__pycache__` removed.</w:t>
      </w:r>
      <w:r>
        <w:t xml:space="preserve"> The script reproduces </w:t>
      </w:r>
      <w:r>
        <w:rPr>
          <w:b/>
        </w:rPr>
        <w:t>every number</w:t>
      </w:r>
      <w:r>
        <w:t xml:space="preserve"> in this document; nothing here is quoted from a prior run.</w:t>
      </w:r>
    </w:p>
    <w:p>
      <w:r>
        <w:rPr>
          <w:b/>
        </w:rPr>
        <w:t>Verification performed</w:t>
      </w:r>
    </w:p>
    <w:p>
      <w:pPr>
        <w:pStyle w:val="ListNumber"/>
      </w:pPr>
      <w:r>
        <w:rPr>
          <w:b/>
        </w:rPr>
        <w:t>22 assertions, all passing</w:t>
      </w:r>
      <w:r>
        <w:t xml:space="preserve"> — 14 in the §11 self-test block and 8 inline screens in §0 and</w:t>
      </w:r>
    </w:p>
    <w:p>
      <w:r>
        <w:t>§4 — including that the §7.0 regime table reproduces MOO-163's published 33.7% and 67.4% utilisations, that MOO-215's 15.6% crossover reproduces on their stated basis, that the reconstructed MOO-170 derivation gives $204,000 exactly, and that the harm rate never falls below MOO-204's unconditional floor.</w:t>
      </w:r>
    </w:p>
    <w:p>
      <w:pPr>
        <w:pStyle w:val="ListNumber"/>
      </w:pPr>
      <w:r>
        <w:rPr>
          <w:b/>
        </w:rPr>
        <w:t>Three verbatim string screens</w:t>
      </w:r>
      <w:r>
        <w:t xml:space="preserve"> on the store-revision-72 extract (D 1's extension sentence,</w:t>
      </w:r>
    </w:p>
    <w:p>
      <w:r>
        <w:t xml:space="preserve">clause (iii)'s deeming sentence, clause (iii)'s carve-out, subsection N's payment obligation). The extract's character count is asserted against the register, so a moved store </w:t>
      </w:r>
      <w:r>
        <w:rPr>
          <w:b/>
        </w:rPr>
        <w:t>fails the run</w:t>
      </w:r>
      <w:r>
        <w:t xml:space="preserve"> rather than drifting.</w:t>
      </w:r>
    </w:p>
    <w:p>
      <w:pPr>
        <w:pStyle w:val="ListNumber"/>
      </w:pPr>
      <w:r>
        <w:rPr>
          <w:b/>
        </w:rPr>
        <w:t>MOO-163, MOO-170 and MOO-204 registers imported and never written to</w:t>
      </w:r>
      <w:r>
        <w:t xml:space="preserve"> — asserted in the</w:t>
      </w:r>
    </w:p>
    <w:p>
      <w:r>
        <w:t xml:space="preserve">self-test and confirmed by </w:t>
      </w:r>
      <w:r>
        <w:rPr>
          <w:rFonts w:ascii="Consolas" w:hAnsi="Consolas"/>
        </w:rPr>
        <w:t>git status</w:t>
      </w:r>
      <w:r>
        <w:t xml:space="preserve">: this issue's work touches no file outside </w:t>
      </w:r>
      <w:r>
        <w:rPr>
          <w:rFonts w:ascii="Consolas" w:hAnsi="Consolas"/>
        </w:rPr>
        <w:t>moo217-d1-extension/</w:t>
      </w:r>
      <w:r>
        <w:t xml:space="preserve"> and this document.</w:t>
      </w:r>
    </w:p>
    <w:p>
      <w:pPr>
        <w:pStyle w:val="ListNumber"/>
      </w:pPr>
      <w:r>
        <w:rPr>
          <w:b/>
        </w:rPr>
        <w:t>Partition check</w:t>
      </w:r>
      <w:r>
        <w:t xml:space="preserve"> — the two classes' sub-linear sensitivity swings sum to exactly 10%, proving</w:t>
      </w:r>
    </w:p>
    <w:p>
      <w:r>
        <w:t>nothing is double-counted or dropped between them.</w:t>
      </w:r>
    </w:p>
    <w:p>
      <w:r>
        <w:rPr>
          <w:b/>
        </w:rPr>
        <w:t>Known limitations, all stated:</w:t>
      </w:r>
      <w:r>
        <w:t xml:space="preserve"> the Board no-act rate is unobtainable and swept, so there is no point estimate of it anywhere; the retirement-allowance differential in §6.3 is unobtainable and is a data request to VRS; </w:t>
      </w:r>
      <w:r>
        <w:rPr>
          <w:rFonts w:ascii="Consolas" w:hAnsi="Consolas"/>
        </w:rPr>
        <w:t>G4_BASELINE_AVAILABILITY</w:t>
      </w:r>
      <w:r>
        <w:t xml:space="preserve"> is a legal probability I report as an interval rather than set; the GF/NGF split on a subsection N settlement is declared open; no position count is modelled (carried gap from MOO-183 §8); and every count remains conditional on </w:t>
      </w:r>
      <w:r>
        <w:rPr>
          <w:b/>
        </w:rPr>
        <w:t>MOO-49's narrow clause (vi) reading</w:t>
      </w:r>
      <w:r>
        <w:t>, which travels with the figures as it does at MOO-163 and MOO-170.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