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MOO-178 — approval of the re-cut, and two releases that go with it</w:t>
      </w:r>
    </w:p>
    <w:p>
      <w:r>
        <w:rPr>
          <w:b/>
        </w:rPr>
        <w:t>Policy Director · 12 October 2026.</w:t>
      </w:r>
      <w:r>
        <w:t xml:space="preserve"> Reviewing the Drafting Specialist's re-cut at </w:t>
      </w:r>
      <w:r>
        <w:rPr>
          <w:rFonts w:ascii="Consolas" w:hAnsi="Consolas"/>
        </w:rPr>
        <w:t>moo178-patch-summary-recut</w:t>
      </w:r>
      <w:r>
        <w:t xml:space="preserve">, </w:t>
      </w:r>
      <w:r>
        <w:rPr>
          <w:b/>
        </w:rPr>
        <w:t>document revision `c1f95092`</w:t>
      </w:r>
      <w:r>
        <w:t>.</w:t>
      </w:r>
    </w:p>
    <w:p>
      <w:r>
        <w:rPr>
          <w:b/>
        </w:rPr>
        <w:t>INTERNAL WORKING DRAFT. Not a Division of Legislative Services bill. Not reviewed by counsel. Pre-decisional and internal.</w:t>
      </w:r>
    </w:p>
    <w:p>
      <w:pPr>
        <w:pStyle w:val="Heading2"/>
      </w:pPr>
      <w:r>
        <w:t>1. Approved</w:t>
      </w:r>
    </w:p>
    <w:p>
      <w:r>
        <w:rPr>
          <w:b/>
        </w:rPr>
        <w:t>The re-cut is approved as cut.</w:t>
      </w:r>
      <w:r>
        <w:t xml:space="preserve"> Document revision </w:t>
      </w:r>
      <w:r>
        <w:rPr>
          <w:rFonts w:ascii="Consolas" w:hAnsi="Consolas"/>
        </w:rPr>
        <w:t>c1f95092</w:t>
      </w:r>
      <w:r>
        <w:t xml:space="preserve"> is the citable text of sentence 1, and register §6's </w:t>
      </w:r>
      <w:r>
        <w:rPr>
          <w:i/>
        </w:rPr>
        <w:t>"to be used as given and not paraphrased"</w:t>
      </w:r>
      <w:r>
        <w:t xml:space="preserve"> now attaches to it. The default form was the right call and the three reasons given for it are the reasons I would have given.</w:t>
      </w:r>
    </w:p>
    <w:p>
      <w:r>
        <w:t>Checked, line by line:</w:t>
      </w:r>
    </w:p>
    <w:tbl>
      <w:tblPr>
        <w:tblStyle w:val="TableGrid"/>
        <w:tblW w:type="auto" w:w="0"/>
        <w:tblLook w:firstColumn="1" w:firstRow="1" w:lastColumn="0" w:lastRow="0" w:noHBand="0" w:noVBand="1" w:val="04A0"/>
      </w:tblPr>
      <w:tblGrid>
        <w:gridCol w:w="4320"/>
        <w:gridCol w:w="4320"/>
      </w:tblGrid>
      <w:tr>
        <w:tc>
          <w:tcPr>
            <w:tcW w:type="dxa" w:w="4320"/>
          </w:tcPr>
          <w:p>
            <w:r>
              <w:rPr>
                <w:b/>
              </w:rPr>
              <w:t>What I checked</w:t>
            </w:r>
          </w:p>
        </w:tc>
        <w:tc>
          <w:tcPr>
            <w:tcW w:type="dxa" w:w="4320"/>
          </w:tcPr>
          <w:p>
            <w:r>
              <w:rPr>
                <w:b/>
              </w:rPr>
              <w:t>Result</w:t>
            </w:r>
          </w:p>
        </w:tc>
      </w:tr>
      <w:tr>
        <w:tc>
          <w:tcPr>
            <w:tcW w:type="dxa" w:w="4320"/>
          </w:tcPr>
          <w:p>
            <w:r>
              <w:t>The deletion is exactly the quoted clause, nothing added</w:t>
            </w:r>
          </w:p>
        </w:tc>
        <w:tc>
          <w:tcPr>
            <w:tcW w:type="dxa" w:w="4320"/>
          </w:tcPr>
          <w:p>
            <w:r>
              <w:rPr>
                <w:b/>
              </w:rPr>
              <w:t>Yes.</w:t>
            </w:r>
            <w:r>
              <w:t xml:space="preserve"> </w:t>
            </w:r>
            <w:r>
              <w:rPr>
                <w:i/>
              </w:rPr>
              <w:t>"instead of restarting on different days"</w:t>
            </w:r>
            <w:r>
              <w:t xml:space="preserve"> out; terminal period back onto </w:t>
            </w:r>
            <w:r>
              <w:rPr>
                <w:i/>
              </w:rPr>
              <w:t>"event."</w:t>
            </w:r>
            <w:r>
              <w:t xml:space="preserve"> No underlined or substituted text.</w:t>
            </w:r>
          </w:p>
        </w:tc>
      </w:tr>
      <w:tr>
        <w:tc>
          <w:tcPr>
            <w:tcW w:type="dxa" w:w="4320"/>
          </w:tcPr>
          <w:p>
            <w:r>
              <w:t>The front first-or-last clause is untouched</w:t>
            </w:r>
          </w:p>
        </w:tc>
        <w:tc>
          <w:tcPr>
            <w:tcW w:type="dxa" w:w="4320"/>
          </w:tcPr>
          <w:p>
            <w:r>
              <w:rPr>
                <w:b/>
              </w:rPr>
              <w:t>Yes</w:t>
            </w:r>
            <w:r>
              <w:t>, character for character.</w:t>
            </w:r>
          </w:p>
        </w:tc>
      </w:tr>
      <w:tr>
        <w:tc>
          <w:tcPr>
            <w:tcW w:type="dxa" w:w="4320"/>
          </w:tcPr>
          <w:p>
            <w:r>
              <w:t>Sentence 2 is untouched</w:t>
            </w:r>
          </w:p>
        </w:tc>
        <w:tc>
          <w:tcPr>
            <w:tcW w:type="dxa" w:w="4320"/>
          </w:tcPr>
          <w:p>
            <w:r>
              <w:rPr>
                <w:b/>
              </w:rPr>
              <w:t>Yes</w:t>
            </w:r>
            <w:r>
              <w:t>, character for character against register §6.</w:t>
            </w:r>
          </w:p>
        </w:tc>
      </w:tr>
      <w:tr>
        <w:tc>
          <w:tcPr>
            <w:tcW w:type="dxa" w:w="4320"/>
          </w:tcPr>
          <w:p>
            <w:r>
              <w:t>Sentence 3 is reproduced as released, not edited</w:t>
            </w:r>
          </w:p>
        </w:tc>
        <w:tc>
          <w:tcPr>
            <w:tcW w:type="dxa" w:w="4320"/>
          </w:tcPr>
          <w:p>
            <w:r>
              <w:rPr>
                <w:b/>
              </w:rPr>
              <w:t>Yes</w:t>
            </w:r>
            <w:r>
              <w:t>, character for character.</w:t>
            </w:r>
          </w:p>
        </w:tc>
      </w:tr>
      <w:tr>
        <w:tc>
          <w:tcPr>
            <w:tcW w:type="dxa" w:w="4320"/>
          </w:tcPr>
          <w:p>
            <w:r>
              <w:t>Ban check against all six forms</w:t>
            </w:r>
          </w:p>
        </w:tc>
        <w:tc>
          <w:tcPr>
            <w:tcW w:type="dxa" w:w="4320"/>
          </w:tcPr>
          <w:p>
            <w:r>
              <w:rPr>
                <w:b/>
              </w:rPr>
              <w:t>Clear.</w:t>
            </w:r>
            <w:r>
              <w:t xml:space="preserve"> No </w:t>
            </w:r>
            <w:r>
              <w:rPr>
                <w:i/>
              </w:rPr>
              <w:t>restart</w:t>
            </w:r>
            <w:r>
              <w:t xml:space="preserve">, </w:t>
            </w:r>
            <w:r>
              <w:rPr>
                <w:i/>
              </w:rPr>
              <w:t>align</w:t>
            </w:r>
            <w:r>
              <w:t xml:space="preserve">, </w:t>
            </w:r>
            <w:r>
              <w:rPr>
                <w:i/>
              </w:rPr>
              <w:t>match</w:t>
            </w:r>
            <w:r>
              <w:t xml:space="preserve">, </w:t>
            </w:r>
            <w:r>
              <w:rPr>
                <w:i/>
              </w:rPr>
              <w:t>mismatch</w:t>
            </w:r>
            <w:r>
              <w:t xml:space="preserve"> or </w:t>
            </w:r>
            <w:r>
              <w:rPr>
                <w:i/>
              </w:rPr>
              <w:t>same day</w:t>
            </w:r>
            <w:r>
              <w:t xml:space="preserve"> in any form, and no endpoint claim.</w:t>
            </w:r>
          </w:p>
        </w:tc>
      </w:tr>
      <w:tr>
        <w:tc>
          <w:tcPr>
            <w:tcW w:type="dxa" w:w="4320"/>
          </w:tcPr>
          <w:p>
            <w:r>
              <w:t>§6's four bindings, including binding 2</w:t>
            </w:r>
          </w:p>
        </w:tc>
        <w:tc>
          <w:tcPr>
            <w:tcW w:type="dxa" w:w="4320"/>
          </w:tcPr>
          <w:p>
            <w:r>
              <w:rPr>
                <w:b/>
              </w:rPr>
              <w:t>Untouched.</w:t>
            </w:r>
          </w:p>
        </w:tc>
      </w:tr>
    </w:tbl>
    <w:p>
      <w:r>
        <w:rPr>
          <w:b/>
        </w:rPr>
        <w:t>On the word count: the Drafting Specialist is right and the issue title is wrong.</w:t>
      </w:r>
      <w:r>
        <w:t xml:space="preserve"> The clause is six words. My MOO-175 disposition §1 and this issue's title both said nine. The quoted string governed and the right string came out, so nothing turns on it — but the record should say which of the two was the error.</w:t>
      </w:r>
    </w:p>
    <w:p>
      <w:r>
        <w:rPr>
          <w:b/>
        </w:rPr>
        <w:t>Red Team: not routed, and I agree.</w:t>
      </w:r>
      <w:r>
        <w:t xml:space="preserve"> A six-word deletion from plain-language internal text has one test to pass, the word-level ban check, and that check is run and recorded at §4 of the document. No Red Team or Counsel Reviewer routing on this.</w:t>
      </w:r>
    </w:p>
    <w:p>
      <w:pPr>
        <w:pStyle w:val="Heading2"/>
      </w:pPr>
      <w:r>
        <w:t>2. Release — the register §4 replacement sentence, corrected. **My sentence, so this is decided, not</w:t>
      </w:r>
    </w:p>
    <w:p>
      <w:r>
        <w:t>proposed**</w:t>
      </w:r>
    </w:p>
    <w:p>
      <w:r>
        <w:t>The Drafting Specialist is right that this was the urgent one, and right that it bears on the form they chose: their sentence is deliberately silent on endpoints because the paired sentence supplies them, so a wrong paired sentence is a wrong memo §5.</w:t>
      </w:r>
    </w:p>
    <w:p>
      <w:r>
        <w:rPr>
          <w:b/>
        </w:rPr>
        <w:t>The corrected form, released, effective now:</w:t>
      </w:r>
    </w:p>
    <w:p>
      <w:pPr>
        <w:ind w:left="504"/>
      </w:pPr>
      <w:r>
        <w:rPr>
          <w:b/>
        </w:rPr>
        <w:t>The patch gives the two clocks one starting event: G 4's pendency ends when the Board first acts, M 2's tolling runs to 30 days after that act, and an application's D 4 and D 5 filing date is retained for 120 days after that act.</w:t>
      </w:r>
    </w:p>
    <w:p>
      <w:r>
        <w:rPr>
          <w:b/>
        </w:rPr>
        <w:t>Superseded and not to be quoted:</w:t>
      </w:r>
      <w:r>
        <w:t xml:space="preserve"> </w:t>
      </w:r>
      <w:r>
        <w:rPr>
          <w:i/>
        </w:rPr>
        <w:t>"one starting event with two endpoints: … M 2's tolling and filing-date retention run to 30 days after that."</w:t>
      </w:r>
    </w:p>
    <w:p>
      <w:r>
        <w:t xml:space="preserve">Two changes from the Drafting Specialist's §5.2 candidate, both small: </w:t>
      </w:r>
      <w:r>
        <w:rPr>
          <w:i/>
        </w:rPr>
        <w:t>"that act"</w:t>
      </w:r>
      <w:r>
        <w:t xml:space="preserve"> for </w:t>
      </w:r>
      <w:r>
        <w:rPr>
          <w:i/>
        </w:rPr>
        <w:t>"that"</w:t>
      </w:r>
      <w:r>
        <w:t xml:space="preserve"> and </w:t>
      </w:r>
      <w:r>
        <w:rPr>
          <w:i/>
        </w:rPr>
        <w:t>"after it"</w:t>
      </w:r>
      <w:r>
        <w:t xml:space="preserve">, because at three periods the pronoun has to point somewhere unambiguous; and </w:t>
      </w:r>
      <w:r>
        <w:rPr>
          <w:i/>
        </w:rPr>
        <w:t>"D 4 and D 5"</w:t>
      </w:r>
      <w:r>
        <w:t xml:space="preserve"> spelled as the statute spells it rather than </w:t>
      </w:r>
      <w:r>
        <w:rPr>
          <w:i/>
        </w:rPr>
        <w:t>"D 4 / D 5"</w:t>
      </w:r>
      <w:r>
        <w:t>, which is fine in a note and not in quoted text.</w:t>
      </w:r>
    </w:p>
    <w:p>
      <w:r>
        <w:rPr>
          <w:b/>
        </w:rPr>
        <w:t>They are right that *"two endpoints"* cannot survive.</w:t>
      </w:r>
      <w:r>
        <w:t xml:space="preserve"> Three periods now run from the one event. What the ban exists to protect is </w:t>
      </w:r>
      <w:r>
        <w:rPr>
          <w:i/>
        </w:rPr>
        <w:t>"one starting event"</w:t>
      </w:r>
      <w:r>
        <w:t>, and that is intact.</w:t>
      </w:r>
    </w:p>
    <w:p>
      <w:r>
        <w:rPr>
          <w:b/>
        </w:rPr>
        <w:t>Landed in the repo</w:t>
      </w:r>
      <w:r>
        <w:t xml:space="preserve">, not only here: </w:t>
      </w:r>
      <w:r>
        <w:rPr>
          <w:rFonts w:ascii="Consolas" w:hAnsi="Consolas"/>
        </w:rPr>
        <w:t>moo172-risk-items.md</w:t>
      </w:r>
      <w:r>
        <w:t xml:space="preserve"> §4 now carries the corrected form, the superseded form struck, and the reason. The register file was the live quotation source and it was the thing most likely to be quoted wrong tomorrow.</w:t>
      </w:r>
    </w:p>
    <w:p>
      <w:pPr>
        <w:pStyle w:val="Heading2"/>
      </w:pPr>
      <w:r>
        <w:t>3. Release — sentence 3 at 120 days, with one change to the candidate</w:t>
      </w:r>
    </w:p>
    <w:p>
      <w:r>
        <w:rPr>
          <w:b/>
        </w:rPr>
        <w:t>I am releasing §5.1's candidate in substance, and routing it back to its author for the cut</w:t>
      </w:r>
      <w:r>
        <w:t xml:space="preserve">, because the sentence is theirs and register §6's </w:t>
      </w:r>
      <w:r>
        <w:rPr>
          <w:i/>
        </w:rPr>
        <w:t>"as given"</w:t>
      </w:r>
      <w:r>
        <w:t xml:space="preserve"> holds only for the author's own cut. The figures are not in doubt: </w:t>
      </w:r>
      <w:r>
        <w:rPr>
          <w:b/>
        </w:rPr>
        <w:t>120 days</w:t>
      </w:r>
      <w:r>
        <w:t xml:space="preserve">, and </w:t>
      </w:r>
      <w:r>
        <w:rPr>
          <w:b/>
        </w:rPr>
        <w:t>42 days to spare</w:t>
      </w:r>
      <w:r>
        <w:t xml:space="preserve"> in place of </w:t>
      </w:r>
      <w:r>
        <w:rPr>
          <w:i/>
        </w:rPr>
        <w:t>"48 days shorter"</w:t>
      </w:r>
      <w:r>
        <w:t xml:space="preserve"> — 7 + 120 = day 127 against a reconsideration decided day 85.</w:t>
      </w:r>
    </w:p>
    <w:p>
      <w:r>
        <w:rPr>
          <w:b/>
        </w:rPr>
        <w:t>The one change I want.</w:t>
      </w:r>
      <w:r>
        <w:t xml:space="preserve"> The candidate ends </w:t>
      </w:r>
      <w:r>
        <w:rPr>
          <w:i/>
        </w:rPr>
        <w:t>"…by 42 days instead of expiring 48 days short of it."</w:t>
      </w:r>
      <w:r>
        <w:t xml:space="preserve"> Strike the comparison. </w:t>
      </w:r>
      <w:r>
        <w:rPr>
          <w:b/>
        </w:rPr>
        <w:t>It compares the patch to an earlier draft of itself</w:t>
      </w:r>
      <w:r>
        <w:t>, and no reader of memo §5 has ever seen the 30-day version. Land it on the fact and stop:</w:t>
      </w:r>
    </w:p>
    <w:p>
      <w:pPr>
        <w:ind w:left="504"/>
      </w:pPr>
      <w:r>
        <w:rPr>
          <w:i/>
        </w:rPr>
        <w:t>"…and on the facts the drafting assumes the retention now outlasts the reconsideration decision by 42 days."</w:t>
      </w:r>
    </w:p>
    <w:p>
      <w:r>
        <w:rPr>
          <w:b/>
        </w:rPr>
        <w:t>Agreed on what the candidate leaves out.</w:t>
      </w:r>
      <w:r>
        <w:t xml:space="preserve"> No mention of the broken </w:t>
      </w:r>
      <w:r>
        <w:rPr>
          <w:i/>
        </w:rPr>
        <w:t>Forst</w:t>
      </w:r>
      <w:r>
        <w:t xml:space="preserve"> identity and no day 37 to day 127 window in the summary. The bounded re-review at gate 4 has not reported, the cap is a held candidate, and a plain-language summary must not settle what may still come back to the board as a card. The divergence belongs in the risk section, where it already is.</w:t>
      </w:r>
    </w:p>
    <w:p>
      <w:r>
        <w:rPr>
          <w:b/>
        </w:rPr>
        <w:t>Carried forward unchanged:</w:t>
      </w:r>
      <w:r>
        <w:t xml:space="preserve"> binding 3 — the net is the number that matters and the ordinary facts travel with it. The net has moved from −48 to +42; the binding has not.</w:t>
      </w:r>
    </w:p>
    <w:p>
      <w:r>
        <w:rPr>
          <w:b/>
        </w:rPr>
        <w:t>Not released as text until that cut lands</w:t>
      </w:r>
      <w:r>
        <w:t xml:space="preserve">, and until it does, sentence 3 goes into no artifact. Memo §5 is </w:t>
      </w:r>
      <w:r>
        <w:rPr>
          <w:b/>
        </w:rPr>
        <w:t>not</w:t>
      </w:r>
      <w:r>
        <w:t xml:space="preserve"> blocked: sentences 1 and 2 are clean and quotable today.</w:t>
      </w:r>
    </w:p>
    <w:p>
      <w:pPr>
        <w:pStyle w:val="Heading2"/>
      </w:pPr>
      <w:r>
        <w:t>4. What is now settled, for anyone quoting this tomorrow</w:t>
      </w:r>
    </w:p>
    <w:p>
      <w:pPr>
        <w:pStyle w:val="ListNumber"/>
      </w:pPr>
      <w:r>
        <w:rPr>
          <w:b/>
        </w:rPr>
        <w:t>Sentence 1</w:t>
      </w:r>
      <w:r>
        <w:t xml:space="preserve"> — the re-cut at document revision </w:t>
      </w:r>
      <w:r>
        <w:rPr>
          <w:rFonts w:ascii="Consolas" w:hAnsi="Consolas"/>
        </w:rPr>
        <w:t>c1f95092</w:t>
      </w:r>
      <w:r>
        <w:t>. Memo §5 only, paired with the §2</w:t>
      </w:r>
    </w:p>
    <w:p>
      <w:r>
        <w:t xml:space="preserve">replacement sentence above in the same paragraph. </w:t>
      </w:r>
      <w:r>
        <w:rPr>
          <w:b/>
        </w:rPr>
        <w:t>Not in one-pager bullets, chart labels or slide titles</w:t>
      </w:r>
      <w:r>
        <w:t xml:space="preserve"> — that rule is standing, not interim, and the re-cut does not lift it.</w:t>
      </w:r>
    </w:p>
    <w:p>
      <w:pPr>
        <w:pStyle w:val="ListNumber"/>
      </w:pPr>
      <w:r>
        <w:rPr>
          <w:b/>
        </w:rPr>
        <w:t>Sentence 2</w:t>
      </w:r>
      <w:r>
        <w:t xml:space="preserve"> — as released, unchanged. If it must be shortened, the </w:t>
      </w:r>
      <w:r>
        <w:rPr>
          <w:b/>
        </w:rPr>
        <w:t>first</w:t>
      </w:r>
      <w:r>
        <w:t xml:space="preserve"> clause comes out and</w:t>
      </w:r>
    </w:p>
    <w:p>
      <w:r>
        <w:t>the cost clause stays.</w:t>
      </w:r>
    </w:p>
    <w:p>
      <w:pPr>
        <w:pStyle w:val="ListNumber"/>
      </w:pPr>
      <w:r>
        <w:rPr>
          <w:b/>
        </w:rPr>
        <w:t>Sentence 3</w:t>
      </w:r>
      <w:r>
        <w:t xml:space="preserve"> — no artifact until the re-cut lands.</w:t>
      </w:r>
    </w:p>
    <w:p>
      <w:pPr>
        <w:pStyle w:val="ListNumber"/>
      </w:pPr>
      <w:r>
        <w:rPr>
          <w:b/>
        </w:rPr>
        <w:t>The §4 replacement sentence</w:t>
      </w:r>
      <w:r>
        <w:t xml:space="preserve"> — the corrected 120-day form above. This is the form the one-pager</w:t>
      </w:r>
    </w:p>
    <w:p>
      <w:r>
        <w:t>uses where it needs this content.</w:t>
      </w:r>
    </w:p>
    <w:p>
      <w:pPr>
        <w:pStyle w:val="ListNumber"/>
      </w:pPr>
      <w:r>
        <w:rPr>
          <w:b/>
        </w:rPr>
        <w:t>The pre-re-cut sentence 1</w:t>
      </w:r>
      <w:r>
        <w:t xml:space="preserve"> — retired. Not to be quoted from register §6 or from the release comment</w:t>
      </w:r>
    </w:p>
    <w:p>
      <w:r>
        <w:t>on MOO-172.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