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MOO-165 — Policy Director's answers to the three held carry-through questions</w:t>
      </w:r>
    </w:p>
    <w:p>
      <w:pPr>
        <w:spacing w:after="120"/>
      </w:pPr>
      <w:r>
        <w:rPr>
          <w:b/>
        </w:rPr>
        <w:t>Internal working draft material. Not a Division of Legislative Services bill. Not reviewed by counsel, and nothing here states or implies that it has been. Pre-decisional and internal.</w:t>
      </w:r>
    </w:p>
    <w:p>
      <w:pPr>
        <w:spacing w:after="120"/>
      </w:pPr>
      <w:r>
        <w:rPr>
          <w:b/>
        </w:rPr>
        <w:t xml:space="preserve">Policy Director · 12 October 2026 · answers the three items held at </w:t>
      </w:r>
      <w:r>
        <w:rPr>
          <w:rFonts w:ascii="Consolas" w:hAnsi="Consolas"/>
          <w:b/>
          <w:color w:val="1F4E79"/>
          <w:sz w:val="19"/>
        </w:rPr>
        <w:t>risk-section-carry-through-pass17</w:t>
      </w:r>
      <w:r>
        <w:rPr>
          <w:b/>
        </w:rPr>
        <w:t xml:space="preserve"> §2 and routed as </w:t>
      </w:r>
      <w:r>
        <w:rPr>
          <w:b/>
          <w:color w:val="1F4E79"/>
        </w:rPr>
        <w:t>MOO-165</w:t>
      </w:r>
      <w:r>
        <w:rPr>
          <w:b/>
        </w:rPr>
        <w:t xml:space="preserve">. Verified against the live body of </w:t>
      </w:r>
      <w:r>
        <w:rPr>
          <w:rFonts w:ascii="Consolas" w:hAnsi="Consolas"/>
          <w:b/>
          <w:sz w:val="19"/>
        </w:rPr>
        <w:t>bill-text-s8</w:t>
      </w:r>
      <w:r>
        <w:rPr>
          <w:b/>
        </w:rPr>
        <w:t xml:space="preserve"> at store revision 58.</w:t>
      </w:r>
    </w:p>
    <w:p>
      <w:pPr>
        <w:pStyle w:val="Heading2"/>
      </w:pPr>
      <w:r>
        <w:t>0. In one page</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after="40"/>
            </w:pPr>
            <w:r>
              <w:rPr>
                <w:b/>
              </w:rPr>
            </w:r>
          </w:p>
        </w:tc>
        <w:tc>
          <w:tcPr>
            <w:tcW w:type="dxa" w:w="3216"/>
          </w:tcPr>
          <w:p>
            <w:pPr>
              <w:spacing w:after="40"/>
            </w:pPr>
            <w:r>
              <w:rPr>
                <w:b/>
              </w:rPr>
            </w:r>
            <w:r>
              <w:rPr>
                <w:b/>
              </w:rPr>
              <w:t>Question</w:t>
            </w:r>
          </w:p>
        </w:tc>
        <w:tc>
          <w:tcPr>
            <w:tcW w:type="dxa" w:w="3216"/>
          </w:tcPr>
          <w:p>
            <w:pPr>
              <w:spacing w:after="40"/>
            </w:pPr>
            <w:r>
              <w:rPr>
                <w:b/>
              </w:rPr>
            </w:r>
            <w:r>
              <w:rPr>
                <w:b/>
              </w:rPr>
              <w:t>Answer</w:t>
            </w:r>
          </w:p>
        </w:tc>
      </w:tr>
      <w:tr>
        <w:tc>
          <w:tcPr>
            <w:tcW w:type="dxa" w:w="3216"/>
          </w:tcPr>
          <w:p>
            <w:pPr>
              <w:spacing w:after="40"/>
            </w:pPr>
            <w:r/>
            <w:r>
              <w:rPr>
                <w:b/>
              </w:rPr>
              <w:t>Q1</w:t>
            </w:r>
          </w:p>
        </w:tc>
        <w:tc>
          <w:tcPr>
            <w:tcW w:type="dxa" w:w="3216"/>
          </w:tcPr>
          <w:p>
            <w:pPr>
              <w:spacing w:after="40"/>
            </w:pPr>
            <w:r/>
            <w:r>
              <w:rPr>
                <w:i/>
              </w:rPr>
              <w:t xml:space="preserve">"about nineteen state employees </w:t>
            </w:r>
            <w:r>
              <w:rPr>
                <w:i/>
              </w:rPr>
              <w:t>a year</w:t>
            </w:r>
            <w:r>
              <w:rPr>
                <w:i/>
              </w:rPr>
              <w:t>"</w:t>
            </w:r>
          </w:p>
        </w:tc>
        <w:tc>
          <w:tcPr>
            <w:tcW w:type="dxa" w:w="3216"/>
          </w:tcPr>
          <w:p>
            <w:pPr>
              <w:spacing w:after="40"/>
            </w:pPr>
            <w:r/>
            <w:r>
              <w:rPr>
                <w:b/>
              </w:rPr>
              <w:t>Option (a), and the error is mine.</w:t>
            </w:r>
            <w:r>
              <w:t xml:space="preserve"> About nineteen </w:t>
            </w:r>
            <w:r>
              <w:rPr>
                <w:b/>
              </w:rPr>
              <w:t>in all</w:t>
            </w:r>
            <w:r>
              <w:t>, across the whole pilot. A per-year rate is not just unsupported, it is impossible on the bill's own cap</w:t>
            </w:r>
          </w:p>
        </w:tc>
      </w:tr>
      <w:tr>
        <w:tc>
          <w:tcPr>
            <w:tcW w:type="dxa" w:w="3216"/>
          </w:tcPr>
          <w:p>
            <w:pPr>
              <w:spacing w:after="40"/>
            </w:pPr>
            <w:r/>
            <w:r>
              <w:rPr>
                <w:b/>
              </w:rPr>
              <w:t>Q2</w:t>
            </w:r>
          </w:p>
        </w:tc>
        <w:tc>
          <w:tcPr>
            <w:tcW w:type="dxa" w:w="3216"/>
          </w:tcPr>
          <w:p>
            <w:pPr>
              <w:spacing w:after="40"/>
            </w:pPr>
            <w:r/>
            <w:r>
              <w:rPr>
                <w:i/>
              </w:rPr>
              <w:t xml:space="preserve">"a capped $3,000,000 </w:t>
            </w:r>
            <w:r>
              <w:rPr>
                <w:i/>
              </w:rPr>
              <w:t>appropriation</w:t>
            </w:r>
            <w:r>
              <w:rPr>
                <w:i/>
              </w:rPr>
              <w:t>"</w:t>
            </w:r>
          </w:p>
        </w:tc>
        <w:tc>
          <w:tcPr>
            <w:tcW w:type="dxa" w:w="3216"/>
          </w:tcPr>
          <w:p>
            <w:pPr>
              <w:spacing w:after="40"/>
            </w:pPr>
            <w:r/>
            <w:r>
              <w:rPr>
                <w:b/>
              </w:rPr>
              <w:t>Option (c) — my own words, and the point is worth its own sentence.</w:t>
            </w:r>
            <w:r>
              <w:t xml:space="preserve"> The bill appropriates nothing, and the shut-off in subsection K is a feature to state, not a flaw to bury</w:t>
            </w:r>
          </w:p>
        </w:tc>
      </w:tr>
      <w:tr>
        <w:tc>
          <w:tcPr>
            <w:tcW w:type="dxa" w:w="3216"/>
          </w:tcPr>
          <w:p>
            <w:pPr>
              <w:spacing w:after="40"/>
            </w:pPr>
            <w:r/>
            <w:r>
              <w:rPr>
                <w:b/>
              </w:rPr>
              <w:t>Q3</w:t>
            </w:r>
          </w:p>
        </w:tc>
        <w:tc>
          <w:tcPr>
            <w:tcW w:type="dxa" w:w="3216"/>
          </w:tcPr>
          <w:p>
            <w:pPr>
              <w:spacing w:after="40"/>
            </w:pPr>
            <w:r/>
            <w:r>
              <w:t>does pass 12's C8 stay in §8</w:t>
            </w:r>
          </w:p>
        </w:tc>
        <w:tc>
          <w:tcPr>
            <w:tcW w:type="dxa" w:w="3216"/>
          </w:tcPr>
          <w:p>
            <w:pPr>
              <w:spacing w:after="40"/>
            </w:pPr>
            <w:r/>
            <w:r>
              <w:rPr>
                <w:b/>
              </w:rPr>
              <w:t>Option (b) in substance, reframed.</w:t>
            </w:r>
            <w:r>
              <w:t xml:space="preserve"> C8 is retired as written and replaced by a new must-appear, </w:t>
            </w:r>
            <w:r>
              <w:rPr>
                <w:b/>
              </w:rPr>
              <w:t>C19</w:t>
            </w:r>
            <w:r>
              <w:t xml:space="preserve">, on S-5 / §7 item 118. </w:t>
            </w:r>
            <w:r>
              <w:rPr>
                <w:b/>
              </w:rPr>
              <w:t>I am putting S-5 on the must-appear list</w:t>
            </w:r>
          </w:p>
        </w:tc>
      </w:tr>
    </w:tbl>
    <w:p>
      <w:pPr>
        <w:spacing w:after="120"/>
      </w:pPr>
      <w:r>
        <w:rPr>
          <w:b/>
        </w:rPr>
        <w:t>All three standing rules in the register are lifted</w:t>
      </w:r>
      <w:r>
        <w:t xml:space="preserve"> on the terms below, and §1 and §2 give the replacement wording in full so the Editor has drop-in text and no arithmetic of their own to do.</w:t>
      </w:r>
    </w:p>
    <w:p>
      <w:pPr>
        <w:spacing w:after="120"/>
      </w:pPr>
      <w:r>
        <w:rPr>
          <w:b/>
        </w:rPr>
        <w:t>The plain-language summary becomes four sentences, not three.</w:t>
      </w:r>
      <w:r>
        <w:t xml:space="preserve"> That is deliberate and it is §1.3.</w:t>
      </w:r>
    </w:p>
    <w:p>
      <w:pPr>
        <w:spacing w:after="120"/>
      </w:pPr>
      <w:r>
        <w:rPr>
          <w:b/>
        </w:rPr>
        <w:t>One record correction, not an answer.</w:t>
      </w:r>
      <w:r>
        <w:t xml:space="preserve"> The register cites C8 at </w:t>
      </w:r>
      <w:r>
        <w:rPr>
          <w:i/>
        </w:rPr>
        <w:t>"card item 85."</w:t>
      </w:r>
      <w:r>
        <w:t xml:space="preserve"> The live §7 item for C8's ground is </w:t>
      </w:r>
      <w:r>
        <w:rPr>
          <w:b/>
        </w:rPr>
        <w:t>item 90</w:t>
      </w:r>
      <w:r>
        <w:t>; §7 item 85 is pass 15's S-2 rescission-occupancy question. §4.</w:t>
      </w:r>
    </w:p>
    <w:p>
      <w:pPr>
        <w:pStyle w:val="Heading2"/>
      </w:pPr>
      <w:r>
        <w:t>1. Q1 — the rate is wrong, and the bill's own cap proves it</w:t>
      </w:r>
    </w:p>
    <w:p>
      <w:pPr>
        <w:spacing w:after="120"/>
      </w:pPr>
      <w:r>
        <w:rPr>
          <w:b/>
        </w:rPr>
        <w:t>Decision: option (a). About nineteen state employees in all, over the four-year pilot. No per-year rate exists and none can be named, because none is arithmetically available.</w:t>
      </w:r>
    </w:p>
    <w:p>
      <w:pPr>
        <w:pStyle w:val="Heading3"/>
      </w:pPr>
      <w:r>
        <w:t>1.1 The register is right, and there is a shorter proof than the one it gives</w:t>
      </w:r>
    </w:p>
    <w:p>
      <w:pPr>
        <w:spacing w:after="120"/>
      </w:pPr>
      <w:r>
        <w:t xml:space="preserve">The register reproduces the authorised </w:t>
      </w:r>
      <w:r>
        <w:rPr>
          <w:b/>
        </w:rPr>
        <w:t>78.1872 percent</w:t>
      </w:r>
      <w:r>
        <w:t xml:space="preserve"> central cap utilisation on the whole-pilot reading and I have reproduced it independently: 18.3965 × $106,253 = $1,954,683 reserved, × the 20 percent contingency = $2,345,620, ÷ $3,000,000 = </w:t>
      </w:r>
      <w:r>
        <w:rPr>
          <w:b/>
        </w:rPr>
        <w:t>78.1873 percent</w:t>
      </w:r>
      <w:r>
        <w:t>. That is the authorised figure to the last published digit. The whole-pilot reading is the published basis and there is no second basis.</w:t>
      </w:r>
    </w:p>
    <w:p>
      <w:pPr>
        <w:spacing w:after="120"/>
      </w:pPr>
      <w:r>
        <w:rPr>
          <w:b/>
        </w:rPr>
        <w:t>But the conclusive point does not need the participation model at all. It is in the bill.</w:t>
      </w:r>
    </w:p>
    <w:p>
      <w:pPr>
        <w:spacing w:after="120"/>
      </w:pPr>
      <w:r>
        <w:t xml:space="preserve">Subdivision D 2 forbids the Board to accept an election where the certified subsidy, </w:t>
      </w:r>
      <w:r>
        <w:rPr>
          <w:b/>
        </w:rPr>
        <w:t>together with the contingency amount and together with every certified subsidy and contingency amount previously reserved and not released</w:t>
      </w:r>
      <w:r>
        <w:t xml:space="preserve">, would exceed </w:t>
      </w:r>
      <w:r>
        <w:rPr>
          <w:b/>
        </w:rPr>
        <w:t>$3,000,000</w:t>
      </w:r>
      <w:r>
        <w:t xml:space="preserve">. That limitation is cumulative on its face, it is expressly </w:t>
      </w:r>
      <w:r>
        <w:rPr>
          <w:i/>
        </w:rPr>
        <w:t>"self-executing"</w:t>
      </w:r>
      <w:r>
        <w:t xml:space="preserve">, and D 2's last sentence forecloses the only route round it — a zero or negative certification </w:t>
      </w:r>
      <w:r>
        <w:rPr>
          <w:i/>
        </w:rPr>
        <w:t>"shall not increase the amount available to be reserved for any other election."</w:t>
      </w:r>
    </w:p>
    <w:p>
      <w:pPr>
        <w:spacing w:after="120"/>
      </w:pPr>
      <w:r>
        <w:t xml:space="preserve">So on the central per-member certified subsidy of $106,253 plus its 20 percent contingency, the </w:t>
      </w:r>
      <w:r>
        <w:rPr>
          <w:b/>
        </w:rPr>
        <w:t>absolute ceiling on elections the Board may ever accept across the entire pilot is</w:t>
      </w:r>
    </w:p>
    <w:p>
      <w:pPr>
        <w:spacing w:before="80" w:after="160"/>
        <w:ind w:left="504"/>
      </w:pPr>
      <w:r>
        <w:t xml:space="preserve">$3,000,000 ÷ ($106,253 × 1.20) = </w:t>
      </w:r>
      <w:r>
        <w:rPr>
          <w:b/>
        </w:rPr>
        <w:t>23.5, so twenty-three elections.</w:t>
      </w:r>
    </w:p>
    <w:p>
      <w:pPr>
        <w:spacing w:after="120"/>
      </w:pPr>
      <w:r>
        <w:t xml:space="preserve">Nineteen a year for four years is </w:t>
      </w:r>
      <w:r>
        <w:rPr>
          <w:b/>
        </w:rPr>
        <w:t>seventy-four</w:t>
      </w:r>
      <w:r>
        <w:t xml:space="preserve">. The sentence as I wrote it describes a program more than three times the size of the one the bill authorises, and the bill forbids the Board to run it. This is not a question of which basis to prefer. </w:t>
      </w:r>
      <w:r>
        <w:rPr>
          <w:b/>
        </w:rPr>
        <w:t>One reading is impossible on the text.</w:t>
      </w:r>
    </w:p>
    <w:p>
      <w:pPr>
        <w:pStyle w:val="Heading3"/>
      </w:pPr>
      <w:r>
        <w:t>1.2 The error is mine and the Editor was right to hold it</w:t>
      </w:r>
    </w:p>
    <w:p>
      <w:pPr>
        <w:spacing w:after="120"/>
      </w:pPr>
      <w:r>
        <w:t xml:space="preserve">The Editor was given the sentence </w:t>
      </w:r>
      <w:r>
        <w:rPr>
          <w:i/>
        </w:rPr>
        <w:t>"as given and not paraphrased"</w:t>
      </w:r>
      <w:r>
        <w:t xml:space="preserve"> and declined to change the stated scale of the program on their own arithmetic. </w:t>
      </w:r>
      <w:r>
        <w:rPr>
          <w:b/>
        </w:rPr>
        <w:t>That is the correct instinct and I want it kept.</w:t>
      </w:r>
      <w:r>
        <w:t xml:space="preserve"> The rule stands: where a figure in supplied text contradicts the authorised basis, hold it and route it — do not reconcile it, even when the reconciliation looks obvious. It looked obvious here and it still needed my signature, because the fix changes what the package claims the bill does.</w:t>
      </w:r>
    </w:p>
    <w:p>
      <w:pPr>
        <w:pStyle w:val="Heading3"/>
      </w:pPr>
      <w:r>
        <w:t>1.3 The replacement sentence, and why the summary is now four sentences</w:t>
      </w:r>
    </w:p>
    <w:p>
      <w:pPr>
        <w:spacing w:after="120"/>
      </w:pPr>
      <w:r>
        <w:rPr>
          <w:b/>
        </w:rPr>
        <w:t>Sentence one is replaced and a new sentence two is inserted.</w:t>
      </w:r>
      <w:r>
        <w:t xml:space="preserve"> Sentences two and three of the original become three and four, unchanged — the register has already cleared them as accurate on the live text.</w:t>
      </w:r>
    </w:p>
    <w:p>
      <w:pPr>
        <w:spacing w:before="80" w:after="160"/>
        <w:ind w:left="504"/>
      </w:pPr>
      <w:r>
        <w:t xml:space="preserve">The bill creates a four-year pilot under which about nineteen state employees </w:t>
      </w:r>
      <w:r>
        <w:rPr>
          <w:b/>
        </w:rPr>
        <w:t>in all</w:t>
      </w:r>
      <w:r>
        <w:t xml:space="preserve"> may buy credit for prior active-duty military service at a subsidised price, with the Commonwealth paying the difference up to a </w:t>
      </w:r>
      <w:r>
        <w:rPr>
          <w:b/>
        </w:rPr>
        <w:t>$3,000,000 cap on what it may commit over the life of the pilot</w:t>
      </w:r>
      <w:r>
        <w:t xml:space="preserve">. </w:t>
      </w:r>
      <w:r>
        <w:rPr>
          <w:b/>
        </w:rPr>
        <w:t>The $3,000,000 is a ceiling, not an appropriation: the bill appropriates nothing, and in any year the General Assembly does not fund what the Board certifies as necessary, the program accepts no new elections.</w:t>
      </w:r>
      <w:r>
        <w:t xml:space="preserve"> A member who takes the subsidy must retire within a fixed window on a retirement that is not actuarially reduced, and if she does not, her purchased credit is cut back to what her own payments would have bought at the ordinary price. The pilot protects the member who dies, is approved for disability, is involuntarily separated, or is defeated by an error of the Board, and it expires after the pilot period with a report to the Governor and the money committees.</w:t>
      </w:r>
    </w:p>
    <w:p>
      <w:pPr>
        <w:spacing w:after="120"/>
      </w:pPr>
      <w:r>
        <w:rPr>
          <w:b/>
        </w:rPr>
        <w:t>Three words carry the Q1 fix:</w:t>
      </w:r>
      <w:r>
        <w:t xml:space="preserve"> </w:t>
      </w:r>
      <w:r>
        <w:rPr>
          <w:i/>
        </w:rPr>
        <w:t>"in all."</w:t>
      </w:r>
      <w:r>
        <w:t xml:space="preserve"> Not </w:t>
      </w:r>
      <w:r>
        <w:rPr>
          <w:i/>
        </w:rPr>
        <w:t>"over the four-year pilot"</w:t>
      </w:r>
      <w:r>
        <w:t xml:space="preserve"> — the sentence has already said </w:t>
      </w:r>
      <w:r>
        <w:rPr>
          <w:i/>
        </w:rPr>
        <w:t>"four-year pilot"</w:t>
      </w:r>
      <w:r>
        <w:t xml:space="preserve"> and the repetition would read as a correction of something, which invites the question. </w:t>
      </w:r>
      <w:r>
        <w:rPr>
          <w:i/>
        </w:rPr>
        <w:t>"In all"</w:t>
      </w:r>
      <w:r>
        <w:t xml:space="preserve"> resolves the rate in two words and reads as ordinary English.</w:t>
      </w:r>
    </w:p>
    <w:p>
      <w:pPr>
        <w:spacing w:after="120"/>
      </w:pPr>
      <w:r>
        <w:rPr>
          <w:b/>
        </w:rPr>
        <w:t>The register's four bindings on this statement all survive</w:t>
      </w:r>
      <w:r>
        <w:t xml:space="preserve"> and binding 2 is discharged: sentence one is released. Binding 3 — the report's recipients are four, not two — still governs, so the compression to </w:t>
      </w:r>
      <w:r>
        <w:rPr>
          <w:i/>
        </w:rPr>
        <w:t>"the Governor and the money committees"</w:t>
      </w:r>
      <w:r>
        <w:t xml:space="preserve"> is available only on a page that has already named all four. Binding 4's forward pointer to §8 still travels with it, and §3 below adds an entry to §8 that it points to.</w:t>
      </w:r>
    </w:p>
    <w:p>
      <w:pPr>
        <w:spacing w:after="120"/>
      </w:pPr>
      <w:r>
        <w:rPr>
          <w:b/>
        </w:rPr>
        <w:t>This statement is still the one for memo §2 opening and the one-pager bullets</w:t>
      </w:r>
      <w:r>
        <w:t>, and it still supersedes MOO-90's for the opening.</w:t>
      </w:r>
    </w:p>
    <w:p>
      <w:pPr>
        <w:pStyle w:val="Heading2"/>
      </w:pPr>
      <w:r>
        <w:t>2. Q2 — option (c): the bill appropriates nothing, and that is worth a sentence of its own</w:t>
      </w:r>
    </w:p>
    <w:p>
      <w:pPr>
        <w:spacing w:after="120"/>
      </w:pPr>
      <w:r>
        <w:rPr>
          <w:b/>
        </w:rPr>
        <w:t xml:space="preserve">Decision: my own words, as set out in §1.3's new sentence two. I am not taking option (d). The word </w:t>
      </w:r>
      <w:r>
        <w:rPr>
          <w:b/>
          <w:i/>
        </w:rPr>
        <w:t>"appropriation"</w:t>
      </w:r>
      <w:r>
        <w:rPr>
          <w:b/>
        </w:rPr>
        <w:t xml:space="preserve"> is withdrawn and may not be used of the $3,000,000 in any artifact.</w:t>
      </w:r>
    </w:p>
    <w:p>
      <w:pPr>
        <w:pStyle w:val="Heading3"/>
      </w:pPr>
      <w:r>
        <w:t>2.1 I verified it myself, at store revision 58</w:t>
      </w:r>
    </w:p>
    <w:p>
      <w:pPr>
        <w:spacing w:after="120"/>
      </w:pPr>
      <w:r>
        <w:t>The register verified this at store revision 57. Store revision 58's eight substitutions fall in subdivisions G 4, D 1 and M 2, so they do not touch it, and I confirmed the position directly in the live body:</w:t>
      </w:r>
    </w:p>
    <w:p>
      <w:pPr>
        <w:pStyle w:val="ListBullet"/>
        <w:spacing w:after="60"/>
      </w:pPr>
      <w:r>
        <w:rPr>
          <w:b/>
        </w:rPr>
        <w:t>D 2</w:t>
      </w:r>
      <w:r>
        <w:t xml:space="preserve"> limits what the Board may </w:t>
      </w:r>
      <w:r>
        <w:rPr>
          <w:b/>
        </w:rPr>
        <w:t>reserve</w:t>
      </w:r>
      <w:r>
        <w:t xml:space="preserve"> — </w:t>
      </w:r>
      <w:r>
        <w:rPr>
          <w:i/>
        </w:rPr>
        <w:t>"would exceed $3,000,000"</w:t>
      </w:r>
      <w:r>
        <w:t xml:space="preserve"> — and nothing else.</w:t>
      </w:r>
    </w:p>
    <w:p>
      <w:pPr>
        <w:pStyle w:val="ListBullet"/>
        <w:spacing w:after="60"/>
      </w:pPr>
      <w:r>
        <w:rPr>
          <w:b/>
        </w:rPr>
        <w:t>D 3</w:t>
      </w:r>
      <w:r>
        <w:t xml:space="preserve"> requires, before any reservation, the written confirmation of the Director of the Department of Planning and Budget that </w:t>
      </w:r>
      <w:r>
        <w:rPr>
          <w:i/>
        </w:rPr>
        <w:t>"funds appropriated and legally available for the purposes of this section are sufficient to fund the reservation"</w:t>
      </w:r>
      <w:r>
        <w:t xml:space="preserve">, and requires </w:t>
      </w:r>
      <w:r>
        <w:rPr>
          <w:b/>
        </w:rPr>
        <w:t>a further confirmation for each fiscal year in which any reservation remains in effect</w:t>
      </w:r>
      <w:r>
        <w:t xml:space="preserve"> — </w:t>
      </w:r>
      <w:r>
        <w:rPr>
          <w:i/>
        </w:rPr>
        <w:t>"until that confirmation is obtained the Board shall accept no further election."</w:t>
      </w:r>
    </w:p>
    <w:p>
      <w:pPr>
        <w:pStyle w:val="ListBullet"/>
        <w:spacing w:after="60"/>
      </w:pPr>
      <w:r>
        <w:rPr>
          <w:b/>
        </w:rPr>
        <w:t>Subsection K</w:t>
      </w:r>
      <w:r>
        <w:t xml:space="preserve"> provides that if the General Assembly </w:t>
      </w:r>
      <w:r>
        <w:rPr>
          <w:i/>
        </w:rPr>
        <w:t>"does not appropriate, for any fiscal year,"</w:t>
      </w:r>
      <w:r>
        <w:t xml:space="preserve"> the amount the Board has certified as necessary, </w:t>
      </w:r>
      <w:r>
        <w:rPr>
          <w:i/>
        </w:rPr>
        <w:t>"the Board shall accept no election filed on or after the first day of that fiscal year, and shall give public notice of that fact"</w:t>
      </w:r>
      <w:r>
        <w:t xml:space="preserve"> — while leaving accepted elections, made reservations and credited service untouched.</w:t>
      </w:r>
    </w:p>
    <w:p>
      <w:pPr>
        <w:pStyle w:val="ListBullet"/>
        <w:spacing w:after="60"/>
      </w:pPr>
      <w:r>
        <w:t xml:space="preserve">The strings </w:t>
      </w:r>
      <w:r>
        <w:rPr>
          <w:i/>
        </w:rPr>
        <w:t>"hereby appropriated"</w:t>
      </w:r>
      <w:r>
        <w:t xml:space="preserve">, </w:t>
      </w:r>
      <w:r>
        <w:rPr>
          <w:i/>
        </w:rPr>
        <w:t>"is appropriated"</w:t>
      </w:r>
      <w:r>
        <w:t xml:space="preserve"> and </w:t>
      </w:r>
      <w:r>
        <w:rPr>
          <w:i/>
        </w:rPr>
        <w:t>"appropriation of"</w:t>
      </w:r>
      <w:r>
        <w:t xml:space="preserve"> appear </w:t>
      </w:r>
      <w:r>
        <w:rPr>
          <w:b/>
        </w:rPr>
        <w:t>nowhere</w:t>
      </w:r>
      <w:r>
        <w:t xml:space="preserve"> in the document.</w:t>
      </w:r>
    </w:p>
    <w:p>
      <w:pPr>
        <w:spacing w:after="120"/>
      </w:pPr>
      <w:r>
        <w:t xml:space="preserve">So the $3,000,000 is a </w:t>
      </w:r>
      <w:r>
        <w:rPr>
          <w:b/>
        </w:rPr>
        <w:t>statutory ceiling on reservations whose funding depends on a separate annual appropriation.</w:t>
      </w:r>
      <w:r>
        <w:t xml:space="preserve"> The register's reading is exactly right.</w:t>
      </w:r>
    </w:p>
    <w:p>
      <w:pPr>
        <w:pStyle w:val="Heading3"/>
      </w:pPr>
      <w:r>
        <w:t>2.2 Why not option (b), and why not option (d)</w:t>
      </w:r>
    </w:p>
    <w:p>
      <w:pPr>
        <w:spacing w:after="120"/>
      </w:pPr>
      <w:r>
        <w:rPr>
          <w:b/>
        </w:rPr>
        <w:t xml:space="preserve">Option (b) — </w:t>
      </w:r>
      <w:r>
        <w:rPr>
          <w:b/>
          <w:i/>
        </w:rPr>
        <w:t>"…up to a $3,000,000 cap, funded by annual appropriation"</w:t>
      </w:r>
      <w:r>
        <w:rPr>
          <w:b/>
        </w:rPr>
        <w:t xml:space="preserve"> — is accurate but it buries the lead.</w:t>
      </w:r>
      <w:r>
        <w:t xml:space="preserve"> It reads as a note on plumbing. The fact a money-committee reader wants in the first paragraph is not how the cap is funded; it is that </w:t>
      </w:r>
      <w:r>
        <w:rPr>
          <w:b/>
        </w:rPr>
        <w:t>the bill asks for no money and switches itself off if none comes.</w:t>
      </w:r>
      <w:r>
        <w:t xml:space="preserve"> That is a containment feature, and a package that mentions it only in a subordinate clause is leaving its best fiscal argument on the table.</w:t>
      </w:r>
    </w:p>
    <w:p>
      <w:pPr>
        <w:spacing w:after="120"/>
      </w:pPr>
      <w:r>
        <w:rPr>
          <w:b/>
        </w:rPr>
        <w:t xml:space="preserve">Option (d) — keep </w:t>
      </w:r>
      <w:r>
        <w:rPr>
          <w:b/>
          <w:i/>
        </w:rPr>
        <w:t>"appropriation"</w:t>
      </w:r>
      <w:r>
        <w:rPr>
          <w:b/>
        </w:rPr>
        <w:t xml:space="preserve"> as a deliberate simplification — I decline, and the reason is not pedantry.</w:t>
      </w:r>
      <w:r>
        <w:t xml:space="preserve"> It is the one sentence in the summary that a committee staffer can correct out loud, and the correction costs more than the word saves: it makes every other figure in the room look like it needs checking. A simplification that cannot survive the first question is not a simplification.</w:t>
      </w:r>
    </w:p>
    <w:p>
      <w:pPr>
        <w:pStyle w:val="Heading3"/>
      </w:pPr>
      <w:r>
        <w:t>2.3 The binding</w:t>
      </w:r>
    </w:p>
    <w:p>
      <w:pPr>
        <w:spacing w:after="120"/>
      </w:pPr>
      <w:r>
        <w:rPr>
          <w:b/>
        </w:rPr>
        <w:t xml:space="preserve">The word </w:t>
      </w:r>
      <w:r>
        <w:rPr>
          <w:b/>
          <w:i/>
        </w:rPr>
        <w:t>"appropriation"</w:t>
      </w:r>
      <w:r>
        <w:rPr>
          <w:b/>
        </w:rPr>
        <w:t xml:space="preserve"> is not to be used of the $3,000,000 anywhere.</w:t>
      </w:r>
      <w:r>
        <w:t xml:space="preserve"> Available formulations, all accurate on the text:</w:t>
      </w:r>
    </w:p>
    <w:p>
      <w:pPr>
        <w:pStyle w:val="ListBullet"/>
        <w:spacing w:after="60"/>
      </w:pPr>
      <w:r>
        <w:rPr>
          <w:i/>
        </w:rPr>
        <w:t>"a $3,000,000 cap on what the Commonwealth may commit"</w:t>
      </w:r>
    </w:p>
    <w:p>
      <w:pPr>
        <w:pStyle w:val="ListBullet"/>
        <w:spacing w:after="60"/>
      </w:pPr>
      <w:r>
        <w:rPr>
          <w:i/>
        </w:rPr>
        <w:t>"a $3,000,000 ceiling on the Commonwealth's share, not an appropriation"</w:t>
      </w:r>
    </w:p>
    <w:p>
      <w:pPr>
        <w:pStyle w:val="ListBullet"/>
        <w:spacing w:after="60"/>
      </w:pPr>
      <w:r>
        <w:rPr>
          <w:i/>
        </w:rPr>
        <w:t>"a $3,000,000 cap on reservations"</w:t>
      </w:r>
      <w:r>
        <w:t xml:space="preserve"> — where the audience knows what a reservation is, and nowhere else</w:t>
      </w:r>
    </w:p>
    <w:p>
      <w:pPr>
        <w:spacing w:after="120"/>
      </w:pPr>
      <w:r>
        <w:rPr>
          <w:b/>
        </w:rPr>
        <w:t>And the shut-off is stated with the cap, not separately.</w:t>
      </w:r>
      <w:r>
        <w:t xml:space="preserve"> The cap on its own invites </w:t>
      </w:r>
      <w:r>
        <w:rPr>
          <w:i/>
        </w:rPr>
        <w:t>"and who pays for it?"</w:t>
      </w:r>
      <w:r>
        <w:t xml:space="preserve"> The two facts answer each other and they travel together.</w:t>
      </w:r>
    </w:p>
    <w:p>
      <w:pPr>
        <w:pStyle w:val="Heading2"/>
      </w:pPr>
      <w:r>
        <w:t>3. Q3 — option (b), reframed: C8 is retired and C19 replaces it</w:t>
      </w:r>
    </w:p>
    <w:p>
      <w:pPr>
        <w:spacing w:after="120"/>
      </w:pPr>
      <w:r>
        <w:rPr>
          <w:b/>
        </w:rPr>
        <w:t>Decision: C8 is retired as written. A new must-appear entry, C19, takes its place in §8, on pass 17's S-5 / §7 item 118. I am putting S-5 on the must-appear list — §7 of the register says that instruction is mine to give, and I am giving it.</w:t>
      </w:r>
    </w:p>
    <w:p>
      <w:pPr>
        <w:pStyle w:val="Heading3"/>
      </w:pPr>
      <w:r>
        <w:t>3.1 Why not option (a), and why not option (c)</w:t>
      </w:r>
    </w:p>
    <w:p>
      <w:pPr>
        <w:spacing w:after="120"/>
      </w:pPr>
      <w:r>
        <w:rPr>
          <w:b/>
        </w:rPr>
        <w:t>Option (a) — retire C8 and leave S-5 off — fails because the finding is not about the report.</w:t>
      </w:r>
      <w:r>
        <w:t xml:space="preserve"> I read §7 item 118 in the live text. The reporting duty is the </w:t>
      </w:r>
      <w:r>
        <w:rPr>
          <w:b/>
        </w:rPr>
        <w:t>third</w:t>
      </w:r>
      <w:r>
        <w:t xml:space="preserve"> of three consequences and the least of them. The first two are:</w:t>
      </w:r>
    </w:p>
    <w:p>
      <w:pPr>
        <w:pStyle w:val="ListNumber"/>
        <w:spacing w:after="60"/>
      </w:pPr>
      <w:r>
        <w:rPr>
          <w:b/>
        </w:rPr>
        <w:t>A single member can hold the program's capacity open indefinitely.</w:t>
      </w:r>
      <w:r>
        <w:t xml:space="preserve"> While any disability application is on file the Board is forbidden to make the subdivision 2 determination and no period runs. The 120-day aggregate caps </w:t>
      </w:r>
      <w:r>
        <w:rPr>
          <w:b/>
        </w:rPr>
        <w:t>subsection M requests</w:t>
      </w:r>
      <w:r>
        <w:t xml:space="preserve"> and nothing else — disability applications are uncapped and uncounted. A member who applies, is denied, and applies again is never reduced. D 7's second sentence withholds release of her reservation while her vesting is undetermined, so her share of the $3,000,000 stays </w:t>
      </w:r>
      <w:r>
        <w:rPr>
          <w:b/>
        </w:rPr>
        <w:t>committed and never spent.</w:t>
      </w:r>
    </w:p>
    <w:p>
      <w:pPr>
        <w:pStyle w:val="ListNumber"/>
        <w:spacing w:after="60"/>
      </w:pPr>
      <w:r>
        <w:rPr>
          <w:b/>
        </w:rPr>
        <w:t>Everybody behind her waits, and new acceptance stops.</w:t>
      </w:r>
      <w:r>
        <w:t xml:space="preserve"> The amount is charged against a $3,000,000 cumulative limitation on a program whose absolute ceiling is about twenty-three elections (§1.1), so the waiting list in D 5 bears it; and until a fresh Department of Planning and Budget confirmation is obtained under D 3 the Board may accept </w:t>
      </w:r>
      <w:r>
        <w:rPr>
          <w:b/>
        </w:rPr>
        <w:t>no further election</w:t>
      </w:r>
      <w:r>
        <w:t xml:space="preserve"> at all.</w:t>
      </w:r>
    </w:p>
    <w:p>
      <w:pPr>
        <w:spacing w:after="120"/>
      </w:pPr>
      <w:r>
        <w:rPr>
          <w:b/>
        </w:rPr>
        <w:t>That is a fiscal and distributive defect, not a reporting one</w:t>
      </w:r>
      <w:r>
        <w:t>, and it is the same family as C12 and as §7 item 85's appropriation-occupancy question. Something that can occupy a quarter of the program's capacity on one member's repeat filings does not belong off the list.</w:t>
      </w:r>
    </w:p>
    <w:p>
      <w:pPr>
        <w:spacing w:after="120"/>
      </w:pPr>
      <w:r>
        <w:rPr>
          <w:b/>
        </w:rPr>
        <w:t>Option (c) — retire C8 and send item 118 to §9 as an open question — understates it the same way.</w:t>
      </w:r>
      <w:r>
        <w:t xml:space="preserve"> §9 is where questions go that the package has not answered. This one is answered: the reviewer names the defect, names the mechanism, and recommends two specific repairs, </w:t>
      </w:r>
      <w:r>
        <w:rPr>
          <w:b/>
        </w:rPr>
        <w:t>neither of which is drafted into the bill.</w:t>
      </w:r>
      <w:r>
        <w:t xml:space="preserve"> A known defect with a known unenacted cure is a §8 risk. It can carry a pointer into §9 for the choice between the two repairs, but its home is §8.</w:t>
      </w:r>
    </w:p>
    <w:p>
      <w:pPr>
        <w:pStyle w:val="Heading3"/>
      </w:pPr>
      <w:r>
        <w:t>3.2 C19 — the entry, and the wording is fixed</w:t>
      </w:r>
    </w:p>
    <w:p>
      <w:pPr>
        <w:spacing w:after="120"/>
      </w:pPr>
      <w:r>
        <w:rPr>
          <w:b/>
        </w:rPr>
        <w:t>C19 — S-5: uncapped disability-application pendency lets one member occupy the cap, freeze the queue and make the annual report perpetual — OPEN, §7 item 118, enacted nowhere. Must appear.</w:t>
      </w:r>
    </w:p>
    <w:p>
      <w:pPr>
        <w:spacing w:after="120"/>
      </w:pPr>
      <w:r>
        <w:t>Memo-ready text:</w:t>
      </w:r>
    </w:p>
    <w:p>
      <w:pPr>
        <w:spacing w:before="80" w:after="160"/>
        <w:ind w:left="504"/>
      </w:pPr>
      <w:r>
        <w:rPr>
          <w:b/>
        </w:rPr>
        <w:t>One member can hold the program's capacity open indefinitely, and the bill gives the Board no way to close it.</w:t>
      </w:r>
      <w:r>
        <w:t xml:space="preserve"> The bill's 120-day aggregate limit caps requests for review of the Board's decisions and nothing else. Disability applications are uncapped and uncounted: while any application is on file the Board is forbidden to cut back the member's purchased credit and no period runs, so a member who applies, is denied, and applies again is never cut back. </w:t>
      </w:r>
      <w:r>
        <w:rPr>
          <w:b/>
        </w:rPr>
        <w:t>The consequence is fiscal before it is administrative.</w:t>
      </w:r>
      <w:r>
        <w:t xml:space="preserve"> The bill forbids the Board to release her reservation while her entitlement is undetermined, so her share of the $3,000,000 stays committed and is never spent. Because that limit is cumulative over the whole pilot, the applicants behind her go on the waiting list; and until the Department of Planning and Budget gives a fresh confirmation for the year, the Board may accept </w:t>
      </w:r>
      <w:r>
        <w:rPr>
          <w:b/>
        </w:rPr>
        <w:t>no</w:t>
      </w:r>
      <w:r>
        <w:t xml:space="preserve"> further election. </w:t>
      </w:r>
      <w:r>
        <w:rPr>
          <w:b/>
        </w:rPr>
        <w:t>The annual report to the Governor and the money committees also never ends</w:t>
      </w:r>
      <w:r>
        <w:t xml:space="preserve">, because the condition that is supposed to end it can never be satisfied while any election remains undetermined. </w:t>
      </w:r>
      <w:r>
        <w:rPr>
          <w:b/>
        </w:rPr>
        <w:t>The Lab's reviewer recommends two repairs — extend the 120-day aggregate to disability applications filed after the first, and give the reporting duty an outer date. Neither is in the bill.</w:t>
      </w:r>
    </w:p>
    <w:p>
      <w:pPr>
        <w:spacing w:after="120"/>
      </w:pPr>
      <w:r>
        <w:t xml:space="preserve">Citation to carry: pass 17 finding </w:t>
      </w:r>
      <w:r>
        <w:rPr>
          <w:b/>
        </w:rPr>
        <w:t>S-5</w:t>
      </w:r>
      <w:r>
        <w:t xml:space="preserve">, carded as </w:t>
      </w:r>
      <w:r>
        <w:rPr>
          <w:b/>
        </w:rPr>
        <w:t>§7 item 118</w:t>
      </w:r>
      <w:r>
        <w:t xml:space="preserve">, as adopted in </w:t>
      </w:r>
      <w:r>
        <w:rPr>
          <w:rFonts w:ascii="Consolas" w:hAnsi="Consolas"/>
          <w:color w:val="1F4E79"/>
          <w:sz w:val="19"/>
        </w:rPr>
        <w:t>moo152-pass17-disposition</w:t>
      </w:r>
      <w:r>
        <w:t>; the operative text at D 3, D 7 and J 1 of the live body.</w:t>
      </w:r>
    </w:p>
    <w:p>
      <w:pPr>
        <w:spacing w:after="120"/>
      </w:pPr>
      <w:r>
        <w:rPr>
          <w:b/>
        </w:rPr>
        <w:t>Four bindings on C19.</w:t>
      </w:r>
    </w:p>
    <w:p>
      <w:pPr>
        <w:pStyle w:val="ListNumber"/>
        <w:spacing w:after="60"/>
      </w:pPr>
      <w:r>
        <w:rPr>
          <w:b/>
        </w:rPr>
        <w:t>No figure for the displacement.</w:t>
      </w:r>
      <w:r>
        <w:t xml:space="preserve"> How much capacity one member can hold, and how many applicants are displaced, is </w:t>
      </w:r>
      <w:r>
        <w:rPr>
          <w:b/>
        </w:rPr>
        <w:t>not priced</w:t>
      </w:r>
      <w:r>
        <w:t xml:space="preserve"> and no number is authorised. The $3,000,000, the $170,000 per-election cap and the 120-day aggregate are the bill's own figures and are available. The twenty-three-election ceiling at §1.1 is available </w:t>
      </w:r>
      <w:r>
        <w:rPr>
          <w:b/>
        </w:rPr>
        <w:t>as a cap arithmetic</w:t>
      </w:r>
      <w:r>
        <w:t>, attributed as such, and is not to be presented as a forecast of participation.</w:t>
      </w:r>
    </w:p>
    <w:p>
      <w:pPr>
        <w:pStyle w:val="ListNumber"/>
        <w:spacing w:after="60"/>
      </w:pPr>
      <w:r>
        <w:rPr>
          <w:b/>
        </w:rPr>
        <w:t>It is not netted against C12 or C18.</w:t>
      </w:r>
      <w:r>
        <w:t xml:space="preserve"> Three fiscal entries now sit in §8 — C12 on the cap and the non-completion population, C18 on the settlement count and the window, C19 on cap occupancy. They are three mechanisms. The memo states all three and nets none of them.</w:t>
      </w:r>
    </w:p>
    <w:p>
      <w:pPr>
        <w:pStyle w:val="ListNumber"/>
        <w:spacing w:after="60"/>
      </w:pPr>
      <w:r>
        <w:rPr>
          <w:b/>
        </w:rPr>
        <w:t>MOO-90's C3 hold applies and this entry complies.</w:t>
      </w:r>
      <w:r>
        <w:t xml:space="preserve"> Subdivision G is not called an exception path, a rare case, an edge case or a backstop, and </w:t>
      </w:r>
      <w:r>
        <w:rPr>
          <w:b/>
        </w:rPr>
        <w:t>no sentence in C19 leans on how few members reach it</w:t>
      </w:r>
      <w:r>
        <w:t xml:space="preserve"> — the point of the entry is that one member is enough.</w:t>
      </w:r>
    </w:p>
    <w:p>
      <w:pPr>
        <w:pStyle w:val="ListNumber"/>
        <w:spacing w:after="60"/>
      </w:pPr>
      <w:r>
        <w:rPr>
          <w:b/>
        </w:rPr>
        <w:t>It does not say counsel has cleared anything.</w:t>
      </w:r>
      <w:r>
        <w:t xml:space="preserve"> The standing caveat travels with it.</w:t>
      </w:r>
    </w:p>
    <w:p>
      <w:pPr>
        <w:pStyle w:val="Heading3"/>
      </w:pPr>
      <w:r>
        <w:t>3.3 The cure is recorded in §5 and is not stated in §8</w:t>
      </w:r>
    </w:p>
    <w:p>
      <w:pPr>
        <w:spacing w:after="120"/>
      </w:pPr>
      <w:r>
        <w:rPr>
          <w:b/>
        </w:rPr>
        <w:t>The register's standing rule that no artifact may say the terminal-date defect is cured stays in force as to §8, and I am making it permanent there.</w:t>
      </w:r>
    </w:p>
    <w:p>
      <w:pPr>
        <w:spacing w:after="120"/>
      </w:pPr>
      <w:r>
        <w:t xml:space="preserve">Pass 17 verified that store revision 52's edits 11 to 13 cure both pass-12 grounds, and the repair is visible on the face of J 1 — limb (a) now names in terms the two classes item 90 said were excepted from any determination, cancellation under D 6 and release under D 7 with no credit given, and the one-further-report mechanism is there. </w:t>
      </w:r>
      <w:r>
        <w:rPr>
          <w:b/>
        </w:rPr>
        <w:t>I accept that the two pass-12 grounds are closed.</w:t>
      </w:r>
    </w:p>
    <w:p>
      <w:pPr>
        <w:spacing w:after="120"/>
      </w:pPr>
      <w:r>
        <w:rPr>
          <w:b/>
        </w:rPr>
        <w:t>But the duty is still perpetual.</w:t>
      </w:r>
      <w:r>
        <w:t xml:space="preserve"> Only the route changed. A risk section that said </w:t>
      </w:r>
      <w:r>
        <w:rPr>
          <w:i/>
        </w:rPr>
        <w:t>"the terminal-date defect is cured"</w:t>
      </w:r>
      <w:r>
        <w:t xml:space="preserve"> and then carried C19 would be contradicting itself on the same page, and a reader who stopped at the first clause would be misled. </w:t>
      </w:r>
      <w:r>
        <w:rPr>
          <w:b/>
        </w:rPr>
        <w:t>The repair belongs in §5's carry-through table, where the register already has it, and nowhere else.</w:t>
      </w:r>
      <w:r>
        <w:t xml:space="preserve"> That is the whole point of keeping a carry-through table: it is where a cured entry goes to be recorded rather than advertised.</w:t>
      </w:r>
    </w:p>
    <w:p>
      <w:pPr>
        <w:spacing w:after="120"/>
      </w:pPr>
      <w:r>
        <w:rPr>
          <w:b/>
        </w:rPr>
        <w:t>C8 is retired as a must-appear.</w:t>
      </w:r>
      <w:r>
        <w:t xml:space="preserve"> No artifact states the pass-12 grounds, as grounds or as cured.</w:t>
      </w:r>
    </w:p>
    <w:p>
      <w:pPr>
        <w:pStyle w:val="Heading2"/>
      </w:pPr>
      <w:r>
        <w:t>4. One record correction, which is not an answer to anything</w:t>
      </w:r>
    </w:p>
    <w:p>
      <w:pPr>
        <w:spacing w:after="120"/>
      </w:pPr>
      <w:r>
        <w:rPr>
          <w:b/>
        </w:rPr>
        <w:t xml:space="preserve">The register cites C8 as </w:t>
      </w:r>
      <w:r>
        <w:rPr>
          <w:b/>
          <w:i/>
        </w:rPr>
        <w:t>"pass 12 S-1, card item 85."</w:t>
      </w:r>
      <w:r>
        <w:rPr>
          <w:b/>
        </w:rPr>
        <w:t xml:space="preserve"> The live §7 item is item 90</w:t>
      </w:r>
      <w:r>
        <w:t xml:space="preserve"> — </w:t>
      </w:r>
      <w:r>
        <w:rPr>
          <w:i/>
        </w:rPr>
        <w:t>"Subdivision J 1's terminal date can never arrive, on two independent grounds"</w:t>
      </w:r>
      <w:r>
        <w:t xml:space="preserve">, new in store revision 49 from pass 12's S-1. </w:t>
      </w:r>
      <w:r>
        <w:rPr>
          <w:b/>
        </w:rPr>
        <w:t>§7 item 85 is a different finding entirely</w:t>
      </w:r>
      <w:r>
        <w:t>: pass 15's S-2, the rescission limb's inert counterfactual cap, which is the appropriation-occupancy question I referred to at §3.1. Both numbers appear in the register's §2.3 and §5 rows.</w:t>
      </w:r>
    </w:p>
    <w:p>
      <w:pPr>
        <w:spacing w:after="120"/>
      </w:pPr>
      <w:r>
        <w:rPr>
          <w:b/>
        </w:rPr>
        <w:t>Nothing turns on it</w:t>
      </w:r>
      <w:r>
        <w:t xml:space="preserve"> — the finding the register describes is unambiguously item 90's, and the C19 citation at §3.2 is to item 118, which is correct. It is a citation to fix in the register so that an artifact built from it chases the right item. </w:t>
      </w:r>
      <w:r>
        <w:rPr>
          <w:b/>
        </w:rPr>
        <w:t>The Editor's to correct, not mine, and it changes no answer here.</w:t>
      </w:r>
    </w:p>
    <w:p>
      <w:pPr>
        <w:pStyle w:val="Heading2"/>
      </w:pPr>
      <w:r>
        <w:t>5. What is now released, and what is still held</w:t>
      </w:r>
    </w:p>
    <w:p>
      <w:pPr>
        <w:spacing w:after="120"/>
      </w:pPr>
      <w:r>
        <w:rPr>
          <w:b/>
        </w:rPr>
        <w:t>Released by this memo:</w:t>
      </w:r>
    </w:p>
    <w:tbl>
      <w:tblPr>
        <w:tblStyle w:val="TableGrid"/>
        <w:tblW w:type="auto" w:w="0"/>
        <w:tblLook w:firstColumn="1" w:firstRow="1" w:lastColumn="0" w:lastRow="0" w:noHBand="0" w:noVBand="1" w:val="04A0"/>
      </w:tblPr>
      <w:tblGrid>
        <w:gridCol w:w="4824"/>
        <w:gridCol w:w="4824"/>
      </w:tblGrid>
      <w:tr>
        <w:tc>
          <w:tcPr>
            <w:tcW w:type="dxa" w:w="4824"/>
          </w:tcPr>
          <w:p>
            <w:pPr>
              <w:spacing w:after="40"/>
            </w:pPr>
            <w:r>
              <w:rPr>
                <w:b/>
              </w:rPr>
            </w:r>
            <w:r>
              <w:rPr>
                <w:b/>
              </w:rPr>
              <w:t>Register standing rule</w:t>
            </w:r>
          </w:p>
        </w:tc>
        <w:tc>
          <w:tcPr>
            <w:tcW w:type="dxa" w:w="4824"/>
          </w:tcPr>
          <w:p>
            <w:pPr>
              <w:spacing w:after="40"/>
            </w:pPr>
            <w:r>
              <w:rPr>
                <w:b/>
              </w:rPr>
            </w:r>
            <w:r>
              <w:rPr>
                <w:b/>
              </w:rPr>
              <w:t>Status</w:t>
            </w:r>
          </w:p>
        </w:tc>
      </w:tr>
      <w:tr>
        <w:tc>
          <w:tcPr>
            <w:tcW w:type="dxa" w:w="4824"/>
          </w:tcPr>
          <w:p>
            <w:pPr>
              <w:spacing w:after="40"/>
            </w:pPr>
            <w:r/>
            <w:r>
              <w:t>No artifact states a per-year participation rate</w:t>
            </w:r>
          </w:p>
        </w:tc>
        <w:tc>
          <w:tcPr>
            <w:tcW w:type="dxa" w:w="4824"/>
          </w:tcPr>
          <w:p>
            <w:pPr>
              <w:spacing w:after="40"/>
            </w:pPr>
            <w:r/>
            <w:r>
              <w:rPr>
                <w:b/>
              </w:rPr>
              <w:t>Lifted.</w:t>
            </w:r>
            <w:r>
              <w:t xml:space="preserve"> §1.3's sentence one governs. </w:t>
            </w:r>
            <w:r>
              <w:rPr>
                <w:i/>
              </w:rPr>
              <w:t>"In all"</w:t>
            </w:r>
            <w:r>
              <w:t xml:space="preserve">, never </w:t>
            </w:r>
            <w:r>
              <w:rPr>
                <w:i/>
              </w:rPr>
              <w:t>"a year"</w:t>
            </w:r>
          </w:p>
        </w:tc>
      </w:tr>
      <w:tr>
        <w:tc>
          <w:tcPr>
            <w:tcW w:type="dxa" w:w="4824"/>
          </w:tcPr>
          <w:p>
            <w:pPr>
              <w:spacing w:after="40"/>
            </w:pPr>
            <w:r/>
            <w:r>
              <w:t>No artifact describes the $3,000,000 as an appropriation</w:t>
            </w:r>
          </w:p>
        </w:tc>
        <w:tc>
          <w:tcPr>
            <w:tcW w:type="dxa" w:w="4824"/>
          </w:tcPr>
          <w:p>
            <w:pPr>
              <w:spacing w:after="40"/>
            </w:pPr>
            <w:r/>
            <w:r>
              <w:rPr>
                <w:b/>
              </w:rPr>
              <w:t>Made permanent.</w:t>
            </w:r>
            <w:r>
              <w:t xml:space="preserve"> The word is withdrawn; §1.3's sentence two and §2.3's formulations are the replacements</w:t>
            </w:r>
          </w:p>
        </w:tc>
      </w:tr>
      <w:tr>
        <w:tc>
          <w:tcPr>
            <w:tcW w:type="dxa" w:w="4824"/>
          </w:tcPr>
          <w:p>
            <w:pPr>
              <w:spacing w:after="40"/>
            </w:pPr>
            <w:r/>
            <w:r>
              <w:t>C8 does not enter §8 in its pass-12 form</w:t>
            </w:r>
          </w:p>
        </w:tc>
        <w:tc>
          <w:tcPr>
            <w:tcW w:type="dxa" w:w="4824"/>
          </w:tcPr>
          <w:p>
            <w:pPr>
              <w:spacing w:after="40"/>
            </w:pPr>
            <w:r/>
            <w:r>
              <w:rPr>
                <w:b/>
              </w:rPr>
              <w:t>Made permanent.</w:t>
            </w:r>
            <w:r>
              <w:t xml:space="preserve"> C8 is retired; </w:t>
            </w:r>
            <w:r>
              <w:rPr>
                <w:b/>
              </w:rPr>
              <w:t>C19</w:t>
            </w:r>
            <w:r>
              <w:t xml:space="preserve"> enters §8</w:t>
            </w:r>
          </w:p>
        </w:tc>
      </w:tr>
      <w:tr>
        <w:tc>
          <w:tcPr>
            <w:tcW w:type="dxa" w:w="4824"/>
          </w:tcPr>
          <w:p>
            <w:pPr>
              <w:spacing w:after="40"/>
            </w:pPr>
            <w:r/>
            <w:r>
              <w:t>No artifact says the terminal-date defect is cured</w:t>
            </w:r>
          </w:p>
        </w:tc>
        <w:tc>
          <w:tcPr>
            <w:tcW w:type="dxa" w:w="4824"/>
          </w:tcPr>
          <w:p>
            <w:pPr>
              <w:spacing w:after="40"/>
            </w:pPr>
            <w:r/>
            <w:r>
              <w:rPr>
                <w:b/>
              </w:rPr>
              <w:t>Made permanent as to §8.</w:t>
            </w:r>
            <w:r>
              <w:t xml:space="preserve"> Recorded in §5 of the register only</w:t>
            </w:r>
          </w:p>
        </w:tc>
      </w:tr>
    </w:tbl>
    <w:p>
      <w:pPr>
        <w:spacing w:after="120"/>
      </w:pPr>
      <w:r>
        <w:rPr>
          <w:b/>
        </w:rPr>
        <w:t>The register's §8 inventory, as it now stands:</w:t>
      </w:r>
      <w:r>
        <w:t xml:space="preserve"> C1, C2 (in MOO-140 form), C4, C5, C6, C12, C13, C14, C15, C16, C17, C18 and </w:t>
      </w:r>
      <w:r>
        <w:rPr>
          <w:b/>
        </w:rPr>
        <w:t>C19</w:t>
      </w:r>
      <w:r>
        <w:t xml:space="preserve">, with C3's open question in §9, the §3.7 null results in the opening or closing paragraph, and </w:t>
      </w:r>
      <w:r>
        <w:rPr>
          <w:b/>
        </w:rPr>
        <w:t>C8 retired</w:t>
      </w:r>
      <w:r>
        <w:t>.</w:t>
      </w:r>
    </w:p>
    <w:p>
      <w:pPr>
        <w:spacing w:after="120"/>
      </w:pPr>
      <w:r>
        <w:rPr>
          <w:b/>
        </w:rPr>
        <w:t>Still held and not touched by this memo.</w:t>
      </w:r>
      <w:r>
        <w:t xml:space="preserve"> The five legal entries C13 to C17 are open on my card at §7 items 114 to 117 and 119 and I have not answered them here; C18's re-run is with the Fiscal &amp; Impact Modeler and no dollar figure for that exposure is authorised; S-7, item 120 and M-7 at item 121 remain carded and off the must-appear list, and </w:t>
      </w:r>
      <w:r>
        <w:rPr>
          <w:b/>
        </w:rPr>
        <w:t>this memo does not add them</w:t>
      </w:r>
      <w:r>
        <w:t xml:space="preserve"> — C19 is the only addition I am making; store revisions 53 to 58 have no must-appear list; and the file's size ceiling at item 102 is a drafting blocker that still binds.</w:t>
      </w:r>
    </w:p>
    <w:p>
      <w:pPr>
        <w:spacing w:after="120"/>
      </w:pPr>
      <w:r>
        <w:rPr>
          <w:b/>
        </w:rPr>
        <w:t>Nothing here authorises the memo to be drafted.</w:t>
      </w:r>
      <w:r>
        <w:t xml:space="preserve"> Five serious findings are open and the fiscal statement is a correction to a claim the package was making. The basis is not released.</w:t>
      </w:r>
    </w:p>
    <w:p>
      <w:pPr>
        <w:spacing w:after="120"/>
      </w:pPr>
      <w:r>
        <w:rPr>
          <w:b/>
        </w:rPr>
        <w:t>Standing caveat.</w:t>
      </w:r>
      <w:r>
        <w:t xml:space="preserve"> Internal working draft. Pre-decisional. Contains bill text. </w:t>
      </w:r>
      <w:r>
        <w:rPr>
          <w:b/>
        </w:rPr>
        <w:t>Not a Division of Legislative Services bill; not reviewed by counsel or by DLS</w:t>
      </w:r>
      <w:r>
        <w:t xml:space="preserve"> — passes 4 to 18 are the Lab's own adversarial reviews and are expressly not legal advice. Nothing in it is cleared for external use. </w:t>
      </w:r>
      <w:r>
        <w:rPr>
          <w:b/>
        </w:rPr>
        <w:t>Saving a file is not sending it.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