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MOO-141 — Edit 2 re-cut as revision 8, and the two patches land as one cut</w:t>
      </w:r>
    </w:p>
    <w:p>
      <w:r>
        <w:rPr>
          <w:b/>
        </w:rPr>
        <w:t>Policy Director. 13 October 2026. Internal working draft material. Not a Division of Legislative Services bill. Not reviewed or cleared by counsel. Pre-decisional. Nothing is applied to the store and nothing in this document authorises applying anything.</w:t>
      </w:r>
    </w:p>
    <w:p>
      <w:r>
        <w:t>Answering the Drafting Specialist's report of 01:20 on 13 October 2026 — the two items that came back to this issue out of MOO-164 revision 7.</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Item</w:t>
            </w:r>
          </w:p>
        </w:tc>
        <w:tc>
          <w:tcPr>
            <w:tcW w:type="dxa" w:w="2880"/>
          </w:tcPr>
          <w:p>
            <w:r>
              <w:rPr>
                <w:b/>
              </w:rPr>
              <w:t>Disposition</w:t>
            </w:r>
          </w:p>
        </w:tc>
      </w:tr>
      <w:tr>
        <w:tc>
          <w:tcPr>
            <w:tcW w:type="dxa" w:w="2880"/>
          </w:tcPr>
          <w:p>
            <w:r>
              <w:rPr>
                <w:b/>
              </w:rPr>
              <w:t>1</w:t>
            </w:r>
          </w:p>
        </w:tc>
        <w:tc>
          <w:tcPr>
            <w:tcW w:type="dxa" w:w="2880"/>
          </w:tcPr>
          <w:p>
            <w:r>
              <w:t>My Edit 2 makes R-6's notice duty turn on an event that never occurs in the deemed classes</w:t>
            </w:r>
          </w:p>
        </w:tc>
        <w:tc>
          <w:tcPr>
            <w:tcW w:type="dxa" w:w="2880"/>
          </w:tcPr>
          <w:p>
            <w:r>
              <w:rPr>
                <w:b/>
              </w:rPr>
              <w:t>Accepted and cured in the text.</w:t>
            </w:r>
            <w:r>
              <w:t xml:space="preserve"> Edit 2 is re-cut as </w:t>
            </w:r>
            <w:r>
              <w:rPr>
                <w:b/>
              </w:rPr>
              <w:t>revision 8</w:t>
            </w:r>
            <w:r>
              <w:t>, +326 against +14</w:t>
            </w:r>
          </w:p>
        </w:tc>
      </w:tr>
      <w:tr>
        <w:tc>
          <w:tcPr>
            <w:tcW w:type="dxa" w:w="2880"/>
          </w:tcPr>
          <w:p>
            <w:r>
              <w:rPr>
                <w:b/>
              </w:rPr>
              <w:t>2</w:t>
            </w:r>
          </w:p>
        </w:tc>
        <w:tc>
          <w:tcPr>
            <w:tcW w:type="dxa" w:w="2880"/>
          </w:tcPr>
          <w:p>
            <w:r>
              <w:t>The two savings are asymmetric again, and MOO-209's F9 wants a joint landing with a cross-reference</w:t>
            </w:r>
          </w:p>
        </w:tc>
        <w:tc>
          <w:tcPr>
            <w:tcW w:type="dxa" w:w="2880"/>
          </w:tcPr>
          <w:p>
            <w:r>
              <w:rPr>
                <w:b/>
              </w:rPr>
              <w:t>The asymmetry is right and is now *required*, not merely defensible. The joint landing is decided.</w:t>
            </w:r>
            <w:r>
              <w:t xml:space="preserve"> The cross-reference is specified and assigned</w:t>
            </w:r>
          </w:p>
        </w:tc>
      </w:tr>
    </w:tbl>
    <w:p>
      <w:r>
        <w:rPr>
          <w:b/>
        </w:rPr>
        <w:t>Patch after this re-cut: three edits, +1,159 characters over enacted §1, no word of the bill deleted.</w:t>
      </w:r>
      <w:r>
        <w:t xml:space="preserve"> Revision 6 was +847.</w:t>
      </w:r>
    </w:p>
    <w:p>
      <w:pPr>
        <w:pStyle w:val="Heading2"/>
      </w:pPr>
      <w:r>
        <w:t>1. The base moved a tenth time, and every count here is taken at the base as it now stands</w:t>
      </w:r>
    </w:p>
    <w:p>
      <w:r>
        <w:rPr>
          <w:rFonts w:ascii="Consolas" w:hAnsi="Consolas"/>
        </w:rPr>
        <w:t>bill-text-s8</w:t>
      </w:r>
      <w:r>
        <w:t xml:space="preserve"> is at </w:t>
      </w:r>
      <w:r>
        <w:rPr>
          <w:b/>
        </w:rPr>
        <w:t>document revision 90, store revision 71, 484,408 characters</w:t>
      </w:r>
      <w:r>
        <w:t xml:space="preserve">; enacted §1 is </w:t>
      </w:r>
      <w:r>
        <w:rPr>
          <w:b/>
        </w:rPr>
        <w:t>134,012</w:t>
      </w:r>
      <w:r>
        <w:t xml:space="preserve"> on the store's own convention, sha256 </w:t>
      </w:r>
      <w:r>
        <w:rPr>
          <w:rFonts w:ascii="Consolas" w:hAnsi="Consolas"/>
        </w:rPr>
        <w:t>83a10b74950b5272…</w:t>
      </w:r>
      <w:r>
        <w:t xml:space="preserve">. The Drafting Specialist's report was counted at store revision 70. </w:t>
      </w:r>
      <w:r>
        <w:rPr>
          <w:b/>
        </w:rPr>
        <w:t>Three new anchors were not tested at revision 71 by anyone before this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Edit</w:t>
            </w:r>
          </w:p>
        </w:tc>
        <w:tc>
          <w:tcPr>
            <w:tcW w:type="dxa" w:w="2880"/>
          </w:tcPr>
          <w:p>
            <w:r>
              <w:rPr>
                <w:b/>
              </w:rPr>
              <w:t>§1</w:t>
            </w:r>
          </w:p>
        </w:tc>
        <w:tc>
          <w:tcPr>
            <w:tcW w:type="dxa" w:w="2880"/>
          </w:tcPr>
          <w:p>
            <w:r>
              <w:rPr>
                <w:b/>
              </w:rPr>
              <w:t>whole document</w:t>
            </w:r>
          </w:p>
        </w:tc>
      </w:tr>
      <w:tr>
        <w:tc>
          <w:tcPr>
            <w:tcW w:type="dxa" w:w="2880"/>
          </w:tcPr>
          <w:p>
            <w:r>
              <w:rPr>
                <w:b/>
              </w:rPr>
              <w:t>1</w:t>
            </w:r>
            <w:r>
              <w:t xml:space="preserve"> — the pendency / tolling deeming, re-cut at revision 69</w:t>
            </w:r>
          </w:p>
        </w:tc>
        <w:tc>
          <w:tcPr>
            <w:tcW w:type="dxa" w:w="2880"/>
          </w:tcPr>
          <w:p>
            <w:r>
              <w:rPr>
                <w:b/>
              </w:rPr>
              <w:t>1</w:t>
            </w:r>
          </w:p>
        </w:tc>
        <w:tc>
          <w:tcPr>
            <w:tcW w:type="dxa" w:w="2880"/>
          </w:tcPr>
          <w:p>
            <w:r>
              <w:t>2</w:t>
            </w:r>
          </w:p>
        </w:tc>
      </w:tr>
      <w:tr>
        <w:tc>
          <w:tcPr>
            <w:tcW w:type="dxa" w:w="2880"/>
          </w:tcPr>
          <w:p>
            <w:r>
              <w:rPr>
                <w:b/>
              </w:rPr>
              <w:t>2</w:t>
            </w:r>
            <w:r>
              <w:t xml:space="preserve"> — R-6's notice-duty deadline</w:t>
            </w:r>
          </w:p>
        </w:tc>
        <w:tc>
          <w:tcPr>
            <w:tcW w:type="dxa" w:w="2880"/>
          </w:tcPr>
          <w:p>
            <w:r>
              <w:rPr>
                <w:b/>
              </w:rPr>
              <w:t>1</w:t>
            </w:r>
          </w:p>
        </w:tc>
        <w:tc>
          <w:tcPr>
            <w:tcW w:type="dxa" w:w="2880"/>
          </w:tcPr>
          <w:p>
            <w:r>
              <w:t>1</w:t>
            </w:r>
          </w:p>
        </w:tc>
      </w:tr>
      <w:tr>
        <w:tc>
          <w:tcPr>
            <w:tcW w:type="dxa" w:w="2880"/>
          </w:tcPr>
          <w:p>
            <w:r>
              <w:rPr>
                <w:b/>
              </w:rPr>
              <w:t>3</w:t>
            </w:r>
            <w:r>
              <w:t xml:space="preserve"> — the D 4 / D 5 retention at 120 days</w:t>
            </w:r>
          </w:p>
        </w:tc>
        <w:tc>
          <w:tcPr>
            <w:tcW w:type="dxa" w:w="2880"/>
          </w:tcPr>
          <w:p>
            <w:r>
              <w:rPr>
                <w:b/>
              </w:rPr>
              <w:t>1</w:t>
            </w:r>
          </w:p>
        </w:tc>
        <w:tc>
          <w:tcPr>
            <w:tcW w:type="dxa" w:w="2880"/>
          </w:tcPr>
          <w:p>
            <w:r>
              <w:t>1</w:t>
            </w:r>
          </w:p>
        </w:tc>
      </w:tr>
    </w:tbl>
    <w:p>
      <w:r>
        <w:rPr>
          <w:b/>
        </w:rPr>
        <w:t>And the whole-document duplication has changed hands.</w:t>
      </w:r>
      <w:r>
        <w:t xml:space="preserve"> At store revisions 63, 64 and 69, </w:t>
      </w:r>
      <w:r>
        <w:rPr>
          <w:b/>
        </w:rPr>
        <w:t>Edit 3's</w:t>
      </w:r>
      <w:r>
        <w:t xml:space="preserve"> FIND read 2 whole-document because §5's cross-reference check quoted it; today </w:t>
      </w:r>
      <w:r>
        <w:rPr>
          <w:b/>
        </w:rPr>
        <w:t>Edit 1's</w:t>
      </w:r>
      <w:r>
        <w:t xml:space="preserve"> FIND reads 2 for the same reason and Edit 3 reads 1. The rule that survives is the rule, not the instance:</w:t>
      </w:r>
    </w:p>
    <w:p>
      <w:pPr>
        <w:ind w:left="504"/>
      </w:pPr>
      <w:r>
        <w:rPr>
          <w:b/>
        </w:rPr>
        <w:t>Resolve all three anchors within enacted §1 and require a §1 count of exactly 1. A whole-document count is not a valid uniqueness test for any of them, and which edit it breaks on changes between store revisions.</w:t>
      </w:r>
    </w:p>
    <w:p>
      <w:r>
        <w:rPr>
          <w:b/>
        </w:rPr>
        <w:t>MOO-164's thirteen FINDs also all resolve exactly once at revision 71</w:t>
      </w:r>
      <w:r>
        <w:t xml:space="preserve"> — a base that cut has not seen — and their published delta of </w:t>
      </w:r>
      <w:r>
        <w:rPr>
          <w:b/>
        </w:rPr>
        <w:t>+3,375</w:t>
      </w:r>
      <w:r>
        <w:t xml:space="preserve"> re-derives exactly. Their kit is </w:t>
      </w:r>
      <w:r>
        <w:rPr>
          <w:b/>
        </w:rPr>
        <w:t>lifted</w:t>
      </w:r>
      <w:r>
        <w:t xml:space="preserve"> into my verifier rather than re-typed, so a divergence between the two kits is impossible rather than merely unlikely.</w:t>
      </w:r>
    </w:p>
    <w:p>
      <w:r>
        <w:rPr>
          <w:b/>
        </w:rPr>
        <w:t>One new occurrence in the `act upon` family, checked and out of reach.</w:t>
      </w:r>
      <w:r>
        <w:t xml:space="preserve"> </w:t>
      </w:r>
      <w:r>
        <w:rPr>
          <w:rFonts w:ascii="Consolas" w:hAnsi="Consolas"/>
        </w:rPr>
        <w:t>acts upon</w:t>
      </w:r>
      <w:r>
        <w:t xml:space="preserve"> moved </w:t>
      </w:r>
      <w:r>
        <w:rPr>
          <w:b/>
        </w:rPr>
        <w:t>8 → 9</w:t>
      </w:r>
      <w:r>
        <w:t xml:space="preserve"> in §1 between revisions 69 and 71. The ninth is </w:t>
      </w:r>
      <w:r>
        <w:rPr>
          <w:i/>
        </w:rPr>
        <w:t>"no later than 15 days after the Director of the Department of Planning and Budget or his designee acts upon the Board's request under subdivision 3."</w:t>
      </w:r>
      <w:r>
        <w:t xml:space="preserve"> </w:t>
      </w:r>
      <w:r>
        <w:rPr>
          <w:b/>
        </w:rPr>
        <w:t>The actor is not the Board.</w:t>
      </w:r>
      <w:r>
        <w:t xml:space="preserve"> Edit 1's deeming is confined to </w:t>
      </w:r>
      <w:r>
        <w:rPr>
          <w:i/>
        </w:rPr>
        <w:t>"the Board's acting, or last acting, upon a request"</w:t>
      </w:r>
      <w:r>
        <w:t xml:space="preserve">, so it does not reach it, and neither does 164-7's. </w:t>
      </w:r>
      <w:r>
        <w:rPr>
          <w:b/>
        </w:rPr>
        <w:t>Null result, counted, not assumed.</w:t>
      </w:r>
    </w:p>
    <w:p>
      <w:pPr>
        <w:pStyle w:val="Heading2"/>
      </w:pPr>
      <w:r>
        <w:t>2. Item 1 — accepted, and cured in my provision</w:t>
      </w:r>
    </w:p>
    <w:p>
      <w:pPr>
        <w:pStyle w:val="Heading3"/>
      </w:pPr>
      <w:r>
        <w:t>2.1 The defect, restated in one paragraph</w:t>
      </w:r>
    </w:p>
    <w:p>
      <w:r>
        <w:t xml:space="preserve">164-7 deems the Board to act in two classes in which it has not acted: where a reconsideration request is </w:t>
      </w:r>
      <w:r>
        <w:rPr>
          <w:b/>
        </w:rPr>
        <w:t>denied by operation of law</w:t>
      </w:r>
      <w:r>
        <w:t xml:space="preserve"> under store revision 63's sentences, and where the Board </w:t>
      </w:r>
      <w:r>
        <w:rPr>
          <w:b/>
        </w:rPr>
        <w:t>does not act within the period allowed</w:t>
      </w:r>
      <w:r>
        <w:t xml:space="preserve"> on a request under the definition of </w:t>
      </w:r>
      <w:r>
        <w:rPr>
          <w:i/>
        </w:rPr>
        <w:t>"final qualifying retirement date."</w:t>
      </w:r>
      <w:r>
        <w:t xml:space="preserve"> MOO-209's F1 found that 164-7's own saving stopped that deeming from dating R-6's notice duty, and the cure was to name R-6's duty in 164-7's express exception. </w:t>
      </w:r>
      <w:r>
        <w:rPr>
          <w:b/>
        </w:rPr>
        <w:t>My Edit 2 then makes the cure inert</w:t>
      </w:r>
      <w:r>
        <w:t xml:space="preserve">, because it re-keys R-6's fifteen days to </w:t>
      </w:r>
      <w:r>
        <w:rPr>
          <w:i/>
        </w:rPr>
        <w:t>the giving of a decision</w:t>
      </w:r>
      <w:r>
        <w:t xml:space="preserve"> and in both deemed classes no decision is ever given. The duty has no start date, so </w:t>
      </w:r>
      <w:r>
        <w:rPr>
          <w:b/>
        </w:rPr>
        <w:t>D 1's lateness extension cannot fire and 164-8's replacement notice of retirement never becomes available.</w:t>
      </w:r>
    </w:p>
    <w:p>
      <w:r>
        <w:rPr>
          <w:b/>
        </w:rPr>
        <w:t>The report is right, and the smallest cure is in my sentence.</w:t>
      </w:r>
      <w:r>
        <w:t xml:space="preserve"> Counted on the combined text in </w:t>
      </w:r>
      <w:r>
        <w:rPr>
          <w:rFonts w:ascii="Consolas" w:hAnsi="Consolas"/>
        </w:rPr>
        <w:t>moo141-rev71/verify_r71.py</w:t>
      </w:r>
      <w:r>
        <w:t xml:space="preserve">: with revision 6's Edit 2 the duty has </w:t>
      </w:r>
      <w:r>
        <w:rPr>
          <w:b/>
        </w:rPr>
        <w:t>one</w:t>
      </w:r>
      <w:r>
        <w:t xml:space="preserve"> deadline and it is decision-keyed only; with revision 8 it has a residual deadline that the deeming reaches.</w:t>
      </w:r>
    </w:p>
    <w:p>
      <w:pPr>
        <w:pStyle w:val="Heading3"/>
      </w:pPr>
      <w:r>
        <w:t>2.2 The text — Edit 2, revision 8</w:t>
      </w:r>
    </w:p>
    <w:p>
      <w:r>
        <w:rPr>
          <w:b/>
        </w:rPr>
        <w:t>FIND</w:t>
      </w:r>
      <w:r>
        <w:t xml:space="preserve"> (1 in §1, 1 whole-document):</w:t>
      </w:r>
    </w:p>
    <w:p>
      <w:pPr>
        <w:ind w:left="504"/>
      </w:pPr>
      <w:r>
        <w:rPr>
          <w:i/>
        </w:rPr>
        <w:t>it shall give the member written notice of that date no later than 15 days after it acts upon the request.</w:t>
      </w:r>
    </w:p>
    <w:p>
      <w:r>
        <w:rPr>
          <w:b/>
        </w:rPr>
        <w:t>REPLACE</w:t>
      </w:r>
      <w:r>
        <w:t xml:space="preserve"> (432 characters against the FIND's 106 — </w:t>
      </w:r>
      <w:r>
        <w:rPr>
          <w:b/>
        </w:rPr>
        <w:t>+326</w:t>
      </w:r>
      <w:r>
        <w:t>):</w:t>
      </w:r>
    </w:p>
    <w:p>
      <w:pPr>
        <w:ind w:left="504"/>
      </w:pPr>
      <w:r>
        <w:rPr>
          <w:i/>
        </w:rPr>
        <w:t xml:space="preserve">it shall give the member written notice of that date no later than 15 days after it gives its decision upon the request, </w:t>
      </w:r>
      <w:r>
        <w:rPr>
          <w:b/>
        </w:rPr>
        <w:t>except that where the request is denied otherwise than by a decision of the Board upon it, or where the period allowed by this section for acting upon the request expires without the Board's acting upon it, it shall give that notice no later than 15 days after the date on which the Board acts upon the request.</w:t>
      </w:r>
    </w:p>
    <w:p>
      <w:r>
        <w:rPr>
          <w:b/>
        </w:rPr>
        <w:t>The first limb is revision 6's, character for character.</w:t>
      </w:r>
      <w:r>
        <w:t xml:space="preserve"> The board's answer of 13:13 on 12 October 2026 is untouched in the class the board was shown, and that is a counted assertion, not a claim: the revision-6 text survives inside revision 8 exactly once, and the decision-keyed limb comes first.</w:t>
      </w:r>
    </w:p>
    <w:p>
      <w:pPr>
        <w:pStyle w:val="Heading3"/>
      </w:pPr>
      <w:r>
        <w:t>2.3 What it does, class by class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Before</w:t>
            </w:r>
          </w:p>
        </w:tc>
        <w:tc>
          <w:tcPr>
            <w:tcW w:type="dxa" w:w="2160"/>
          </w:tcPr>
          <w:p>
            <w:r>
              <w:rPr>
                <w:b/>
              </w:rPr>
              <w:t>Revision 6</w:t>
            </w:r>
          </w:p>
        </w:tc>
        <w:tc>
          <w:tcPr>
            <w:tcW w:type="dxa" w:w="2160"/>
          </w:tcPr>
          <w:p>
            <w:r>
              <w:rPr>
                <w:b/>
              </w:rPr>
              <w:t>Revision 8</w:t>
            </w:r>
          </w:p>
        </w:tc>
      </w:tr>
      <w:tr>
        <w:tc>
          <w:tcPr>
            <w:tcW w:type="dxa" w:w="2160"/>
          </w:tcPr>
          <w:p>
            <w:r>
              <w:t>Board acts once and decides</w:t>
            </w:r>
          </w:p>
        </w:tc>
        <w:tc>
          <w:tcPr>
            <w:tcW w:type="dxa" w:w="2160"/>
          </w:tcPr>
          <w:p>
            <w:r>
              <w:t xml:space="preserve">notice due </w:t>
            </w:r>
            <w:r>
              <w:rPr>
                <w:b/>
              </w:rPr>
              <w:t>act + 15</w:t>
            </w:r>
            <w:r>
              <w:t>, trigger not yet determinable — card (g)'s defect</w:t>
            </w:r>
          </w:p>
        </w:tc>
        <w:tc>
          <w:tcPr>
            <w:tcW w:type="dxa" w:w="2160"/>
          </w:tcPr>
          <w:p>
            <w:r>
              <w:t xml:space="preserve">notice due </w:t>
            </w:r>
            <w:r>
              <w:rPr>
                <w:b/>
              </w:rPr>
              <w:t>decision + 15</w:t>
            </w:r>
          </w:p>
        </w:tc>
        <w:tc>
          <w:tcPr>
            <w:tcW w:type="dxa" w:w="2160"/>
          </w:tcPr>
          <w:p>
            <w:r>
              <w:rPr>
                <w:b/>
              </w:rPr>
              <w:t>unchanged</w:t>
            </w:r>
          </w:p>
        </w:tc>
      </w:tr>
      <w:tr>
        <w:tc>
          <w:tcPr>
            <w:tcW w:type="dxa" w:w="2160"/>
          </w:tcPr>
          <w:p>
            <w:r>
              <w:t>Board acts twice and decides (Edit 1's class)</w:t>
            </w:r>
          </w:p>
        </w:tc>
        <w:tc>
          <w:tcPr>
            <w:tcW w:type="dxa" w:w="2160"/>
          </w:tcPr>
          <w:p>
            <w:r>
              <w:t>as above</w:t>
            </w:r>
          </w:p>
        </w:tc>
        <w:tc>
          <w:tcPr>
            <w:tcW w:type="dxa" w:w="2160"/>
          </w:tcPr>
          <w:p>
            <w:r>
              <w:rPr>
                <w:b/>
              </w:rPr>
              <w:t>decision + 15</w:t>
            </w:r>
          </w:p>
        </w:tc>
        <w:tc>
          <w:tcPr>
            <w:tcW w:type="dxa" w:w="2160"/>
          </w:tcPr>
          <w:p>
            <w:r>
              <w:rPr>
                <w:b/>
              </w:rPr>
              <w:t>unchanged</w:t>
            </w:r>
          </w:p>
        </w:tc>
      </w:tr>
      <w:tr>
        <w:tc>
          <w:tcPr>
            <w:tcW w:type="dxa" w:w="2160"/>
          </w:tcPr>
          <w:p>
            <w:r>
              <w:t xml:space="preserve">Reconsideration </w:t>
            </w:r>
            <w:r>
              <w:rPr>
                <w:b/>
              </w:rPr>
              <w:t>denied by operation of law</w:t>
            </w:r>
            <w:r>
              <w:t xml:space="preserve"> — no decision ever</w:t>
            </w:r>
          </w:p>
        </w:tc>
        <w:tc>
          <w:tcPr>
            <w:tcW w:type="dxa" w:w="2160"/>
          </w:tcPr>
          <w:p>
            <w:r>
              <w:t>no duty dated</w:t>
            </w:r>
          </w:p>
        </w:tc>
        <w:tc>
          <w:tcPr>
            <w:tcW w:type="dxa" w:w="2160"/>
          </w:tcPr>
          <w:p>
            <w:r>
              <w:rPr>
                <w:b/>
              </w:rPr>
              <w:t>no duty dated</w:t>
            </w:r>
          </w:p>
        </w:tc>
        <w:tc>
          <w:tcPr>
            <w:tcW w:type="dxa" w:w="2160"/>
          </w:tcPr>
          <w:p>
            <w:r>
              <w:t xml:space="preserve">notice due </w:t>
            </w:r>
            <w:r>
              <w:rPr>
                <w:b/>
              </w:rPr>
              <w:t>deemed act + 15</w:t>
            </w:r>
            <w:r>
              <w:t>, i.e. denial + 15</w:t>
            </w:r>
          </w:p>
        </w:tc>
      </w:tr>
      <w:tr>
        <w:tc>
          <w:tcPr>
            <w:tcW w:type="dxa" w:w="2160"/>
          </w:tcPr>
          <w:p>
            <w:r>
              <w:t xml:space="preserve">Board </w:t>
            </w:r>
            <w:r>
              <w:rPr>
                <w:b/>
              </w:rPr>
              <w:t>never acts</w:t>
            </w:r>
            <w:r>
              <w:t xml:space="preserve"> within the period allowed</w:t>
            </w:r>
          </w:p>
        </w:tc>
        <w:tc>
          <w:tcPr>
            <w:tcW w:type="dxa" w:w="2160"/>
          </w:tcPr>
          <w:p>
            <w:r>
              <w:t>no duty dated</w:t>
            </w:r>
          </w:p>
        </w:tc>
        <w:tc>
          <w:tcPr>
            <w:tcW w:type="dxa" w:w="2160"/>
          </w:tcPr>
          <w:p>
            <w:r>
              <w:rPr>
                <w:b/>
              </w:rPr>
              <w:t>no duty dated</w:t>
            </w:r>
          </w:p>
        </w:tc>
        <w:tc>
          <w:tcPr>
            <w:tcW w:type="dxa" w:w="2160"/>
          </w:tcPr>
          <w:p>
            <w:r>
              <w:t xml:space="preserve">notice due </w:t>
            </w:r>
            <w:r>
              <w:rPr>
                <w:b/>
              </w:rPr>
              <w:t>deemed act + 15</w:t>
            </w:r>
            <w:r>
              <w:t>, i.e. expiry + 1 + 15</w:t>
            </w:r>
          </w:p>
        </w:tc>
      </w:tr>
    </w:tbl>
    <w:p>
      <w:r>
        <w:rPr>
          <w:b/>
        </w:rPr>
        <w:t>The residual limb is confined on its face to the two classes in which no decision upon the request is ever given</w:t>
      </w:r>
      <w:r>
        <w:t>, so it cannot reach the ordinary case and cannot reverse the board's answer.</w:t>
      </w:r>
    </w:p>
    <w:p>
      <w:pPr>
        <w:pStyle w:val="Heading3"/>
      </w:pPr>
      <w:r>
        <w:t>2.4 Three formulas I drafted and rejected, and one I will not ask for</w:t>
      </w:r>
    </w:p>
    <w:p>
      <w:r>
        <w:t>This is where the work was. The obvious cure is not safe.</w:t>
      </w:r>
    </w:p>
    <w:p>
      <w:pPr>
        <w:pStyle w:val="ListNumber"/>
      </w:pPr>
      <w:r>
        <w:t>***"or, where the Board gives no decision upon the request, no later than 15 days after it acts</w:t>
      </w:r>
    </w:p>
    <w:p>
      <w:r>
        <w:t>upon the request."</w:t>
      </w:r>
      <w:r>
        <w:rPr>
          <w:b/>
        </w:rPr>
        <w:t xml:space="preserve">* </w:t>
      </w:r>
      <w:r>
        <w:t>Rejected.</w:t>
      </w:r>
      <w:r>
        <w:rPr>
          <w:b/>
        </w:rPr>
        <w:t xml:space="preserve"> At the moment of the act the Board cannot know whether it will ever give a decision, so the duty's deadline is </w:t>
      </w:r>
      <w:r>
        <w:t>indeterminable ex ante and breached retrospectively** — which is card (g)'s own defect in a new place. The board's reason for answering card (g) as it did was that a duty must not fall due on a trigger that is not yet determinable.</w:t>
      </w:r>
    </w:p>
    <w:p>
      <w:pPr>
        <w:pStyle w:val="ListNumber"/>
      </w:pPr>
      <w:r>
        <w:rPr>
          <w:b/>
        </w:rPr>
        <w:t>Keying the residual limb to the expiry of a period for *giving a decision*.</w:t>
      </w:r>
      <w:r>
        <w:t xml:space="preserve"> **Rejected on a</w:t>
      </w:r>
    </w:p>
    <w:p>
      <w:r>
        <w:t>counted ground.</w:t>
      </w:r>
      <w:r>
        <w:rPr>
          <w:b/>
        </w:rPr>
        <w:t xml:space="preserve"> For a request under the definition such a period exists — *"no later than 30 days after the request is filed."* For a reconsideration under subsection M </w:t>
      </w:r>
      <w:r>
        <w:t>none does</w:t>
      </w:r>
      <w:r>
        <w:rPr>
          <w:b/>
        </w:rPr>
        <w:t xml:space="preserve">: MOO-209's F5 established that no provision fixes the giving of a decision on a reconsideration by any date. The limb would be </w:t>
      </w:r>
      <w:r>
        <w:t>empty in the class that matters most**, which is the deemed denial.</w:t>
      </w:r>
    </w:p>
    <w:p>
      <w:pPr>
        <w:pStyle w:val="ListNumber"/>
      </w:pPr>
      <w:r>
        <w:rPr>
          <w:b/>
        </w:rPr>
        <w:t>*"where the Board is deemed under subsection M to act upon the request."</w:t>
      </w:r>
      <w:r>
        <w:rPr>
          <w:i/>
        </w:rPr>
        <w:t xml:space="preserve"> </w:t>
      </w:r>
      <w:r>
        <w:rPr>
          <w:i/>
        </w:rPr>
        <w:t>Rejected.</w:t>
      </w:r>
      <w:r>
        <w:t>* It</w:t>
      </w:r>
    </w:p>
    <w:p>
      <w:r>
        <w:t xml:space="preserve">imports the other patch's words into mine, and if this patch ever lands alone it leaves a </w:t>
      </w:r>
      <w:r>
        <w:rPr>
          <w:b/>
        </w:rPr>
        <w:t>reference to a deeming that does not exist.</w:t>
      </w:r>
      <w:r>
        <w:t xml:space="preserve"> F9 asks for a cross-reference between two deemings; it does not ask for one patch's operative date to be unavailable without the other.</w:t>
      </w:r>
    </w:p>
    <w:p>
      <w:pPr>
        <w:pStyle w:val="ListNumber"/>
      </w:pPr>
      <w:r>
        <w:rPr>
          <w:b/>
        </w:rPr>
        <w:t>Widening 164-7's deeming to reach a *giving*.</w:t>
      </w:r>
      <w:r>
        <w:t xml:space="preserve"> **Not asked for, and I agree it should not</w:t>
      </w:r>
    </w:p>
    <w:p>
      <w:r>
        <w:t>happen.</w:t>
      </w:r>
      <w:r>
        <w:rPr>
          <w:b/>
        </w:rPr>
        <w:t xml:space="preserve"> Deeming a decision given when none has been given starts the member's own clocks without her knowledge, which is card (b)'s whole subject and the thing Decision 2 exists to prevent. </w:t>
      </w:r>
      <w:r>
        <w:t>The Drafting Specialist's refusal is correct and I am recording agreement rather than leaving it as their unilateral line.**</w:t>
      </w:r>
    </w:p>
    <w:p>
      <w:r>
        <w:rPr>
          <w:b/>
        </w:rPr>
        <w:t>What the chosen formula buys.</w:t>
      </w:r>
      <w:r>
        <w:t xml:space="preserve"> It names its two classes expressly, so it is determinable. It measures from </w:t>
      </w:r>
      <w:r>
        <w:rPr>
          <w:i/>
        </w:rPr>
        <w:t>"the date on which the Board acts upon the request"</w:t>
      </w:r>
      <w:r>
        <w:t xml:space="preserve">, which is exactly the date 164-7 deems and which 164-7's exception already lets the deeming date. </w:t>
      </w:r>
      <w:r>
        <w:rPr>
          <w:b/>
        </w:rPr>
        <w:t>It contains no cross-reference to any subsection and no reference to any deeming</w:t>
      </w:r>
      <w:r>
        <w:t xml:space="preserve"> — both asserted in the verifier — so the two patches stay textually independent.</w:t>
      </w:r>
    </w:p>
    <w:p>
      <w:pPr>
        <w:pStyle w:val="Heading3"/>
      </w:pPr>
      <w:r>
        <w:t>2.5 Standalone behaviour, and the only ordering rule this creates</w:t>
      </w:r>
    </w:p>
    <w:p>
      <w:r>
        <w:rPr>
          <w:b/>
        </w:rPr>
        <w:t>Applied without MOO-164, the residual limb is inert and harmless.</w:t>
      </w:r>
      <w:r>
        <w:t xml:space="preserve"> In its two classes there is no date on which the Board acts, so no deadline is produced — the same position as the base, with no dangling reference. </w:t>
      </w:r>
      <w:r>
        <w:rPr>
          <w:b/>
        </w:rPr>
        <w:t>Applied with MOO-164, it is operative.</w:t>
      </w:r>
      <w:r>
        <w:t xml:space="preserve"> That is the property I wanted, and it means revision 8 adds </w:t>
      </w:r>
      <w:r>
        <w:rPr>
          <w:b/>
        </w:rPr>
        <w:t>no</w:t>
      </w:r>
      <w:r>
        <w:t xml:space="preserve"> new ordering constraint to the three already recorded:</w:t>
      </w:r>
    </w:p>
    <w:p>
      <w:pPr>
        <w:pStyle w:val="ListBullet"/>
      </w:pPr>
      <w:r>
        <w:t xml:space="preserve">Edit 2 must be applied in the </w:t>
      </w:r>
      <w:r>
        <w:rPr>
          <w:b/>
        </w:rPr>
        <w:t>same cut</w:t>
      </w:r>
      <w:r>
        <w:t xml:space="preserve"> as Edit 1, because Edit 1's exception descriptor</w:t>
      </w:r>
    </w:p>
    <w:p>
      <w:r>
        <w:t xml:space="preserve">resolves twice until Edit 2 consumes the occurrence in the definition. </w:t>
      </w:r>
      <w:r>
        <w:rPr>
          <w:b/>
        </w:rPr>
        <w:t>Unchanged.</w:t>
      </w:r>
    </w:p>
    <w:p>
      <w:pPr>
        <w:pStyle w:val="ListBullet"/>
      </w:pPr>
      <w:r>
        <w:t xml:space="preserve">Application of this patch does not precede the MOO-164 cut carrying </w:t>
      </w:r>
      <w:r>
        <w:rPr>
          <w:b/>
        </w:rPr>
        <w:t>F-9</w:t>
      </w:r>
      <w:r>
        <w:t xml:space="preserve"> (Edit 164-5).</w:t>
      </w:r>
    </w:p>
    <w:p>
      <w:r>
        <w:rPr>
          <w:b/>
        </w:rPr>
        <w:t>Unchanged — and now load-bearing twice over</w:t>
      </w:r>
      <w:r>
        <w:t>, see §2.6.</w:t>
      </w:r>
    </w:p>
    <w:p>
      <w:pPr>
        <w:pStyle w:val="ListBullet"/>
      </w:pPr>
      <w:r>
        <w:rPr>
          <w:b/>
        </w:rPr>
        <w:t>Order independence holds:</w:t>
      </w:r>
      <w:r>
        <w:t xml:space="preserve"> MOO-164 then MOO-141 is byte-identical to MOO-141 then MOO-164 on the</w:t>
      </w:r>
    </w:p>
    <w:p>
      <w:r>
        <w:t xml:space="preserve">combined text, at a </w:t>
      </w:r>
      <w:r>
        <w:rPr>
          <w:b/>
        </w:rPr>
        <w:t>sixth</w:t>
      </w:r>
      <w:r>
        <w:t xml:space="preserve"> store base.</w:t>
      </w:r>
    </w:p>
    <w:p>
      <w:pPr>
        <w:pStyle w:val="Heading3"/>
      </w:pPr>
      <w:r>
        <w:t>2.6 What the residual limb puts into motion, disclosed rather than buried</w:t>
      </w:r>
    </w:p>
    <w:p>
      <w:r>
        <w:rPr>
          <w:b/>
        </w:rPr>
        <w:t>It opens D 1's lateness channel in two classes where nothing opened it before.</w:t>
      </w:r>
      <w:r>
        <w:t xml:space="preserve"> D 1 extends the member's final qualifying retirement date by the number of days by which a required statement or notice is late. Under revision 6 the deemed classes had </w:t>
      </w:r>
      <w:r>
        <w:rPr>
          <w:b/>
        </w:rPr>
        <w:t>no required time</w:t>
      </w:r>
      <w:r>
        <w:t>, so there could be no lateness and no extension. Under revision 8 there is one, so there can be.</w:t>
      </w:r>
    </w:p>
    <w:p>
      <w:r>
        <w:rPr>
          <w:b/>
        </w:rPr>
        <w:t>Three things about that, and they are the reason it is not a card.</w:t>
      </w:r>
    </w:p>
    <w:p>
      <w:pPr>
        <w:pStyle w:val="ListBullet"/>
      </w:pPr>
      <w:r>
        <w:rPr>
          <w:b/>
        </w:rPr>
        <w:t>It reaches D 1 only on 164-5's broader descriptor</w:t>
      </w:r>
      <w:r>
        <w:t xml:space="preserve"> — *"any notice of a date required by that</w:t>
      </w:r>
    </w:p>
    <w:p>
      <w:r>
        <w:t xml:space="preserve">definition </w:t>
      </w:r>
      <w:r>
        <w:rPr>
          <w:b/>
        </w:rPr>
        <w:t>by reason of</w:t>
      </w:r>
      <w:r>
        <w:t xml:space="preserve"> the Board's action upon a request"* — which is the F-9 reading already decided. Counted both ways: present once in the combined text, and the narrower pre-164-5 descriptor is gone.</w:t>
      </w:r>
    </w:p>
    <w:p>
      <w:pPr>
        <w:pStyle w:val="ListBullet"/>
      </w:pPr>
      <w:r>
        <w:rPr>
          <w:b/>
        </w:rPr>
        <w:t>The outer bound does not move.</w:t>
      </w:r>
      <w:r>
        <w:t xml:space="preserve"> The definition's own cap — *"the aggregate of all extensions so</w:t>
      </w:r>
    </w:p>
    <w:p>
      <w:r>
        <w:t>excluded shall not exceed 12 months"</w:t>
      </w:r>
      <w:r>
        <w:rPr>
          <w:i/>
        </w:rPr>
        <w:t xml:space="preserve"> — is intact and unamended, and the limb cannot exceed it. </w:t>
      </w:r>
      <w:r>
        <w:rPr>
          <w:i/>
        </w:rPr>
        <w:t>So revision 8 adds no new outer bound on the member's final qualifying retirement date; it adds a class in which the existing bound can be reached.</w:t>
      </w:r>
      <w:r>
        <w:t>*</w:t>
      </w:r>
    </w:p>
    <w:p>
      <w:pPr>
        <w:pStyle w:val="ListBullet"/>
      </w:pPr>
      <w:r>
        <w:rPr>
          <w:b/>
        </w:rPr>
        <w:t>It is not the windfall the board declined.</w:t>
      </w:r>
      <w:r>
        <w:t xml:space="preserve"> The board's card (g) reasoning was that D 1's</w:t>
      </w:r>
    </w:p>
    <w:p>
      <w:r>
        <w:t xml:space="preserve">extension riding on a duty that </w:t>
      </w:r>
      <w:r>
        <w:rPr>
          <w:b/>
        </w:rPr>
        <w:t>could not have been performed</w:t>
      </w:r>
      <w:r>
        <w:t xml:space="preserve"> would be a windfall. In the deemed classes the duty </w:t>
      </w:r>
      <w:r>
        <w:rPr>
          <w:b/>
        </w:rPr>
        <w:t>can</w:t>
      </w:r>
      <w:r>
        <w:t xml:space="preserve"> be performed: the Board knows the denial date and knows the date its period expired, and fifteen days from either is a performable deadline. </w:t>
      </w:r>
      <w:r>
        <w:rPr>
          <w:b/>
        </w:rPr>
        <w:t>The extension is then the ordinary consequence of real lateness, which is what D 1 is for.</w:t>
      </w:r>
    </w:p>
    <w:p>
      <w:r>
        <w:rPr>
          <w:b/>
        </w:rPr>
        <w:t>No card, no board answer, no figure</w:t>
      </w:r>
      <w:r>
        <w:t xml:space="preserve"> — the effect in the class the board decided is the effect it decided, and this is a conforming repair of a defect created by the interaction of two unapplied patches. </w:t>
      </w:r>
      <w:r>
        <w:rPr>
          <w:b/>
        </w:rPr>
        <w:t>But the fiscal trigger is named rather than assumed:</w:t>
      </w:r>
      <w:r>
        <w:t xml:space="preserve"> I am </w:t>
      </w:r>
      <w:r>
        <w:rPr>
          <w:b/>
        </w:rPr>
        <w:t>not</w:t>
      </w:r>
      <w:r>
        <w:t xml:space="preserve"> asserting $0 for this limb on my own authority. MOO-163's $0 and MOO-170's $204,000 bound were released on inputs that did not include a D 1 extension channel in the deemed classes. </w:t>
      </w:r>
      <w:r>
        <w:rPr>
          <w:b/>
        </w:rPr>
        <w:t>Trigger: if the bounded pass at §5 widens the limb beyond the two named classes, or if the 12-month aggregate cap is amended by any other item, MOO-163 and the declined F-6 cap re-open on this limb on the same footing as the MOO-49 trigger.</w:t>
      </w:r>
      <w:r>
        <w:t xml:space="preserve"> Recorded, visible, not opened — the cap is unmoved, so there is nothing to re-price today.</w:t>
      </w:r>
    </w:p>
    <w:p>
      <w:pPr>
        <w:pStyle w:val="Heading2"/>
      </w:pPr>
      <w:r>
        <w:t>3. Item 2 — the asymmetry, and F9's joint landing</w:t>
      </w:r>
    </w:p>
    <w:p>
      <w:pPr>
        <w:pStyle w:val="Heading3"/>
      </w:pPr>
      <w:r>
        <w:t>3.1 The asymmetry is not merely principled. After revision 8 it is required</w:t>
      </w:r>
    </w:p>
    <w:p>
      <w:r>
        <w:t xml:space="preserve">The Drafting Specialist argues at their §17.3 that 164-7's exception naming two duties while Edit 1's names one tracks a real difference. </w:t>
      </w:r>
      <w:r>
        <w:rPr>
          <w:b/>
        </w:rPr>
        <w:t>I agree, and revision 8 gives the argument a harder form.</w:t>
      </w:r>
    </w:p>
    <w:p>
      <w:r>
        <w:t xml:space="preserve">Edit 1's deeming addresses the Board that </w:t>
      </w:r>
      <w:r>
        <w:rPr>
          <w:b/>
        </w:rPr>
        <w:t>acts more than once</w:t>
      </w:r>
      <w:r>
        <w:t xml:space="preserve"> and fixes the first act as the act. After Edit 2, R-6's deadline in that class is measured from </w:t>
      </w:r>
      <w:r>
        <w:rPr>
          <w:b/>
        </w:rPr>
        <w:t>the giving of a decision</w:t>
      </w:r>
      <w:r>
        <w:t xml:space="preserve"> and from nothing else — the residual limb cannot reach a Board that has acted twice and decided. </w:t>
      </w:r>
      <w:r>
        <w:rPr>
          <w:b/>
        </w:rPr>
        <w:t>So Edit 1's deeming cannot reach R-6's deadline at all, and an exception for it in Edit 1 would except a duty the deeming cannot touch.</w:t>
      </w:r>
      <w:r>
        <w:t xml:space="preserve"> On </w:t>
      </w:r>
      <w:r>
        <w:rPr>
          <w:i/>
        </w:rPr>
        <w:t>Forst</w:t>
      </w:r>
      <w:r>
        <w:t xml:space="preserve"> that is worse than silence: surplusage that invites the inference that the deeming does reach it.</w:t>
      </w:r>
    </w:p>
    <w:p>
      <w:pPr>
        <w:ind w:left="504"/>
      </w:pPr>
      <w:r>
        <w:rPr>
          <w:b/>
        </w:rPr>
        <w:t>Edit 1's exception must name M 2's duty alone, and 164-7's must name both. The asymmetry is the correct drafting, and adding R-6 to Edit 1 would be the defect.</w:t>
      </w:r>
      <w:r>
        <w:rPr>
          <w:i/>
        </w:rPr>
        <w:t xml:space="preserve"> Asserted in the verifier: Edit 1's exception present once, R-6's descriptor absent from it.</w:t>
      </w:r>
    </w:p>
    <w:p>
      <w:r>
        <w:rPr>
          <w:b/>
        </w:rPr>
        <w:t>The saving's 256-character body stays byte-identical between the two sentences</w:t>
      </w:r>
      <w:r>
        <w:t>, which is the discipline MOO-209's N1 asked for and which my verifier now re-asserts independently of theirs.</w:t>
      </w:r>
    </w:p>
    <w:p>
      <w:pPr>
        <w:pStyle w:val="Heading3"/>
      </w:pPr>
      <w:r>
        <w:t>3.2 F9's joint landing — decided, and it is my decision to take</w:t>
      </w:r>
    </w:p>
    <w:p>
      <w:r>
        <w:t xml:space="preserve">MOO-209's F9 says the two deeming sentences should land as </w:t>
      </w:r>
      <w:r>
        <w:rPr>
          <w:b/>
        </w:rPr>
        <w:t>one joint decision with an express cross-reference</w:t>
      </w:r>
      <w:r>
        <w:t xml:space="preserve">, because after both patches the section carries two deeming sentences with the identical 44-word confinement clause, in two subsections, neither cross-referring to the other, and nothing on their face saying which question each answers. </w:t>
      </w:r>
      <w:r>
        <w:rPr>
          <w:b/>
        </w:rPr>
        <w:t>The Drafting Specialist adopts the routing and declines to draft it unilaterally. That is the right instinct and it leaves the decision with me.</w:t>
      </w:r>
    </w:p>
    <w:p>
      <w:pPr>
        <w:ind w:left="504"/>
      </w:pPr>
      <w:r>
        <w:rPr>
          <w:b/>
        </w:rPr>
        <w:t>Decided. The MOO-141 patch and the MOO-164 cut are applied in one cut, as one decision. MOO-141's patch is no longer to be applied independently of MOO-164, and gate 3's re-verification covers both sets of anchors — three plus thirteen — at the base as it stands at the moment of application.</w:t>
      </w:r>
    </w:p>
    <w:p>
      <w:r>
        <w:t xml:space="preserve">Reasons. The two sentences answer one question between them and a reader has to hold both to get either right; §2.4's rejected formula 3 shows that the alternative is to make them textually interdependent, which is worse; and the combined text is the only text in which either has been verified since revision 7. </w:t>
      </w:r>
      <w:r>
        <w:rPr>
          <w:b/>
        </w:rPr>
        <w:t>Applying them separately would also put the first-applied patch into the body in a state no pass has read.</w:t>
      </w:r>
    </w:p>
    <w:p>
      <w:r>
        <w:rPr>
          <w:b/>
        </w:rPr>
        <w:t>This is a sequencing decision, not a new scope.</w:t>
      </w:r>
      <w:r>
        <w:t xml:space="preserve"> It adds no edit and no figure. It does change what "done" looks like for this issue: </w:t>
      </w:r>
      <w:r>
        <w:rPr>
          <w:b/>
        </w:rPr>
        <w:t>this issue closes when the joint cut is applied, not when my three edits are approved.</w:t>
      </w:r>
    </w:p>
    <w:p>
      <w:pPr>
        <w:pStyle w:val="Heading3"/>
      </w:pPr>
      <w:r>
        <w:t>3.3 The cross-reference — specified here, drafted once, by the owner of the cut</w:t>
      </w:r>
    </w:p>
    <w:p>
      <w:r>
        <w:t xml:space="preserve">I am not leaving this as "someone should." </w:t>
      </w:r>
      <w:r>
        <w:rPr>
          <w:b/>
        </w:rPr>
        <w:t>It belongs in 164-7</w:t>
      </w:r>
      <w:r>
        <w:t>, not in Edit 1, for one reason: subsection A comes first in the section, so the later sentence is the one that can refer back without a forward reference, and 164-7 is in the cut that will carry the joint landing.</w:t>
      </w:r>
    </w:p>
    <w:p>
      <w:r>
        <w:rPr>
          <w:b/>
        </w:rPr>
        <w:t>What it must do — three requirements, no words from me:</w:t>
      </w:r>
    </w:p>
    <w:p>
      <w:pPr>
        <w:pStyle w:val="ListNumber"/>
      </w:pPr>
      <w:r>
        <w:t>Say, on the face of 164-7, that subsection A's deeming governs the case where the Board **acts</w:t>
      </w:r>
    </w:p>
    <w:p>
      <w:r>
        <w:t>more than once</w:t>
      </w:r>
      <w:r>
        <w:rPr>
          <w:b/>
        </w:rPr>
        <w:t xml:space="preserve"> upon a request, and that 164-7's governs the case where the Board </w:t>
      </w:r>
      <w:r>
        <w:t>does not act**.</w:t>
      </w:r>
    </w:p>
    <w:p>
      <w:pPr>
        <w:pStyle w:val="ListNumber"/>
      </w:pPr>
      <w:r>
        <w:t xml:space="preserve">Make clear that the two are </w:t>
      </w:r>
      <w:r>
        <w:rPr>
          <w:b/>
        </w:rPr>
        <w:t>cumulative and non-overlapping</w:t>
      </w:r>
      <w:r>
        <w:t>, so neither is read as the</w:t>
      </w:r>
    </w:p>
    <w:p>
      <w:r>
        <w:t>exclusive rule for deeming an act, and neither is read as impliedly repealing the other.</w:t>
      </w:r>
    </w:p>
    <w:p>
      <w:pPr>
        <w:pStyle w:val="ListNumber"/>
      </w:pPr>
      <w:r>
        <w:rPr>
          <w:b/>
        </w:rPr>
        <w:t>Move no date and add no exception.</w:t>
      </w:r>
      <w:r>
        <w:t xml:space="preserve"> If drafting it requires an exception in either sentence,</w:t>
      </w:r>
    </w:p>
    <w:p>
      <w:r>
        <w:t>that is a finding and comes back to me, not a drafting choice.</w:t>
      </w:r>
    </w:p>
    <w:p>
      <w:r>
        <w:rPr>
          <w:b/>
        </w:rPr>
        <w:t>Assigned to the Drafting Specialist as part of the joint cut.</w:t>
      </w:r>
      <w:r>
        <w:t xml:space="preserve"> If it cannot be done without touching an exception, I decide it.</w:t>
      </w:r>
    </w:p>
    <w:p>
      <w:pPr>
        <w:pStyle w:val="Heading2"/>
      </w:pPr>
      <w:r>
        <w:t>4. Verification</w:t>
      </w:r>
    </w:p>
    <w:p>
      <w:r>
        <w:rPr>
          <w:rFonts w:ascii="Consolas" w:hAnsi="Consolas"/>
        </w:rPr>
        <w:t>moo141-rev71/verify_r71.py</w:t>
      </w:r>
      <w:r>
        <w:t xml:space="preserve">, run against </w:t>
      </w:r>
      <w:r>
        <w:rPr>
          <w:rFonts w:ascii="Consolas" w:hAnsi="Consolas"/>
        </w:rPr>
        <w:t>moo141-rev71/live.md</w:t>
      </w:r>
      <w:r>
        <w:t xml:space="preserve"> — the body read from the store, not from any document's reproduction of it. </w:t>
      </w:r>
      <w:r>
        <w:rPr>
          <w:b/>
        </w:rPr>
        <w:t>All checks pass.</w:t>
      </w:r>
    </w:p>
    <w:p>
      <w:pPr>
        <w:pStyle w:val="ListBullet"/>
      </w:pPr>
      <w:r>
        <w:t xml:space="preserve">Base: whole document </w:t>
      </w:r>
      <w:r>
        <w:rPr>
          <w:b/>
        </w:rPr>
        <w:t>484,408</w:t>
      </w:r>
      <w:r>
        <w:t xml:space="preserve">; enacted §1 </w:t>
      </w:r>
      <w:r>
        <w:rPr>
          <w:b/>
        </w:rPr>
        <w:t>134,012</w:t>
      </w:r>
      <w:r>
        <w:t xml:space="preserve">; §1 sha256 </w:t>
      </w:r>
      <w:r>
        <w:rPr>
          <w:rFonts w:ascii="Consolas" w:hAnsi="Consolas"/>
        </w:rPr>
        <w:t>83a10b74950b5272…</w:t>
      </w:r>
      <w:r>
        <w:t>.</w:t>
      </w:r>
    </w:p>
    <w:p>
      <w:pPr>
        <w:pStyle w:val="ListBullet"/>
      </w:pPr>
      <w:r>
        <w:rPr>
          <w:b/>
        </w:rPr>
        <w:t>All three MOO-141 anchors resolve exactly once in §1.</w:t>
      </w:r>
      <w:r>
        <w:t xml:space="preserve"> The dead store-revision-65 string is kept</w:t>
      </w:r>
    </w:p>
    <w:p>
      <w:r>
        <w:t xml:space="preserve">and asserted at </w:t>
      </w:r>
      <w:r>
        <w:rPr>
          <w:b/>
        </w:rPr>
        <w:t>0</w:t>
      </w:r>
      <w:r>
        <w:t>, so the break of 13 October stays visible.</w:t>
      </w:r>
    </w:p>
    <w:p>
      <w:pPr>
        <w:pStyle w:val="ListBullet"/>
      </w:pPr>
      <w:r>
        <w:rPr>
          <w:b/>
        </w:rPr>
        <w:t>All thirteen MOO-164 FINDs resolve exactly once in §1</w:t>
      </w:r>
      <w:r>
        <w:t xml:space="preserve"> at a base that cut has not seen, and</w:t>
      </w:r>
    </w:p>
    <w:p>
      <w:r>
        <w:t xml:space="preserve">their </w:t>
      </w:r>
      <w:r>
        <w:rPr>
          <w:b/>
        </w:rPr>
        <w:t>+3,375</w:t>
      </w:r>
      <w:r>
        <w:t xml:space="preserve"> re-derives.</w:t>
      </w:r>
    </w:p>
    <w:p>
      <w:pPr>
        <w:pStyle w:val="ListBullet"/>
      </w:pPr>
      <w:r>
        <w:t xml:space="preserve">Applied to a copy, §1 only: </w:t>
      </w:r>
      <w:r>
        <w:rPr>
          <w:b/>
        </w:rPr>
        <w:t>revision 6 +847</w:t>
      </w:r>
      <w:r>
        <w:t xml:space="preserve"> (their published figure, re-derived), **revision 8</w:t>
      </w:r>
    </w:p>
    <w:p>
      <w:r>
        <w:t>+1,159</w:t>
      </w:r>
      <w:r>
        <w:rPr>
          <w:b/>
        </w:rPr>
        <w:t xml:space="preserve">, of which Edit 2 is </w:t>
      </w:r>
      <w:r>
        <w:t>+326</w:t>
      </w:r>
      <w:r>
        <w:rPr>
          <w:b/>
        </w:rPr>
        <w:t xml:space="preserve"> against revision 6's </w:t>
      </w:r>
      <w:r>
        <w:t>+14**.</w:t>
      </w:r>
    </w:p>
    <w:p>
      <w:pPr>
        <w:pStyle w:val="ListBullet"/>
      </w:pPr>
      <w:r>
        <w:rPr>
          <w:rFonts w:ascii="Consolas" w:hAnsi="Consolas"/>
        </w:rPr>
        <w:t>&lt;u&gt;</w:t>
      </w:r>
      <w:r>
        <w:t>/</w:t>
      </w:r>
      <w:r>
        <w:rPr>
          <w:rFonts w:ascii="Consolas" w:hAnsi="Consolas"/>
        </w:rPr>
        <w:t>&lt;/u&gt;</w:t>
      </w:r>
      <w:r>
        <w:t xml:space="preserve"> </w:t>
      </w:r>
      <w:r>
        <w:rPr>
          <w:b/>
        </w:rPr>
        <w:t>62/62</w:t>
      </w:r>
      <w:r>
        <w:t xml:space="preserve"> in §1 before and after, balance 0. </w:t>
      </w:r>
      <w:r>
        <w:rPr>
          <w:rFonts w:ascii="Consolas" w:hAnsi="Consolas"/>
        </w:rPr>
        <w:t>first acts upon</w:t>
      </w:r>
      <w:r>
        <w:t xml:space="preserve"> </w:t>
      </w:r>
      <w:r>
        <w:rPr>
          <w:b/>
        </w:rPr>
        <w:t>2 → 3</w:t>
      </w:r>
      <w:r>
        <w:t>.</w:t>
      </w:r>
    </w:p>
    <w:p>
      <w:pPr>
        <w:pStyle w:val="ListBullet"/>
      </w:pPr>
      <w:r>
        <w:rPr>
          <w:b/>
        </w:rPr>
        <w:t>No word of the bill is deleted</w:t>
      </w:r>
      <w:r>
        <w:t>: revision 6's Edit 2 text survives inside revision 8 exactly</w:t>
      </w:r>
    </w:p>
    <w:p>
      <w:r>
        <w:t>once, and Edit 1's and Edit 3's replacements are supersets of their FINDs.</w:t>
      </w:r>
    </w:p>
    <w:p>
      <w:pPr>
        <w:pStyle w:val="ListBullet"/>
      </w:pPr>
      <w:r>
        <w:t>Combined text: **164-7's deeming present, its exception naming R-6 present, the residual limb</w:t>
      </w:r>
    </w:p>
    <w:p>
      <w:r>
        <w:t>present once, both of its named classes present once each**, and the decision-keyed limb ordered first.</w:t>
      </w:r>
    </w:p>
    <w:p>
      <w:pPr>
        <w:pStyle w:val="ListBullet"/>
      </w:pPr>
      <w:r>
        <w:rPr>
          <w:b/>
        </w:rPr>
        <w:t>Order independence</w:t>
      </w:r>
      <w:r>
        <w:t>: MOO-164 ∘ MOO-141 == MOO-141 ∘ MOO-164, byte-identical. Combined §1 delta</w:t>
      </w:r>
    </w:p>
    <w:p>
      <w:r>
        <w:rPr>
          <w:b/>
        </w:rPr>
        <w:t>+4,534 = 3,375 + 1,159.</w:t>
      </w:r>
    </w:p>
    <w:p>
      <w:pPr>
        <w:pStyle w:val="ListBullet"/>
      </w:pPr>
      <w:r>
        <w:t xml:space="preserve">Twelve saved provisions, G 4's two express </w:t>
      </w:r>
      <w:r>
        <w:rPr>
          <w:i/>
        </w:rPr>
        <w:t>"first"</w:t>
      </w:r>
      <w:r>
        <w:t>s, G 4's anti-delay sentence and M 2's</w:t>
      </w:r>
    </w:p>
    <w:p>
      <w:r>
        <w:t>deemed-denial sentence all intact and textually unmodified.</w:t>
      </w:r>
    </w:p>
    <w:p>
      <w:r>
        <w:rPr>
          <w:b/>
        </w:rPr>
        <w:t>Not applied to the store.</w:t>
      </w:r>
      <w:r>
        <w:t xml:space="preserve"> Gate 3 stands and is now a two-patch gate: re-verify all sixteen anchors, every reproduction, every count and every invariant </w:t>
      </w:r>
      <w:r>
        <w:rPr>
          <w:b/>
        </w:rPr>
        <w:t>at the base as it stands at the moment of application</w:t>
      </w:r>
      <w:r>
        <w:t xml:space="preserve"> — not at store revision 71. The base has moved </w:t>
      </w:r>
      <w:r>
        <w:rPr>
          <w:b/>
        </w:rPr>
        <w:t>ten</w:t>
      </w:r>
      <w:r>
        <w:t xml:space="preserve"> times under this item; five of those moves rewrote a provision this patch reaches without an anchor moving, and one killed an anchor outright.</w:t>
      </w:r>
    </w:p>
    <w:p>
      <w:pPr>
        <w:pStyle w:val="Heading2"/>
      </w:pPr>
      <w:r>
        <w:t>5. Where this stands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Issue</w:t>
            </w:r>
          </w:p>
        </w:tc>
        <w:tc>
          <w:tcPr>
            <w:tcW w:type="dxa" w:w="2880"/>
          </w:tcPr>
          <w:p>
            <w:r>
              <w:rPr>
                <w:b/>
              </w:rPr>
              <w:t>What clears it</w:t>
            </w:r>
          </w:p>
        </w:tc>
      </w:tr>
      <w:tr>
        <w:tc>
          <w:tcPr>
            <w:tcW w:type="dxa" w:w="2880"/>
          </w:tcPr>
          <w:p>
            <w:r>
              <w:rPr>
                <w:b/>
              </w:rPr>
              <w:t>1</w:t>
            </w:r>
          </w:p>
        </w:tc>
        <w:tc>
          <w:tcPr>
            <w:tcW w:type="dxa" w:w="2880"/>
          </w:tcPr>
          <w:p>
            <w:r>
              <w:rPr>
                <w:b/>
              </w:rPr>
              <w:t>MOO-164</w:t>
            </w:r>
          </w:p>
        </w:tc>
        <w:tc>
          <w:tcPr>
            <w:tcW w:type="dxa" w:w="2880"/>
          </w:tcPr>
          <w:p>
            <w:r>
              <w:t>The cut that carries 164-5 (F-9), 164-7 and the §3.3 cross-reference, as part of the joint landing</w:t>
            </w:r>
          </w:p>
        </w:tc>
      </w:tr>
      <w:tr>
        <w:tc>
          <w:tcPr>
            <w:tcW w:type="dxa" w:w="2880"/>
          </w:tcPr>
          <w:p>
            <w:r>
              <w:rPr>
                <w:b/>
              </w:rPr>
              <w:t>2</w:t>
            </w:r>
          </w:p>
        </w:tc>
        <w:tc>
          <w:tcPr>
            <w:tcW w:type="dxa" w:w="2880"/>
          </w:tcPr>
          <w:p>
            <w:r>
              <w:rPr>
                <w:b/>
              </w:rPr>
              <w:t>MOO-197</w:t>
            </w:r>
          </w:p>
        </w:tc>
        <w:tc>
          <w:tcPr>
            <w:tcW w:type="dxa" w:w="2880"/>
          </w:tcPr>
          <w:p>
            <w:r>
              <w:t>Store revision 66's four substitutions — the Rule 2A:2 cure and the member's route into court</w:t>
            </w:r>
          </w:p>
        </w:tc>
      </w:tr>
      <w:tr>
        <w:tc>
          <w:tcPr>
            <w:tcW w:type="dxa" w:w="2880"/>
          </w:tcPr>
          <w:p>
            <w:r>
              <w:rPr>
                <w:b/>
              </w:rPr>
              <w:t>3</w:t>
            </w:r>
          </w:p>
        </w:tc>
        <w:tc>
          <w:tcPr>
            <w:tcW w:type="dxa" w:w="2880"/>
          </w:tcPr>
          <w:p>
            <w:r>
              <w:t>whoever applies</w:t>
            </w:r>
          </w:p>
        </w:tc>
        <w:tc>
          <w:tcPr>
            <w:tcW w:type="dxa" w:w="2880"/>
          </w:tcPr>
          <w:p>
            <w:r>
              <w:t xml:space="preserve">Re-verification of </w:t>
            </w:r>
            <w:r>
              <w:rPr>
                <w:b/>
              </w:rPr>
              <w:t>both</w:t>
            </w:r>
            <w:r>
              <w:t xml:space="preserve"> patches' anchors at the moment of application, §1-scoped</w:t>
            </w:r>
          </w:p>
        </w:tc>
      </w:tr>
      <w:tr>
        <w:tc>
          <w:tcPr>
            <w:tcW w:type="dxa" w:w="2880"/>
          </w:tcPr>
          <w:p>
            <w:r>
              <w:rPr>
                <w:b/>
              </w:rPr>
              <w:t>4</w:t>
            </w:r>
          </w:p>
        </w:tc>
        <w:tc>
          <w:tcPr>
            <w:tcW w:type="dxa" w:w="2880"/>
          </w:tcPr>
          <w:p>
            <w:r>
              <w:rPr>
                <w:b/>
              </w:rPr>
              <w:t>new — MOO-215</w:t>
            </w:r>
          </w:p>
        </w:tc>
        <w:tc>
          <w:tcPr>
            <w:tcW w:type="dxa" w:w="2880"/>
          </w:tcPr>
          <w:p>
            <w:r>
              <w:t xml:space="preserve">A bounded adversarial pass on Edit 2 revision 8 and on §3.3's requirements. </w:t>
            </w:r>
            <w:r>
              <w:rPr>
                <w:b/>
              </w:rPr>
              <w:t>No text in §2.2 has been read adversarially</w:t>
            </w:r>
            <w:r>
              <w:t>; MOO-209 named the defect and I drafted the cure, which is the same exposure that made MOO-214 necessary for revision 7</w:t>
            </w:r>
          </w:p>
        </w:tc>
      </w:tr>
    </w:tbl>
    <w:p>
      <w:r>
        <w:rPr>
          <w:b/>
        </w:rPr>
        <w:t>Nothing else is reopened.</w:t>
      </w:r>
      <w:r>
        <w:t xml:space="preserve"> The board's 120 days are not reopened. The disclosure duty recorded at 17:42 on 12 October 2026 travels with the figure unchanged. The 17:26 finding — the 60-day restore-and-settle duty on a reversal on reconsideration, which Edit 1's saving does not reach — is </w:t>
      </w:r>
      <w:r>
        <w:rPr>
          <w:b/>
        </w:rPr>
        <w:t>still open, still not drafted, and is a named target for the bounded pass.</w:t>
      </w:r>
    </w:p>
    <w:p>
      <w:pPr>
        <w:pStyle w:val="Heading2"/>
      </w:pPr>
      <w:r>
        <w:t>6. What I did not do</w:t>
      </w:r>
    </w:p>
    <w:p>
      <w:pPr>
        <w:pStyle w:val="ListBullet"/>
      </w:pPr>
      <w:r>
        <w:rPr>
          <w:b/>
        </w:rPr>
        <w:t>No card to the board.</w:t>
      </w:r>
      <w:r>
        <w:t xml:space="preserve"> The effect in the class the board decided is unchanged and counted; the</w:t>
      </w:r>
    </w:p>
    <w:p>
      <w:r>
        <w:t>residual limb operates only in classes that did not exist when the board answered at 13:13 on 12 October 2026, the deemed-denial sentence having been enacted at 17:38 that day. No figure moves.</w:t>
      </w:r>
    </w:p>
    <w:p>
      <w:pPr>
        <w:pStyle w:val="ListBullet"/>
      </w:pPr>
      <w:r>
        <w:rPr>
          <w:b/>
        </w:rPr>
        <w:t>No Fiscal &amp; Impact Modeler issue.</w:t>
      </w:r>
      <w:r>
        <w:t xml:space="preserve"> The 12-month aggregate cap is unmoved, so there is nothing to</w:t>
      </w:r>
    </w:p>
    <w:p>
      <w:r>
        <w:t>re-price. §2.6 names the trigger that would change that.</w:t>
      </w:r>
    </w:p>
    <w:p>
      <w:pPr>
        <w:pStyle w:val="ListBullet"/>
      </w:pPr>
      <w:r>
        <w:rPr>
          <w:b/>
        </w:rPr>
        <w:t>No Stakeholder Analyst issue.</w:t>
      </w:r>
      <w:r>
        <w:t xml:space="preserve"> Nothing here changes who is affected.</w:t>
      </w:r>
    </w:p>
    <w:p>
      <w:pPr>
        <w:pStyle w:val="ListBullet"/>
      </w:pPr>
      <w:r>
        <w:rPr>
          <w:b/>
        </w:rPr>
        <w:t>I did not draft the §3.3 cross-reference</w:t>
      </w:r>
      <w:r>
        <w:t>, and I did not draft into MOO-164's edits. §3.3 states</w:t>
      </w:r>
    </w:p>
    <w:p>
      <w:r>
        <w:t>requirements and assigns it; drafting it from this side is how the two sentences diverged.</w:t>
      </w:r>
    </w:p>
    <w:p>
      <w:pPr>
        <w:pStyle w:val="ListBullet"/>
      </w:pPr>
      <w:r>
        <w:rPr>
          <w:b/>
        </w:rPr>
        <w:t>Nothing applied to the store.</w:t>
      </w:r>
    </w:p>
    <w:p>
      <w:r>
        <w:rPr>
          <w:b/>
        </w:rPr>
        <w:t>Internal working draft material. Not a DLS bill. Not reviewed or cleared by counsel. Pre-decisional.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