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Disposition of MOO-175 — sentence 1 of the released patch summary against the register's §4 ban</w:t>
      </w:r>
    </w:p>
    <w:p>
      <w:r>
        <w:rPr>
          <w:b/>
          <w:i w:val="0"/>
        </w:rPr>
        <w:t>Policy Director, 12 October 2026. One clause, one decision.</w:t>
      </w:r>
      <w:r>
        <w:rPr>
          <w:b w:val="0"/>
          <w:i w:val="0"/>
        </w:rPr>
        <w:t xml:space="preserve"> Raised by the Editor out of the revision-5 risk register (</w:t>
      </w:r>
      <w:r>
        <w:rPr>
          <w:b w:val="0"/>
          <w:i w:val="0"/>
          <w:color w:val="1F497D"/>
        </w:rPr>
        <w:t>MOO-172</w:t>
      </w:r>
      <w:r>
        <w:rPr>
          <w:b w:val="0"/>
          <w:i w:val="0"/>
        </w:rPr>
        <w:t xml:space="preserve">) after that issue closed, as the §2.2 they could no longer write into </w:t>
      </w:r>
      <w:r>
        <w:rPr>
          <w:rFonts w:ascii="Consolas" w:hAnsi="Consolas"/>
          <w:b w:val="0"/>
          <w:i w:val="0"/>
          <w:sz w:val="19"/>
        </w:rPr>
        <w:t>moo172-risk-items.md</w:t>
      </w:r>
      <w:r>
        <w:rPr>
          <w:b w:val="0"/>
          <w:i w:val="0"/>
        </w:rPr>
        <w:t>.</w:t>
      </w:r>
    </w:p>
    <w:p>
      <w:r>
        <w:rPr>
          <w:b/>
          <w:i w:val="0"/>
        </w:rPr>
        <w:t xml:space="preserve">This document amends register §4 and §6 and travels with </w:t>
      </w:r>
      <w:r>
        <w:rPr>
          <w:rFonts w:ascii="Consolas" w:hAnsi="Consolas"/>
          <w:b/>
          <w:i w:val="0"/>
          <w:sz w:val="19"/>
        </w:rPr>
        <w:t>moo172-risk-items.md</w:t>
      </w:r>
      <w:r>
        <w:rPr>
          <w:b/>
          <w:i w:val="0"/>
        </w:rPr>
        <w:t>.</w:t>
      </w:r>
      <w:r>
        <w:rPr>
          <w:b w:val="0"/>
          <w:i w:val="0"/>
        </w:rPr>
        <w:t xml:space="preserve"> MOO-172 is closed, so the register file is not rewritten here. Whoever builds the memo risk section or the patch paragraph reads both files.</w:t>
      </w:r>
    </w:p>
    <w:p>
      <w:r>
        <w:rPr>
          <w:b/>
          <w:i w:val="0"/>
        </w:rPr>
        <w:t>Internal working draft material. Not a Division of Legislative Services bill. Not reviewed by counsel. Pre-decisional and internal.</w:t>
      </w:r>
    </w:p>
    <w:p>
      <w:pPr>
        <w:jc w:val="left"/>
      </w:pPr>
      <w:r>
        <w:rPr>
          <w:color w:val="BBBBBB"/>
        </w:rPr>
        <w:t>______________________________________________________________________________________</w:t>
      </w:r>
    </w:p>
    <w:p>
      <w:pPr>
        <w:pStyle w:val="Heading1"/>
      </w:pPr>
      <w:r>
        <w:rPr>
          <w:b w:val="0"/>
          <w:i w:val="0"/>
        </w:rPr>
        <w:t>1. The decision — option 2, re-cut the trailing clause</w:t>
      </w:r>
    </w:p>
    <w:p>
      <w:r>
        <w:rPr>
          <w:b/>
          <w:i w:val="0"/>
        </w:rPr>
        <w:t>Sentence 1 goes in. The trailing clause comes out.</w:t>
      </w:r>
      <w:r>
        <w:rPr>
          <w:b w:val="0"/>
          <w:i w:val="0"/>
        </w:rPr>
        <w:t xml:space="preserve"> The proposition the sentence carries is true. The words it carries it in are not survivable, and the §4 ban was written to survive being excerpted.</w:t>
      </w:r>
    </w:p>
    <w:p>
      <w:r>
        <w:rPr>
          <w:b w:val="0"/>
          <w:i w:val="0"/>
        </w:rPr>
        <w:t>The re-cut sentence, in the default form I am asking for:</w:t>
      </w:r>
    </w:p>
    <w:p>
      <w:pPr>
        <w:ind w:left="432"/>
      </w:pPr>
      <w:r>
        <w:rPr>
          <w:b w:val="0"/>
          <w:i/>
          <w:color w:val="444444"/>
        </w:rPr>
        <w:t xml:space="preserve">Where this bill measures a deadline from the day the Board "acts upon" a member's request, it does not say whether that means the Board's first action on the request or its last; the patch answers that once — it means the first action — </w:t>
      </w:r>
      <w:r>
        <w:rPr>
          <w:b/>
          <w:i/>
          <w:color w:val="444444"/>
        </w:rPr>
        <w:t>so the pendency clock in subdivision G 4 and the tolling clock in subdivision M 2 are counted from the same event.</w:t>
      </w:r>
    </w:p>
    <w:p>
      <w:r>
        <w:rPr>
          <w:b w:val="0"/>
          <w:i w:val="0"/>
        </w:rPr>
        <w:t xml:space="preserve">What is deleted is nine words: </w:t>
      </w:r>
      <w:r>
        <w:rPr>
          <w:b w:val="0"/>
          <w:i/>
        </w:rPr>
        <w:t>"instead of restarting on different days."</w:t>
      </w:r>
      <w:r>
        <w:rPr>
          <w:b w:val="0"/>
          <w:i w:val="0"/>
        </w:rPr>
        <w:t xml:space="preserve"> Nothing else in sentence 1 moves.</w:t>
      </w:r>
    </w:p>
    <w:p>
      <w:r>
        <w:rPr>
          <w:b/>
          <w:i w:val="0"/>
        </w:rPr>
        <w:t>Sentences 2 and 3 are untouched</w:t>
      </w:r>
      <w:r>
        <w:rPr>
          <w:b w:val="0"/>
          <w:i w:val="0"/>
        </w:rPr>
        <w:t xml:space="preserve">, and so are all four of §6's bindings — including binding 2, that sentence 2's cost clause does not come out. §6's </w:t>
      </w:r>
      <w:r>
        <w:rPr>
          <w:b w:val="0"/>
          <w:i/>
        </w:rPr>
        <w:t>"to be used as given and not paraphrased"</w:t>
      </w:r>
      <w:r>
        <w:rPr>
          <w:b w:val="0"/>
          <w:i w:val="0"/>
        </w:rPr>
        <w:t xml:space="preserve"> survives this, because the re-cut is made by the sentence's author on my ask, not by me and not by the Editor. </w:t>
      </w:r>
      <w:r>
        <w:rPr>
          <w:b/>
          <w:i w:val="0"/>
        </w:rPr>
        <w:t>No one else trims this clause.</w:t>
      </w:r>
    </w:p>
    <w:p>
      <w:pPr>
        <w:jc w:val="left"/>
      </w:pPr>
      <w:r>
        <w:rPr>
          <w:color w:val="BBBBBB"/>
        </w:rPr>
        <w:t>______________________________________________________________________________________</w:t>
      </w:r>
    </w:p>
    <w:p>
      <w:pPr>
        <w:pStyle w:val="Heading1"/>
      </w:pPr>
      <w:r>
        <w:rPr>
          <w:b w:val="0"/>
          <w:i w:val="0"/>
        </w:rPr>
        <w:t>2. Why — the Editor is right about the sentence and right about the risk</w:t>
      </w:r>
    </w:p>
    <w:p>
      <w:r>
        <w:rPr>
          <w:b/>
          <w:i w:val="0"/>
        </w:rPr>
        <w:t>The better reading is the right reading, and it is not the reason to keep the clause.</w:t>
      </w:r>
      <w:r>
        <w:rPr>
          <w:b w:val="0"/>
          <w:i w:val="0"/>
        </w:rPr>
        <w:t xml:space="preserve"> </w:t>
      </w:r>
      <w:r>
        <w:rPr>
          <w:b w:val="0"/>
          <w:i/>
        </w:rPr>
        <w:t>"Counted from"</w:t>
      </w:r>
      <w:r>
        <w:rPr>
          <w:b w:val="0"/>
          <w:i w:val="0"/>
        </w:rPr>
        <w:t xml:space="preserve"> is the </w:t>
      </w:r>
      <w:r>
        <w:rPr>
          <w:b/>
          <w:i w:val="0"/>
        </w:rPr>
        <w:t>start</w:t>
      </w:r>
      <w:r>
        <w:rPr>
          <w:b w:val="0"/>
          <w:i w:val="0"/>
        </w:rPr>
        <w:t xml:space="preserve">. On the start the patch does make the two clocks one event, which is §4's own replacement sentence in §4's own words — </w:t>
      </w:r>
      <w:r>
        <w:rPr>
          <w:b w:val="0"/>
          <w:i/>
        </w:rPr>
        <w:t>"one starting event with two endpoints."</w:t>
      </w:r>
      <w:r>
        <w:rPr>
          <w:b w:val="0"/>
          <w:i w:val="0"/>
        </w:rPr>
        <w:t xml:space="preserve"> §4 bans a claim about </w:t>
      </w:r>
      <w:r>
        <w:rPr>
          <w:b/>
          <w:i w:val="0"/>
        </w:rPr>
        <w:t>endpoints</w:t>
      </w:r>
      <w:r>
        <w:rPr>
          <w:b w:val="0"/>
          <w:i w:val="0"/>
        </w:rPr>
        <w:t xml:space="preserve">. Sentence 1 makes no claim about endpoints. On the merits the Editor's analysis is correct and I adopt it: </w:t>
      </w:r>
      <w:r>
        <w:rPr>
          <w:b/>
          <w:i w:val="0"/>
        </w:rPr>
        <w:t>sentence 1 is true, and it was not in breach of the ban as a proposition.</w:t>
      </w:r>
    </w:p>
    <w:p>
      <w:r>
        <w:rPr>
          <w:b/>
          <w:i w:val="0"/>
        </w:rPr>
        <w:t>But §4 is a vocabulary rule, and that was deliberate.</w:t>
      </w:r>
      <w:r>
        <w:rPr>
          <w:b w:val="0"/>
          <w:i w:val="0"/>
        </w:rPr>
        <w:t xml:space="preserve"> It reaches </w:t>
      </w:r>
      <w:r>
        <w:rPr>
          <w:b w:val="0"/>
          <w:i/>
        </w:rPr>
        <w:t>"all three artifacts and any chart label or slide title"</w:t>
      </w:r>
      <w:r>
        <w:rPr>
          <w:b w:val="0"/>
          <w:i w:val="0"/>
        </w:rPr>
        <w:t xml:space="preserve"> precisely because those are the places no corrective sentence can travel into. </w:t>
      </w:r>
      <w:r>
        <w:rPr>
          <w:b w:val="0"/>
          <w:i/>
        </w:rPr>
        <w:t>"Restarting on different days"</w:t>
      </w:r>
      <w:r>
        <w:rPr>
          <w:b w:val="0"/>
          <w:i w:val="0"/>
        </w:rPr>
        <w:t xml:space="preserve"> is the banned phrase's own vocabulary turned negative, and a reader finishes the negation themselves: </w:t>
      </w:r>
      <w:r>
        <w:rPr>
          <w:b w:val="0"/>
          <w:i/>
        </w:rPr>
        <w:t>"so now they restart on the same day."</w:t>
      </w:r>
      <w:r>
        <w:rPr>
          <w:b w:val="0"/>
          <w:i w:val="0"/>
        </w:rPr>
        <w:t xml:space="preserve"> That is the first banned phrasing, reconstructed by the reader, inside the register that bans it.</w:t>
      </w:r>
    </w:p>
    <w:p>
      <w:r>
        <w:rPr>
          <w:b/>
          <w:i w:val="0"/>
        </w:rPr>
        <w:t>And the exposure is wider than memo §5.</w:t>
      </w:r>
      <w:r>
        <w:rPr>
          <w:b w:val="0"/>
          <w:i w:val="0"/>
        </w:rPr>
        <w:t xml:space="preserve"> §6 also sends this statement to the one-pager's </w:t>
      </w:r>
      <w:r>
        <w:rPr>
          <w:b w:val="0"/>
          <w:i/>
        </w:rPr>
        <w:t>"what the proposal does"</w:t>
      </w:r>
      <w:r>
        <w:rPr>
          <w:b w:val="0"/>
          <w:i w:val="0"/>
        </w:rPr>
        <w:t xml:space="preserve"> bullets. A bullet or a slide title carries sentence 1 without the paragraph around it. The Editor's pairing rule cannot follow it there, and nobody can be relied on to notice.</w:t>
      </w:r>
    </w:p>
    <w:p>
      <w:r>
        <w:rPr>
          <w:b/>
          <w:i w:val="0"/>
        </w:rPr>
        <w:t>So the fix belongs at the clause, not at the proposition.</w:t>
      </w:r>
      <w:r>
        <w:rPr>
          <w:b w:val="0"/>
          <w:i w:val="0"/>
        </w:rPr>
        <w:t xml:space="preserve"> That is what makes option 2 right and the other two wrong:</w:t>
      </w:r>
    </w:p>
    <w:p>
      <w:pPr>
        <w:pStyle w:val="ListBullet"/>
      </w:pPr>
      <w:r>
        <w:rPr>
          <w:b/>
          <w:i w:val="0"/>
        </w:rPr>
        <w:t>Option 1 (stands as released)</w:t>
      </w:r>
      <w:r>
        <w:rPr>
          <w:b w:val="0"/>
          <w:i w:val="0"/>
        </w:rPr>
        <w:t xml:space="preserve"> makes a ban that must survive excerpting depend on adjacency. It holds in memo §5, where the Editor's rule puts the replacement sentence next to it, and fails everywhere the sentence is quoted on its own.</w:t>
      </w:r>
    </w:p>
    <w:p>
      <w:pPr>
        <w:pStyle w:val="ListBullet"/>
      </w:pPr>
      <w:r>
        <w:rPr>
          <w:b/>
          <w:i w:val="0"/>
        </w:rPr>
        <w:t>Option 3 (out)</w:t>
      </w:r>
      <w:r>
        <w:rPr>
          <w:b w:val="0"/>
          <w:i w:val="0"/>
        </w:rPr>
        <w:t xml:space="preserve"> throws away the only plain-language account of the </w:t>
      </w:r>
      <w:r>
        <w:rPr>
          <w:b/>
          <w:i w:val="0"/>
        </w:rPr>
        <w:t>first-or-last ambiguity</w:t>
      </w:r>
      <w:r>
        <w:rPr>
          <w:b w:val="0"/>
          <w:i w:val="0"/>
        </w:rPr>
        <w:t xml:space="preserve"> — the actual reason Edit 1 exists. §4's replacement sentence states the </w:t>
      </w:r>
      <w:r>
        <w:rPr>
          <w:b/>
          <w:i w:val="0"/>
        </w:rPr>
        <w:t>design</w:t>
      </w:r>
      <w:r>
        <w:rPr>
          <w:b w:val="0"/>
          <w:i w:val="0"/>
        </w:rPr>
        <w:t xml:space="preserve"> and not the </w:t>
      </w:r>
      <w:r>
        <w:rPr>
          <w:b/>
          <w:i w:val="0"/>
        </w:rPr>
        <w:t>defect it cures</w:t>
      </w:r>
      <w:r>
        <w:rPr>
          <w:b w:val="0"/>
          <w:i w:val="0"/>
        </w:rPr>
        <w:t xml:space="preserve">; a legislator who opens on </w:t>
      </w:r>
      <w:r>
        <w:rPr>
          <w:b w:val="0"/>
          <w:i/>
        </w:rPr>
        <w:t>"one starting event with two endpoints"</w:t>
      </w:r>
      <w:r>
        <w:rPr>
          <w:b w:val="0"/>
          <w:i w:val="0"/>
        </w:rPr>
        <w:t xml:space="preserve"> has not been told there was ever a question. That is a real loss of substance to solve a nine-word problem.</w:t>
      </w:r>
    </w:p>
    <w:p>
      <w:pPr>
        <w:jc w:val="left"/>
      </w:pPr>
      <w:r>
        <w:rPr>
          <w:color w:val="BBBBBB"/>
        </w:rPr>
        <w:t>______________________________________________________________________________________</w:t>
      </w:r>
    </w:p>
    <w:p>
      <w:pPr>
        <w:pStyle w:val="Heading1"/>
      </w:pPr>
      <w:r>
        <w:rPr>
          <w:b w:val="0"/>
          <w:i w:val="0"/>
        </w:rPr>
        <w:t>3. The ask of the Drafting Specialist — one clause, and their choice of form</w:t>
      </w:r>
    </w:p>
    <w:p>
      <w:r>
        <w:rPr>
          <w:b w:val="0"/>
          <w:i w:val="0"/>
        </w:rPr>
        <w:t xml:space="preserve">Delegated on </w:t>
      </w:r>
      <w:r>
        <w:rPr>
          <w:b w:val="0"/>
          <w:i w:val="0"/>
          <w:color w:val="1F497D"/>
        </w:rPr>
        <w:t>MOO-178</w:t>
      </w:r>
      <w:r>
        <w:rPr>
          <w:b w:val="0"/>
          <w:i w:val="0"/>
        </w:rPr>
        <w:t>. The sentence is theirs; the ban is mine. The constraint is mine and the wording is theirs.</w:t>
      </w:r>
    </w:p>
    <w:p>
      <w:pPr>
        <w:pStyle w:val="ListNumber"/>
      </w:pPr>
      <w:r>
        <w:rPr>
          <w:b/>
          <w:i w:val="0"/>
        </w:rPr>
        <w:t>Default: delete the nine words and stop at *"counted from the same event."</w:t>
      </w:r>
      <w:r>
        <w:rPr>
          <w:b w:val="0"/>
          <w:i w:val="0"/>
        </w:rPr>
        <w:t>* No replacement is needed, because §4's replacement sentence sits immediately after it in memo §5 and supplies the endpoints there.</w:t>
      </w:r>
    </w:p>
    <w:p>
      <w:pPr>
        <w:pStyle w:val="ListNumber"/>
      </w:pPr>
      <w:r>
        <w:rPr>
          <w:b/>
          <w:i w:val="0"/>
        </w:rPr>
        <w:t>If they would rather keep a contrast</w:t>
      </w:r>
      <w:r>
        <w:rPr>
          <w:b w:val="0"/>
          <w:i w:val="0"/>
        </w:rPr>
        <w:t xml:space="preserve">, it may not use </w:t>
      </w:r>
      <w:r>
        <w:rPr>
          <w:b w:val="0"/>
          <w:i/>
        </w:rPr>
        <w:t>restart</w:t>
      </w:r>
      <w:r>
        <w:rPr>
          <w:b w:val="0"/>
          <w:i w:val="0"/>
        </w:rPr>
        <w:t xml:space="preserve">, </w:t>
      </w:r>
      <w:r>
        <w:rPr>
          <w:b w:val="0"/>
          <w:i/>
        </w:rPr>
        <w:t>align</w:t>
      </w:r>
      <w:r>
        <w:rPr>
          <w:b w:val="0"/>
          <w:i w:val="0"/>
        </w:rPr>
        <w:t xml:space="preserve">, </w:t>
      </w:r>
      <w:r>
        <w:rPr>
          <w:b w:val="0"/>
          <w:i/>
        </w:rPr>
        <w:t>match</w:t>
      </w:r>
      <w:r>
        <w:rPr>
          <w:b w:val="0"/>
          <w:i w:val="0"/>
        </w:rPr>
        <w:t xml:space="preserve">, </w:t>
      </w:r>
      <w:r>
        <w:rPr>
          <w:b w:val="0"/>
          <w:i/>
        </w:rPr>
        <w:t>mismatch</w:t>
      </w:r>
      <w:r>
        <w:rPr>
          <w:b w:val="0"/>
          <w:i w:val="0"/>
        </w:rPr>
        <w:t xml:space="preserve"> or </w:t>
      </w:r>
      <w:r>
        <w:rPr>
          <w:b w:val="0"/>
          <w:i/>
        </w:rPr>
        <w:t>same day</w:t>
      </w:r>
      <w:r>
        <w:rPr>
          <w:b w:val="0"/>
          <w:i w:val="0"/>
        </w:rPr>
        <w:t xml:space="preserve"> in any form, and it may not state or imply that the two clocks </w:t>
      </w:r>
      <w:r>
        <w:rPr>
          <w:b/>
          <w:i w:val="0"/>
        </w:rPr>
        <w:t>end</w:t>
      </w:r>
      <w:r>
        <w:rPr>
          <w:b w:val="0"/>
          <w:i w:val="0"/>
        </w:rPr>
        <w:t xml:space="preserve"> together. An acceptable landing — illustrative, not prescribed — is </w:t>
      </w:r>
      <w:r>
        <w:rPr>
          <w:b w:val="0"/>
          <w:i/>
        </w:rPr>
        <w:t>"...are counted from the same event, each still running to its own endpoint."</w:t>
      </w:r>
    </w:p>
    <w:p>
      <w:pPr>
        <w:pStyle w:val="ListNumber"/>
      </w:pPr>
      <w:r>
        <w:rPr>
          <w:b/>
          <w:i w:val="0"/>
        </w:rPr>
        <w:t>Nothing else is open on this ask.</w:t>
      </w:r>
      <w:r>
        <w:rPr>
          <w:b w:val="0"/>
          <w:i w:val="0"/>
        </w:rPr>
        <w:t xml:space="preserve"> Sentences 2 and 3 are not in scope, binding 2's cost clause is not in scope, and the first-or-last clause at the front of sentence 1 does not move.</w:t>
      </w:r>
    </w:p>
    <w:p>
      <w:pPr>
        <w:jc w:val="left"/>
      </w:pPr>
      <w:r>
        <w:rPr>
          <w:color w:val="BBBBBB"/>
        </w:rPr>
        <w:t>______________________________________________________________________________________</w:t>
      </w:r>
    </w:p>
    <w:p>
      <w:pPr>
        <w:pStyle w:val="Heading1"/>
      </w:pPr>
      <w:r>
        <w:rPr>
          <w:b w:val="0"/>
          <w:i w:val="0"/>
        </w:rPr>
        <w:t>4. Amendment to register §4 — a fifth banned form, with the line drawn carefully</w:t>
      </w:r>
    </w:p>
    <w:p>
      <w:r>
        <w:rPr>
          <w:b/>
          <w:i w:val="0"/>
        </w:rPr>
        <w:t>Added to §4's ban list:</w:t>
      </w:r>
      <w:r>
        <w:rPr>
          <w:b w:val="0"/>
          <w:i w:val="0"/>
        </w:rPr>
        <w:t xml:space="preserve"> any clause that says or implies </w:t>
      </w:r>
      <w:r>
        <w:rPr>
          <w:b/>
          <w:i w:val="0"/>
        </w:rPr>
        <w:t>the patch stops the two clocks restarting on different days</w:t>
      </w:r>
      <w:r>
        <w:rPr>
          <w:b w:val="0"/>
          <w:i w:val="0"/>
        </w:rPr>
        <w:t xml:space="preserve">, or that the restarting now happens on one day. </w:t>
      </w:r>
      <w:r>
        <w:rPr>
          <w:b w:val="0"/>
          <w:i/>
        </w:rPr>
        <w:t>"Instead of restarting on different days"</w:t>
      </w:r>
      <w:r>
        <w:rPr>
          <w:b w:val="0"/>
          <w:i w:val="0"/>
        </w:rPr>
        <w:t xml:space="preserve"> is the instance that raised this.</w:t>
      </w:r>
    </w:p>
    <w:p>
      <w:r>
        <w:rPr>
          <w:b/>
          <w:i w:val="0"/>
        </w:rPr>
        <w:t>The carve-out, and it matters.</w:t>
      </w:r>
      <w:r>
        <w:rPr>
          <w:b w:val="0"/>
          <w:i w:val="0"/>
        </w:rPr>
        <w:t xml:space="preserve"> </w:t>
      </w:r>
      <w:r>
        <w:rPr>
          <w:b w:val="0"/>
          <w:i/>
        </w:rPr>
        <w:t>"Restarting on different days"</w:t>
      </w:r>
      <w:r>
        <w:rPr>
          <w:b w:val="0"/>
          <w:i w:val="0"/>
        </w:rPr>
        <w:t xml:space="preserve"> as a description of the </w:t>
      </w:r>
      <w:r>
        <w:rPr>
          <w:b/>
          <w:i w:val="0"/>
        </w:rPr>
        <w:t>text before the patch</w:t>
      </w:r>
      <w:r>
        <w:rPr>
          <w:b w:val="0"/>
          <w:i w:val="0"/>
        </w:rPr>
        <w:t xml:space="preserve"> is true, it is </w:t>
      </w:r>
      <w:r>
        <w:rPr>
          <w:b w:val="0"/>
          <w:i w:val="0"/>
          <w:color w:val="1F497D"/>
        </w:rPr>
        <w:t>MOO-141</w:t>
      </w:r>
      <w:r>
        <w:rPr>
          <w:b w:val="0"/>
          <w:i w:val="0"/>
        </w:rPr>
        <w:t xml:space="preserve">'s own language for the defect, and it is not banned. It stays available in the risk section and in the record wherever the claim is about the pre-patch provisions. </w:t>
      </w:r>
      <w:r>
        <w:rPr>
          <w:b/>
          <w:i w:val="0"/>
        </w:rPr>
        <w:t>What is banned is the cure construction</w:t>
      </w:r>
      <w:r>
        <w:rPr>
          <w:b w:val="0"/>
          <w:i w:val="0"/>
        </w:rPr>
        <w:t xml:space="preserve"> — the form that makes the patch's achievement the end of the restarting. That is the first banned phrasing wearing a negative.</w:t>
      </w:r>
    </w:p>
    <w:p>
      <w:r>
        <w:rPr>
          <w:b/>
          <w:i w:val="0"/>
        </w:rPr>
        <w:t>Second amendment, on placement:</w:t>
      </w:r>
      <w:r>
        <w:rPr>
          <w:b w:val="0"/>
          <w:i w:val="0"/>
        </w:rPr>
        <w:t xml:space="preserve"> </w:t>
      </w:r>
      <w:r>
        <w:rPr>
          <w:b/>
          <w:i w:val="0"/>
        </w:rPr>
        <w:t>sentence 1 may not be excerpted into a bullet, a chart label or a slide title.</w:t>
      </w:r>
      <w:r>
        <w:rPr>
          <w:b w:val="0"/>
          <w:i w:val="0"/>
        </w:rPr>
        <w:t xml:space="preserve"> Where the one-pager needs this content in a bullet, the bullet uses §4's replacement sentence form. Reason: the pairing rule in §5 below cannot travel into a bullet.</w:t>
      </w:r>
    </w:p>
    <w:p>
      <w:pPr>
        <w:jc w:val="left"/>
      </w:pPr>
      <w:r>
        <w:rPr>
          <w:color w:val="BBBBBB"/>
        </w:rPr>
        <w:t>______________________________________________________________________________________</w:t>
      </w:r>
    </w:p>
    <w:p>
      <w:pPr>
        <w:pStyle w:val="Heading1"/>
      </w:pPr>
      <w:r>
        <w:rPr>
          <w:b w:val="0"/>
          <w:i w:val="0"/>
        </w:rPr>
        <w:t>5. The Editor's standing rule is adopted, and it is permanent, not interim</w:t>
      </w:r>
    </w:p>
    <w:p>
      <w:r>
        <w:rPr>
          <w:b w:val="0"/>
          <w:i w:val="0"/>
        </w:rPr>
        <w:t xml:space="preserve">Where §6 places sentence 1 in </w:t>
      </w:r>
      <w:r>
        <w:rPr>
          <w:b/>
          <w:i w:val="0"/>
        </w:rPr>
        <w:t>memo §5</w:t>
      </w:r>
      <w:r>
        <w:rPr>
          <w:b w:val="0"/>
          <w:i w:val="0"/>
        </w:rPr>
        <w:t>, §4's replacement sentence —</w:t>
      </w:r>
    </w:p>
    <w:p>
      <w:pPr>
        <w:ind w:left="432"/>
      </w:pPr>
      <w:r>
        <w:rPr>
          <w:b/>
          <w:i/>
          <w:color w:val="444444"/>
        </w:rPr>
        <w:t>The patch gives the two clocks one starting event with two endpoints: G 4's pendency ends when the Board first acts, and M 2's tolling and filing-date retention run to 30 days after that.</w:t>
      </w:r>
    </w:p>
    <w:p>
      <w:r>
        <w:rPr>
          <w:b w:val="0"/>
          <w:i w:val="0"/>
        </w:rPr>
        <w:t xml:space="preserve">— sits in the </w:t>
      </w:r>
      <w:r>
        <w:rPr>
          <w:b/>
          <w:i w:val="0"/>
        </w:rPr>
        <w:t>same paragraph, immediately after it.</w:t>
      </w:r>
    </w:p>
    <w:p>
      <w:r>
        <w:rPr>
          <w:b/>
          <w:i w:val="0"/>
        </w:rPr>
        <w:t>This holds after the re-cut, not only until it.</w:t>
      </w:r>
      <w:r>
        <w:rPr>
          <w:b w:val="0"/>
          <w:i w:val="0"/>
        </w:rPr>
        <w:t xml:space="preserve"> The re-cut sentence is silent on the endpoints, and a reader of memo §5 needs them on the page. The Editor built this rule as a holding measure; I am making it the standing form of that paragraph.</w:t>
      </w:r>
    </w:p>
    <w:p>
      <w:pPr>
        <w:jc w:val="left"/>
      </w:pPr>
      <w:r>
        <w:rPr>
          <w:color w:val="BBBBBB"/>
        </w:rPr>
        <w:t>______________________________________________________________________________________</w:t>
      </w:r>
    </w:p>
    <w:p>
      <w:pPr>
        <w:pStyle w:val="Heading1"/>
      </w:pPr>
      <w:r>
        <w:rPr>
          <w:b w:val="0"/>
          <w:i w:val="0"/>
        </w:rPr>
        <w:t>6. What this does not touch, and what is not held</w:t>
      </w:r>
    </w:p>
    <w:p>
      <w:r>
        <w:rPr>
          <w:b/>
          <w:i w:val="0"/>
        </w:rPr>
        <w:t>Nothing is held.</w:t>
      </w:r>
      <w:r>
        <w:rPr>
          <w:b w:val="0"/>
          <w:i w:val="0"/>
        </w:rPr>
        <w:t xml:space="preserve"> C20, C21, C22, C23, the withdrawn clarification argument, the §4 ban itself and sentences 2 and 3 are all unaffected and ready, exactly as the Editor recorded. </w:t>
      </w:r>
      <w:r>
        <w:rPr>
          <w:b/>
          <w:i w:val="0"/>
        </w:rPr>
        <w:t>Memo §5 is not on hold</w:t>
      </w:r>
      <w:r>
        <w:rPr>
          <w:b w:val="0"/>
          <w:i w:val="0"/>
        </w:rPr>
        <w:t>; it can be built now.</w:t>
      </w:r>
    </w:p>
    <w:p>
      <w:r>
        <w:rPr>
          <w:b/>
          <w:i w:val="0"/>
        </w:rPr>
        <w:t>Until MOO-178 lands the re-cut</w:t>
      </w:r>
      <w:r>
        <w:rPr>
          <w:b w:val="0"/>
          <w:i w:val="0"/>
        </w:rPr>
        <w:t>, the interim rule is the Editor's, with one addition:</w:t>
      </w:r>
    </w:p>
    <w:p>
      <w:pPr>
        <w:pStyle w:val="ListBullet"/>
      </w:pPr>
      <w:r>
        <w:rPr>
          <w:b w:val="0"/>
          <w:i w:val="0"/>
        </w:rPr>
        <w:t xml:space="preserve">the </w:t>
      </w:r>
      <w:r>
        <w:rPr>
          <w:b/>
          <w:i w:val="0"/>
        </w:rPr>
        <w:t>pre-re-cut</w:t>
      </w:r>
      <w:r>
        <w:rPr>
          <w:b w:val="0"/>
          <w:i w:val="0"/>
        </w:rPr>
        <w:t xml:space="preserve"> sentence 1 goes into </w:t>
      </w:r>
      <w:r>
        <w:rPr>
          <w:b/>
          <w:i w:val="0"/>
        </w:rPr>
        <w:t>no artifact on its own</w:t>
      </w:r>
      <w:r>
        <w:rPr>
          <w:b w:val="0"/>
          <w:i w:val="0"/>
        </w:rPr>
        <w:t>, and where it appears in memo §5 it is paired per §5 above;</w:t>
      </w:r>
    </w:p>
    <w:p>
      <w:pPr>
        <w:pStyle w:val="ListBullet"/>
      </w:pPr>
      <w:r>
        <w:rPr>
          <w:b w:val="0"/>
          <w:i w:val="0"/>
        </w:rPr>
        <w:t xml:space="preserve">and the </w:t>
      </w:r>
      <w:r>
        <w:rPr>
          <w:b/>
          <w:i w:val="0"/>
        </w:rPr>
        <w:t>one-pager bullet does not use sentence 1 at all</w:t>
      </w:r>
      <w:r>
        <w:rPr>
          <w:b w:val="0"/>
          <w:i w:val="0"/>
        </w:rPr>
        <w:t xml:space="preserve"> in the meantime — it uses §4's replacement sentence.</w:t>
      </w:r>
    </w:p>
    <w:p>
      <w:r>
        <w:rPr>
          <w:b/>
          <w:i w:val="0"/>
        </w:rPr>
        <w:t>Unchanged by this disposition:</w:t>
      </w:r>
      <w:r>
        <w:rPr>
          <w:b w:val="0"/>
          <w:i w:val="0"/>
        </w:rPr>
        <w:t xml:space="preserve"> everything in register §7. The patch is applied nowhere, three gates plus the board's figure question stand before it is, and </w:t>
      </w:r>
      <w:r>
        <w:rPr>
          <w:b/>
          <w:i w:val="0"/>
        </w:rPr>
        <w:t>if gate 4 moves Edit 3's figure, sentence 3 moves and the Drafting Specialist re-cuts these sentences again</w:t>
      </w:r>
      <w:r>
        <w:rPr>
          <w:b w:val="0"/>
          <w:i w:val="0"/>
        </w:rPr>
        <w:t xml:space="preserve"> — this disposition reaches sentence 1 only.</w:t>
      </w:r>
    </w:p>
    <w:p>
      <w:pPr>
        <w:jc w:val="left"/>
      </w:pPr>
      <w:r>
        <w:rPr>
          <w:color w:val="BBBBBB"/>
        </w:rPr>
        <w:t>______________________________________________________________________________________</w:t>
      </w:r>
    </w:p>
    <w:p>
      <w:pPr>
        <w:pStyle w:val="Heading1"/>
      </w:pPr>
      <w:r>
        <w:rPr>
          <w:b w:val="0"/>
          <w:i w:val="0"/>
        </w:rPr>
        <w:t>7. Record</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i w:val="0"/>
                <w:sz w:val="19"/>
              </w:rPr>
              <w:t>Item</w:t>
            </w:r>
          </w:p>
        </w:tc>
        <w:tc>
          <w:tcPr>
            <w:tcW w:type="dxa" w:w="3216"/>
          </w:tcPr>
          <w:p>
            <w:r>
              <w:rPr>
                <w:b/>
                <w:i w:val="0"/>
                <w:sz w:val="19"/>
              </w:rPr>
              <w:t>Disposition</w:t>
            </w:r>
          </w:p>
        </w:tc>
        <w:tc>
          <w:tcPr>
            <w:tcW w:type="dxa" w:w="3216"/>
          </w:tcPr>
          <w:p>
            <w:r>
              <w:rPr>
                <w:b/>
                <w:i w:val="0"/>
                <w:sz w:val="19"/>
              </w:rPr>
              <w:t>Owner</w:t>
            </w:r>
          </w:p>
        </w:tc>
      </w:tr>
      <w:tr>
        <w:tc>
          <w:tcPr>
            <w:tcW w:type="dxa" w:w="3216"/>
          </w:tcPr>
          <w:p>
            <w:r>
              <w:rPr>
                <w:b w:val="0"/>
                <w:i w:val="0"/>
                <w:sz w:val="19"/>
              </w:rPr>
              <w:t>Sentence 1 as released</w:t>
            </w:r>
          </w:p>
        </w:tc>
        <w:tc>
          <w:tcPr>
            <w:tcW w:type="dxa" w:w="3216"/>
          </w:tcPr>
          <w:p>
            <w:r>
              <w:rPr>
                <w:b/>
                <w:i w:val="0"/>
                <w:sz w:val="19"/>
              </w:rPr>
              <w:t>Re-cut.</w:t>
            </w:r>
            <w:r>
              <w:rPr>
                <w:b w:val="0"/>
                <w:i w:val="0"/>
                <w:sz w:val="19"/>
              </w:rPr>
              <w:t xml:space="preserve"> Trailing nine words out; rest of the sentence stands</w:t>
            </w:r>
          </w:p>
        </w:tc>
        <w:tc>
          <w:tcPr>
            <w:tcW w:type="dxa" w:w="3216"/>
          </w:tcPr>
          <w:p>
            <w:r>
              <w:rPr>
                <w:b w:val="0"/>
                <w:i w:val="0"/>
                <w:sz w:val="19"/>
              </w:rPr>
              <w:t>Policy Director, this issue</w:t>
            </w:r>
          </w:p>
        </w:tc>
      </w:tr>
      <w:tr>
        <w:tc>
          <w:tcPr>
            <w:tcW w:type="dxa" w:w="3216"/>
          </w:tcPr>
          <w:p>
            <w:r>
              <w:rPr>
                <w:b w:val="0"/>
                <w:i w:val="0"/>
                <w:sz w:val="19"/>
              </w:rPr>
              <w:t>The re-cut itself</w:t>
            </w:r>
          </w:p>
        </w:tc>
        <w:tc>
          <w:tcPr>
            <w:tcW w:type="dxa" w:w="3216"/>
          </w:tcPr>
          <w:p>
            <w:r>
              <w:rPr>
                <w:b w:val="0"/>
                <w:i w:val="0"/>
                <w:sz w:val="19"/>
              </w:rPr>
              <w:t>Delegated, one clause, default form given</w:t>
            </w:r>
          </w:p>
        </w:tc>
        <w:tc>
          <w:tcPr>
            <w:tcW w:type="dxa" w:w="3216"/>
          </w:tcPr>
          <w:p>
            <w:r>
              <w:rPr>
                <w:b w:val="0"/>
                <w:i w:val="0"/>
                <w:sz w:val="19"/>
              </w:rPr>
              <w:t>Drafting Specialist, MOO-178</w:t>
            </w:r>
          </w:p>
        </w:tc>
      </w:tr>
      <w:tr>
        <w:tc>
          <w:tcPr>
            <w:tcW w:type="dxa" w:w="3216"/>
          </w:tcPr>
          <w:p>
            <w:r>
              <w:rPr>
                <w:b w:val="0"/>
                <w:i w:val="0"/>
                <w:sz w:val="19"/>
              </w:rPr>
              <w:t>Sentences 2 and 3, §6's four bindings</w:t>
            </w:r>
          </w:p>
        </w:tc>
        <w:tc>
          <w:tcPr>
            <w:tcW w:type="dxa" w:w="3216"/>
          </w:tcPr>
          <w:p>
            <w:r>
              <w:rPr>
                <w:b/>
                <w:i w:val="0"/>
                <w:sz w:val="19"/>
              </w:rPr>
              <w:t>Untouched</w:t>
            </w:r>
          </w:p>
        </w:tc>
        <w:tc>
          <w:tcPr>
            <w:tcW w:type="dxa" w:w="3216"/>
          </w:tcPr>
          <w:p>
            <w:r>
              <w:rPr>
                <w:b w:val="0"/>
                <w:i w:val="0"/>
                <w:sz w:val="19"/>
              </w:rPr>
              <w:t>Drafting Specialist, MOO-172 §6</w:t>
            </w:r>
          </w:p>
        </w:tc>
      </w:tr>
      <w:tr>
        <w:tc>
          <w:tcPr>
            <w:tcW w:type="dxa" w:w="3216"/>
          </w:tcPr>
          <w:p>
            <w:r>
              <w:rPr>
                <w:b w:val="0"/>
                <w:i w:val="0"/>
                <w:sz w:val="19"/>
              </w:rPr>
              <w:t>§4 ban list</w:t>
            </w:r>
          </w:p>
        </w:tc>
        <w:tc>
          <w:tcPr>
            <w:tcW w:type="dxa" w:w="3216"/>
          </w:tcPr>
          <w:p>
            <w:r>
              <w:rPr>
                <w:b/>
                <w:i w:val="0"/>
                <w:sz w:val="19"/>
              </w:rPr>
              <w:t>Amended</w:t>
            </w:r>
            <w:r>
              <w:rPr>
                <w:b w:val="0"/>
                <w:i w:val="0"/>
                <w:sz w:val="19"/>
              </w:rPr>
              <w:t xml:space="preserve"> — fifth form added, with the pre-patch carve-out</w:t>
            </w:r>
          </w:p>
        </w:tc>
        <w:tc>
          <w:tcPr>
            <w:tcW w:type="dxa" w:w="3216"/>
          </w:tcPr>
          <w:p>
            <w:r>
              <w:rPr>
                <w:b w:val="0"/>
                <w:i w:val="0"/>
                <w:sz w:val="19"/>
              </w:rPr>
              <w:t>Policy Director, §4 above</w:t>
            </w:r>
          </w:p>
        </w:tc>
      </w:tr>
      <w:tr>
        <w:tc>
          <w:tcPr>
            <w:tcW w:type="dxa" w:w="3216"/>
          </w:tcPr>
          <w:p>
            <w:r>
              <w:rPr>
                <w:b w:val="0"/>
                <w:i w:val="0"/>
                <w:sz w:val="19"/>
              </w:rPr>
              <w:t>Sentence 1 in bullets, chart labels, slide titles</w:t>
            </w:r>
          </w:p>
        </w:tc>
        <w:tc>
          <w:tcPr>
            <w:tcW w:type="dxa" w:w="3216"/>
          </w:tcPr>
          <w:p>
            <w:r>
              <w:rPr>
                <w:b/>
                <w:i w:val="0"/>
                <w:sz w:val="19"/>
              </w:rPr>
              <w:t>Banned.</w:t>
            </w:r>
            <w:r>
              <w:rPr>
                <w:b w:val="0"/>
                <w:i w:val="0"/>
                <w:sz w:val="19"/>
              </w:rPr>
              <w:t xml:space="preserve"> Replacement sentence instead</w:t>
            </w:r>
          </w:p>
        </w:tc>
        <w:tc>
          <w:tcPr>
            <w:tcW w:type="dxa" w:w="3216"/>
          </w:tcPr>
          <w:p>
            <w:r>
              <w:rPr>
                <w:b w:val="0"/>
                <w:i w:val="0"/>
                <w:sz w:val="19"/>
              </w:rPr>
              <w:t>Policy Director, §4 above</w:t>
            </w:r>
          </w:p>
        </w:tc>
      </w:tr>
      <w:tr>
        <w:tc>
          <w:tcPr>
            <w:tcW w:type="dxa" w:w="3216"/>
          </w:tcPr>
          <w:p>
            <w:r>
              <w:rPr>
                <w:b w:val="0"/>
                <w:i w:val="0"/>
                <w:sz w:val="19"/>
              </w:rPr>
              <w:t>Editor's pairing rule in memo §5</w:t>
            </w:r>
          </w:p>
        </w:tc>
        <w:tc>
          <w:tcPr>
            <w:tcW w:type="dxa" w:w="3216"/>
          </w:tcPr>
          <w:p>
            <w:r>
              <w:rPr>
                <w:b/>
                <w:i w:val="0"/>
                <w:sz w:val="19"/>
              </w:rPr>
              <w:t>Adopted as permanent</w:t>
            </w:r>
          </w:p>
        </w:tc>
        <w:tc>
          <w:tcPr>
            <w:tcW w:type="dxa" w:w="3216"/>
          </w:tcPr>
          <w:p>
            <w:r>
              <w:rPr>
                <w:b w:val="0"/>
                <w:i w:val="0"/>
                <w:sz w:val="19"/>
              </w:rPr>
              <w:t>Policy Director, §5 above</w:t>
            </w:r>
          </w:p>
        </w:tc>
      </w:tr>
      <w:tr>
        <w:tc>
          <w:tcPr>
            <w:tcW w:type="dxa" w:w="3216"/>
          </w:tcPr>
          <w:p>
            <w:r>
              <w:rPr>
                <w:b w:val="0"/>
                <w:i w:val="0"/>
                <w:sz w:val="19"/>
              </w:rPr>
              <w:t xml:space="preserve">Register §4 / §6 text in </w:t>
            </w:r>
            <w:r>
              <w:rPr>
                <w:rFonts w:ascii="Consolas" w:hAnsi="Consolas"/>
                <w:b w:val="0"/>
                <w:i w:val="0"/>
                <w:sz w:val="19"/>
              </w:rPr>
              <w:t>moo172-risk-items.md</w:t>
            </w:r>
          </w:p>
        </w:tc>
        <w:tc>
          <w:tcPr>
            <w:tcW w:type="dxa" w:w="3216"/>
          </w:tcPr>
          <w:p>
            <w:r>
              <w:rPr>
                <w:b w:val="0"/>
                <w:i w:val="0"/>
                <w:sz w:val="19"/>
              </w:rPr>
              <w:t>Not rewritten; MOO-172 is closed. This file amends it</w:t>
            </w:r>
          </w:p>
        </w:tc>
        <w:tc>
          <w:tcPr>
            <w:tcW w:type="dxa" w:w="3216"/>
          </w:tcPr>
          <w:p>
            <w:r>
              <w:rPr>
                <w:b w:val="0"/>
                <w:i w:val="0"/>
                <w:sz w:val="19"/>
              </w:rPr>
              <w:t>—</w:t>
            </w:r>
          </w:p>
        </w:tc>
      </w:tr>
    </w:tbl>
    <w:p/>
    <w:p>
      <w:r>
        <w:rPr>
          <w:b/>
          <w:i w:val="0"/>
        </w:rPr>
        <w:t>Source verification.</w:t>
      </w:r>
      <w:r>
        <w:rPr>
          <w:b w:val="0"/>
          <w:i w:val="0"/>
        </w:rPr>
        <w:t xml:space="preserve"> Sentence 1 is taken from register §6's verbatim log of </w:t>
      </w:r>
      <w:r>
        <w:rPr>
          <w:rFonts w:ascii="Consolas" w:hAnsi="Consolas"/>
          <w:b w:val="0"/>
          <w:i w:val="0"/>
          <w:color w:val="1F497D"/>
          <w:sz w:val="19"/>
        </w:rPr>
        <w:t>moo162-edits-2-and-3</w:t>
      </w:r>
      <w:r>
        <w:rPr>
          <w:b w:val="0"/>
          <w:i w:val="0"/>
        </w:rPr>
        <w:t xml:space="preserve"> revision 5, document revision </w:t>
      </w:r>
      <w:r>
        <w:rPr>
          <w:rFonts w:ascii="Consolas" w:hAnsi="Consolas"/>
          <w:b w:val="0"/>
          <w:i w:val="0"/>
          <w:sz w:val="19"/>
        </w:rPr>
        <w:t>38d9caf0</w:t>
      </w:r>
      <w:r>
        <w:rPr>
          <w:b w:val="0"/>
          <w:i w:val="0"/>
        </w:rPr>
        <w:t>, and matches the Editor's quotation of it on this issue. I read the register's log, not the source document itself; the two quotations agree word for word, and the re-cut ask on MOO-178 asks the Drafting Specialist to cut against their own document.</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