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MOO-212 — the one reserved classification, ruled</w:t>
      </w:r>
    </w:p>
    <w:p>
      <w:r>
        <w:rPr>
          <w:b/>
        </w:rPr>
        <w:t>Policy Director, 13 October 2026.</w:t>
      </w:r>
      <w:r>
        <w:t xml:space="preserve"> At MOO-206 §2 I set a liftability guard on cohort back-references and swept eleven sites myself. One site I would not classify, and I said so in terms: </w:t>
      </w:r>
      <w:r>
        <w:rPr>
          <w:i/>
        </w:rPr>
        <w:t>report it; do not guess it.</w:t>
      </w:r>
      <w:r>
        <w:t xml:space="preserve"> The Editor reported it, unchanged, and froze </w:t>
      </w:r>
      <w:r>
        <w:rPr>
          <w:rFonts w:ascii="Consolas" w:hAnsi="Consolas"/>
        </w:rPr>
        <w:t>v2.1</w:t>
      </w:r>
      <w:r>
        <w:t xml:space="preserve"> around it. This is the ruling. It is the last open item on MOO-212.</w:t>
      </w:r>
    </w:p>
    <w:p>
      <w:r>
        <w:rPr>
          <w:b/>
        </w:rPr>
        <w:t>Internal working draft material. Not a DLS bill, not reviewed by counsel. Pre-decisional and internal.</w:t>
      </w:r>
    </w:p>
    <w:p>
      <w:pPr>
        <w:pStyle w:val="Heading2"/>
      </w:pPr>
      <w:r>
        <w:t>The site</w:t>
      </w:r>
    </w:p>
    <w:p>
      <w:r>
        <w:rPr>
          <w:rFonts w:ascii="Consolas" w:hAnsi="Consolas"/>
        </w:rPr>
        <w:t>07-risk-register.md</w:t>
      </w:r>
      <w:r>
        <w:t xml:space="preserve"> §4, the resolved-items table, row </w:t>
      </w:r>
      <w:r>
        <w:rPr>
          <w:b/>
        </w:rPr>
        <w:t>R1 / F1 / F2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Resolution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R1 / F1 / F2</w:t>
            </w:r>
          </w:p>
        </w:tc>
        <w:tc>
          <w:tcPr>
            <w:tcW w:type="dxa" w:w="2880"/>
          </w:tcPr>
          <w:p>
            <w:r>
              <w:t xml:space="preserve">The cost model's retirement-date convention and </w:t>
            </w:r>
            <w:r>
              <w:rPr>
                <w:b/>
              </w:rPr>
              <w:t>cohort construction</w:t>
            </w:r>
            <w:r>
              <w:t>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CLOSED, 11 October 2026.</w:t>
            </w:r>
            <w:r>
              <w:t xml:space="preserve"> The model was rebuilt: … </w:t>
            </w:r>
            <w:r>
              <w:rPr>
                <w:b/>
              </w:rPr>
              <w:t>the cohort</w:t>
            </w:r>
            <w:r>
              <w:t xml:space="preserve"> was rebuilt monthly from membership history with the pathways made mutually exclusive …</w:t>
            </w:r>
          </w:p>
        </w:tc>
      </w:tr>
    </w:tbl>
    <w:p>
      <w:r>
        <w:t xml:space="preserve">One correction to my own card, which the Editor caught: on disk it reads </w:t>
      </w:r>
      <w:r>
        <w:rPr>
          <w:i/>
        </w:rPr>
        <w:t>"membership history"</w:t>
      </w:r>
      <w:r>
        <w:t xml:space="preserve">, singular. My MOO-206 text quoted it as </w:t>
      </w:r>
      <w:r>
        <w:rPr>
          <w:i/>
        </w:rPr>
        <w:t>"histories"</w:t>
      </w:r>
      <w:r>
        <w:t>. The disk is right.</w:t>
      </w:r>
    </w:p>
    <w:p>
      <w:pPr>
        <w:pStyle w:val="Heading2"/>
      </w:pPr>
      <w:r>
        <w:t>The ruling</w:t>
      </w:r>
    </w:p>
    <w:p>
      <w:r>
        <w:rPr>
          <w:b/>
        </w:rPr>
        <w:t>No class. The guard does not reach this sentence, and the identifier must never be put here. It joins the protected list: three protected sites, not two.</w:t>
      </w:r>
    </w:p>
    <w:p>
      <w:pPr>
        <w:pStyle w:val="Heading2"/>
      </w:pPr>
      <w:r>
        <w:t>Why</w:t>
      </w:r>
    </w:p>
    <w:p>
      <w:r>
        <w:rPr>
          <w:b/>
        </w:rPr>
        <w:t>1. The guard governs one referent, and this is not it.</w:t>
      </w:r>
      <w:r>
        <w:t xml:space="preserve"> The guard at MOO-206 §2 protects back-references to </w:t>
      </w:r>
      <w:r>
        <w:rPr>
          <w:i/>
        </w:rPr>
        <w:t>the unreduced subdivision A 1 cohort</w:t>
      </w:r>
      <w:r>
        <w:t xml:space="preserve"> — the cohort the bill admits, the cohort behind this package's figures. Its harm case is a row lifted out alone that says </w:t>
      </w:r>
      <w:r>
        <w:rPr>
          <w:i/>
        </w:rPr>
        <w:t>"refuses the most expensive 4.74% of the cohort"</w:t>
      </w:r>
      <w:r>
        <w:t xml:space="preserve"> and so names no cohort at all. This sentence carries </w:t>
      </w:r>
      <w:r>
        <w:rPr>
          <w:b/>
        </w:rPr>
        <w:t>no figure</w:t>
      </w:r>
      <w:r>
        <w:t>. It is not a back-reference to the authorised cohort; it is a statement about how a model was built.</w:t>
      </w:r>
    </w:p>
    <w:p>
      <w:r>
        <w:rPr>
          <w:b/>
        </w:rPr>
        <w:t>2. The identifier would be affirmatively wrong here, and that is decisive.</w:t>
      </w:r>
      <w:r>
        <w:t xml:space="preserve"> The sentence ends </w:t>
      </w:r>
      <w:r>
        <w:rPr>
          <w:i/>
        </w:rPr>
        <w:t>"with the pathways made mutually exclusive."</w:t>
      </w:r>
      <w:r>
        <w:t xml:space="preserve"> Pathways, plural — the construction step that separated Pathway A from Pathway B. The authorised identifier names the single admitted cohort. Writing </w:t>
      </w:r>
      <w:r>
        <w:rPr>
          <w:i/>
        </w:rPr>
        <w:t>"the unreduced subdivision A 1 cohort was rebuilt monthly … with the pathways made mutually exclusive"</w:t>
      </w:r>
      <w:r>
        <w:t xml:space="preserve"> would assert that the bill's admitted cohort was itself built out of more than one pathway. It is not. This is the same failure mode as </w:t>
      </w:r>
      <w:r>
        <w:rPr>
          <w:rFonts w:ascii="Consolas" w:hAnsi="Consolas"/>
        </w:rPr>
        <w:t>04-fiscal-analysis.md</w:t>
      </w:r>
      <w:r>
        <w:t xml:space="preserve"> §13's </w:t>
      </w:r>
      <w:r>
        <w:rPr>
          <w:i/>
        </w:rPr>
        <w:t>"$1,641,824 on that cohort"</w:t>
      </w:r>
      <w:r>
        <w:t xml:space="preserve">, which I protected at MOO-206 for exactly this reason: </w:t>
      </w:r>
      <w:r>
        <w:rPr>
          <w:b/>
        </w:rPr>
        <w:t>a sweep that attaches the authorised name to a population that is not the authorised cohort does not cure a vagueness, it manufactures a misstatement.</w:t>
      </w:r>
      <w:r>
        <w:t xml:space="preserve"> A guard that creates the error it exists to prevent is misapplied.</w:t>
      </w:r>
    </w:p>
    <w:p>
      <w:r>
        <w:rPr>
          <w:b/>
        </w:rPr>
        <w:t>3. The antecedent is inside the unit that travels.</w:t>
      </w:r>
      <w:r>
        <w:t xml:space="preserve"> The guard's own test is that the full phrase stands earlier </w:t>
      </w:r>
      <w:r>
        <w:rPr>
          <w:i/>
        </w:rPr>
        <w:t>in the same block, and that block always travels with it.</w:t>
      </w:r>
      <w:r>
        <w:t xml:space="preserve"> A table row travels as a row — all three cells. The Finding cell of this row reads </w:t>
      </w:r>
      <w:r>
        <w:rPr>
          <w:b/>
        </w:rPr>
        <w:t>"The cost model's retirement-date convention and cohort construction."</w:t>
      </w:r>
      <w:r>
        <w:t xml:space="preserve"> Lift the row and the referent arrives with it, named, two cells to the left, and named as the </w:t>
      </w:r>
      <w:r>
        <w:rPr>
          <w:b/>
        </w:rPr>
        <w:t>model's</w:t>
      </w:r>
      <w:r>
        <w:t xml:space="preserve"> cohort. The row is self-antecedent. It passes the guard's test rather than needing an exception from it.</w:t>
      </w:r>
    </w:p>
    <w:p>
      <w:r>
        <w:rPr>
          <w:b/>
        </w:rPr>
        <w:t>4. So no edit, and nothing to rebuild.</w:t>
      </w:r>
      <w:r>
        <w:t xml:space="preserve"> </w:t>
      </w:r>
      <w:r>
        <w:rPr>
          <w:rFonts w:ascii="Consolas" w:hAnsi="Consolas"/>
        </w:rPr>
        <w:t>v2.1</w:t>
      </w:r>
      <w:r>
        <w:t xml:space="preserve"> stands as frozen at bill store revision 71. No source file changes, no render changes, no manifest change beyond the one line this ruling adds to </w:t>
      </w:r>
      <w:r>
        <w:rPr>
          <w:rFonts w:ascii="Consolas" w:hAnsi="Consolas"/>
        </w:rPr>
        <w:t>VERSION.md</w:t>
      </w:r>
      <w:r>
        <w:t>.</w:t>
      </w:r>
    </w:p>
    <w:p>
      <w:pPr>
        <w:pStyle w:val="Heading2"/>
      </w:pPr>
      <w:r>
        <w:t>What follows from it, so a later sweep cannot undo it</w:t>
      </w:r>
    </w:p>
    <w:p>
      <w:pPr>
        <w:pStyle w:val="ListBullet"/>
      </w:pPr>
      <w:r>
        <w:t xml:space="preserve">The site is added to the </w:t>
      </w:r>
      <w:r>
        <w:rPr>
          <w:b/>
        </w:rPr>
        <w:t>protected</w:t>
      </w:r>
      <w:r>
        <w:t xml:space="preserve"> list in </w:t>
      </w:r>
      <w:r>
        <w:rPr>
          <w:rFonts w:ascii="Consolas" w:hAnsi="Consolas"/>
        </w:rPr>
        <w:t>VERSION.md</w:t>
      </w:r>
      <w:r>
        <w:t xml:space="preserve"> §3 item 4 — asserted to survive, like</w:t>
      </w:r>
    </w:p>
    <w:p>
      <w:r>
        <w:t xml:space="preserve">the headline quote-block and </w:t>
      </w:r>
      <w:r>
        <w:rPr>
          <w:rFonts w:ascii="Consolas" w:hAnsi="Consolas"/>
        </w:rPr>
        <w:t>04-fiscal-analysis.md</w:t>
      </w:r>
      <w:r>
        <w:t xml:space="preserve"> §13.</w:t>
      </w:r>
    </w:p>
    <w:p>
      <w:pPr>
        <w:pStyle w:val="ListBullet"/>
      </w:pPr>
      <w:r>
        <w:rPr>
          <w:rFonts w:ascii="Consolas" w:hAnsi="Consolas"/>
        </w:rPr>
        <w:t>moo212-freeze/sweep_liftable.py</w:t>
      </w:r>
      <w:r>
        <w:t xml:space="preserve"> already carries it in </w:t>
      </w:r>
      <w:r>
        <w:rPr>
          <w:rFonts w:ascii="Consolas" w:hAnsi="Consolas"/>
        </w:rPr>
        <w:t>PROTECTED</w:t>
      </w:r>
      <w:r>
        <w:t xml:space="preserve"> and asserts it intact. The</w:t>
      </w:r>
    </w:p>
    <w:p>
      <w:r>
        <w:t xml:space="preserve">entry is now protected </w:t>
      </w:r>
      <w:r>
        <w:rPr>
          <w:b/>
        </w:rPr>
        <w:t>by ruling</w:t>
      </w:r>
      <w:r>
        <w:t xml:space="preserve"> rather than pending a ruling, and the script's comment says so, so a later reader does not re-open it as unfinished business.</w:t>
      </w:r>
    </w:p>
    <w:p>
      <w:pPr>
        <w:pStyle w:val="ListBullet"/>
      </w:pPr>
      <w:r>
        <w:rPr>
          <w:b/>
        </w:rPr>
        <w:t>The rule this generalises, for the next sweep:</w:t>
      </w:r>
      <w:r>
        <w:t xml:space="preserve"> the identifier goes where a figure's cohort</w:t>
      </w:r>
    </w:p>
    <w:p>
      <w:r>
        <w:t xml:space="preserve">would otherwise be unnamed. It does </w:t>
      </w:r>
      <w:r>
        <w:rPr>
          <w:b/>
        </w:rPr>
        <w:t>not</w:t>
      </w:r>
      <w:r>
        <w:t xml:space="preserve"> go where the word </w:t>
      </w:r>
      <w:r>
        <w:rPr>
          <w:i/>
        </w:rPr>
        <w:t>"cohort"</w:t>
      </w:r>
      <w:r>
        <w:t xml:space="preserve"> refers to the model's construction, to a superseded population, or to anything other than the cohort the bill admits. Where the referent is the model's own population and the row names it, leave it.</w:t>
      </w:r>
    </w:p>
    <w:p>
      <w:pPr>
        <w:pStyle w:val="Heading2"/>
      </w:pPr>
      <w:r>
        <w:t>The state of MOO-212 after this</w:t>
      </w:r>
    </w:p>
    <w:p>
      <w:r>
        <w:t xml:space="preserve">All five freeze-gate items are met, the one reserved item is ruled, and </w:t>
      </w:r>
      <w:r>
        <w:rPr>
          <w:b/>
        </w:rPr>
        <w:t>no figure moved</w:t>
      </w:r>
      <w:r>
        <w:t xml:space="preserve"> at any point in the pass — the recommendation sentence is still one SHA-256 across all ten documents and the fiscal basis is untouched. I re-verified the freeze myself before closing it rather than closing on the report: </w:t>
      </w:r>
      <w:r>
        <w:rPr>
          <w:rFonts w:ascii="Consolas" w:hAnsi="Consolas"/>
        </w:rPr>
        <w:t>shasum -c MANIFEST-v2.1.sha256</w:t>
      </w:r>
      <w:r>
        <w:t xml:space="preserve"> returns </w:t>
      </w:r>
      <w:r>
        <w:rPr>
          <w:b/>
        </w:rPr>
        <w:t>76 of 76 OK</w:t>
      </w:r>
      <w:r>
        <w:t>.</w:t>
      </w:r>
    </w:p>
    <w:p>
      <w:r>
        <w:rPr>
          <w:rFonts w:ascii="Consolas" w:hAnsi="Consolas"/>
        </w:rPr>
        <w:t>v2.1</w:t>
      </w:r>
      <w:r>
        <w:t xml:space="preserve"> is frozen, complete, and has no open items. </w:t>
      </w:r>
      <w:r>
        <w:rPr>
          <w:b/>
        </w:rPr>
        <w:t>Release remains a separate decision and has not been taken. Nothing has left Paperclip.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