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w:t>
      </w:r>
    </w:p>
    <w:p>
      <w:pPr>
        <w:pStyle w:val="Heading3"/>
      </w:pPr>
      <w:r>
        <w:rPr>
          <w:b w:val="0"/>
          <w:i w:val="0"/>
          <w:strike w:val="0"/>
        </w:rPr>
        <w:t>One-page brief for the Joint Leadership Council of Veterans Service Organizations</w:t>
      </w:r>
    </w:p>
    <w:p>
      <w:r>
        <w:rPr>
          <w:b/>
          <w:i w:val="0"/>
          <w:strike w:val="0"/>
        </w:rPr>
        <w:t>Proposal:</w:t>
      </w:r>
      <w:r>
        <w:rPr>
          <w:b w:val="0"/>
          <w:i w:val="0"/>
          <w:strike w:val="0"/>
        </w:rPr>
        <w:t xml:space="preserve"> Let a vested VRS Plan 1 or Plan 2 member use up to four years of prior active duty military service, at the same low "approximate normal cost" new hires pay, </w:t>
      </w:r>
      <w:r>
        <w:rPr>
          <w:b/>
          <w:i w:val="0"/>
          <w:strike w:val="0"/>
        </w:rPr>
        <w:t>but only to reach the finish line for an unreduced retirement</w:t>
      </w:r>
      <w:r>
        <w:rPr>
          <w:b w:val="0"/>
          <w:i w:val="0"/>
          <w:strike w:val="0"/>
        </w:rPr>
        <w:t xml:space="preserve"> — never to raise the pension check. An </w:t>
      </w:r>
      <w:r>
        <w:rPr>
          <w:b/>
          <w:i w:val="0"/>
          <w:strike w:val="0"/>
        </w:rPr>
        <w:t>eligibility benefit, not a pension-accrual benefit</w:t>
      </w:r>
      <w:r>
        <w:rPr>
          <w:b w:val="0"/>
          <w:i w:val="0"/>
          <w:strike w:val="0"/>
        </w:rPr>
        <w:t>: it lets a veteran who has already given Virginia a full career finish sooner.</w:t>
      </w:r>
    </w:p>
    <w:p>
      <w:pPr>
        <w:pStyle w:val="Heading3"/>
      </w:pPr>
      <w:r>
        <w:rPr>
          <w:b w:val="0"/>
          <w:i w:val="0"/>
          <w:strike w:val="0"/>
        </w:rPr>
        <w:t>The gap this fills</w:t>
      </w:r>
    </w:p>
    <w:p>
      <w:r>
        <w:rPr>
          <w:b w:val="0"/>
          <w:i w:val="0"/>
          <w:strike w:val="0"/>
        </w:rPr>
        <w:t xml:space="preserve">A veteran hired into Virginia service has </w:t>
      </w:r>
      <w:r>
        <w:rPr>
          <w:b/>
          <w:i w:val="0"/>
          <w:strike w:val="0"/>
        </w:rPr>
        <w:t>24 months</w:t>
      </w:r>
      <w:r>
        <w:rPr>
          <w:b w:val="0"/>
          <w:i w:val="0"/>
          <w:strike w:val="0"/>
        </w:rPr>
        <w:t xml:space="preserve"> to buy up to four years of active duty military service at approximate normal cost (12.50% of pay per year in Plan 1, 10.74% in Plan 2). After that the same four years cost </w:t>
      </w:r>
      <w:r>
        <w:rPr>
          <w:b/>
          <w:i w:val="0"/>
          <w:strike w:val="0"/>
        </w:rPr>
        <w:t>actuarial equivalent cost</w:t>
      </w:r>
      <w:r>
        <w:rPr>
          <w:b w:val="0"/>
          <w:i w:val="0"/>
          <w:strike w:val="0"/>
        </w:rPr>
        <w:t xml:space="preserve"> — routinely tens of thousands of dollars. The cheap price goes to people who do not yet know they need it; the 52-year-old three years short of an unreduced retirement is priced out. </w:t>
      </w:r>
      <w:r>
        <w:rPr>
          <w:b/>
          <w:i w:val="0"/>
          <w:strike w:val="0"/>
        </w:rPr>
        <w:t>A pricing cliff with no second door.</w:t>
      </w:r>
    </w:p>
    <w:p>
      <w:pPr>
        <w:pStyle w:val="Heading3"/>
      </w:pPr>
      <w:r>
        <w:rPr>
          <w:b w:val="0"/>
          <w:i w:val="0"/>
          <w:strike w:val="0"/>
        </w:rPr>
        <w:t>What the proposal does</w:t>
      </w:r>
    </w:p>
    <w:p>
      <w:r>
        <w:rPr>
          <w:b w:val="0"/>
          <w:i w:val="0"/>
          <w:strike w:val="0"/>
        </w:rPr>
        <w:t xml:space="preserve">The existing right is untouched: first 24 months after hire, approximate normal cost, full service credit that </w:t>
      </w:r>
      <w:r>
        <w:rPr>
          <w:b/>
          <w:i w:val="0"/>
          <w:strike w:val="0"/>
        </w:rPr>
        <w:t>does</w:t>
      </w:r>
      <w:r>
        <w:rPr>
          <w:b w:val="0"/>
          <w:i w:val="0"/>
          <w:strike w:val="0"/>
        </w:rPr>
        <w:t xml:space="preserve"> raise your pension. The new bridge is available </w:t>
      </w:r>
      <w:r>
        <w:rPr>
          <w:b/>
          <w:i w:val="0"/>
          <w:strike w:val="0"/>
        </w:rPr>
        <w:t>any time after, once vested</w:t>
      </w:r>
      <w:r>
        <w:rPr>
          <w:b w:val="0"/>
          <w:i w:val="0"/>
          <w:strike w:val="0"/>
        </w:rPr>
        <w:t xml:space="preserve">, at the </w:t>
      </w:r>
      <w:r>
        <w:rPr>
          <w:b/>
          <w:i w:val="0"/>
          <w:strike w:val="0"/>
        </w:rPr>
        <w:t>same price</w:t>
      </w:r>
      <w:r>
        <w:rPr>
          <w:b w:val="0"/>
          <w:i w:val="0"/>
          <w:strike w:val="0"/>
        </w:rPr>
        <w:t xml:space="preserve">, and buys </w:t>
      </w:r>
      <w:r>
        <w:rPr>
          <w:b/>
          <w:i w:val="0"/>
          <w:strike w:val="0"/>
        </w:rPr>
        <w:t>eligibility only</w:t>
      </w:r>
      <w:r>
        <w:rPr>
          <w:b w:val="0"/>
          <w:i w:val="0"/>
          <w:strike w:val="0"/>
        </w:rPr>
        <w:t xml:space="preserve"> — it adds </w:t>
      </w:r>
      <w:r>
        <w:rPr>
          <w:b/>
          <w:i w:val="0"/>
          <w:strike w:val="0"/>
        </w:rPr>
        <w:t>nothing</w:t>
      </w:r>
      <w:r>
        <w:rPr>
          <w:b w:val="0"/>
          <w:i w:val="0"/>
          <w:strike w:val="0"/>
        </w:rPr>
        <w:t xml:space="preserve"> to the benefit formula. </w:t>
      </w:r>
      <w:r>
        <w:rPr>
          <w:b/>
          <w:i w:val="0"/>
          <w:strike w:val="0"/>
        </w:rPr>
        <w:t>Plan 1:</w:t>
      </w:r>
      <w:r>
        <w:rPr>
          <w:b w:val="0"/>
          <w:i w:val="0"/>
          <w:strike w:val="0"/>
        </w:rPr>
        <w:t xml:space="preserve"> counts toward the 30-year requirement for unreduced retirement at 50 or later — </w:t>
      </w:r>
      <w:r>
        <w:rPr>
          <w:b w:val="0"/>
          <w:i/>
          <w:strike w:val="0"/>
        </w:rPr>
        <w:t>age 52 + 27 years + 3 bridge years = 30, unreduced now instead of at 55, on a benefit still figured on 27 years.</w:t>
      </w:r>
      <w:r>
        <w:rPr>
          <w:b w:val="0"/>
          <w:i w:val="0"/>
          <w:strike w:val="0"/>
        </w:rPr>
        <w:t xml:space="preserve"> </w:t>
      </w:r>
      <w:r>
        <w:rPr>
          <w:b/>
          <w:i w:val="0"/>
          <w:strike w:val="0"/>
        </w:rPr>
        <w:t>Plan 2:</w:t>
      </w:r>
      <w:r>
        <w:rPr>
          <w:b w:val="0"/>
          <w:i w:val="0"/>
          <w:strike w:val="0"/>
        </w:rPr>
        <w:t xml:space="preserve"> one-for-one toward the Rule of 90 — </w:t>
      </w:r>
      <w:r>
        <w:rPr>
          <w:b w:val="0"/>
          <w:i/>
          <w:strike w:val="0"/>
        </w:rPr>
        <w:t>age 58 + 28 years + 4 bridge years = 90, two years early, benefit still on 28 years.</w:t>
      </w:r>
      <w:r>
        <w:rPr>
          <w:b w:val="0"/>
          <w:i w:val="0"/>
          <w:strike w:val="0"/>
        </w:rPr>
        <w:t xml:space="preserve"> Capped at the shortfall and at the acceleration actually achievable; inside the existing </w:t>
      </w:r>
      <w:r>
        <w:rPr>
          <w:b/>
          <w:i w:val="0"/>
          <w:strike w:val="0"/>
        </w:rPr>
        <w:t>four-year lifetime military cap</w:t>
      </w:r>
      <w:r>
        <w:rPr>
          <w:b w:val="0"/>
          <w:i w:val="0"/>
          <w:strike w:val="0"/>
        </w:rPr>
        <w:t>; never makes you older on paper. The full-value purchase at actuarial cost stays available.</w:t>
      </w:r>
    </w:p>
    <w:p>
      <w:r>
        <w:rPr>
          <w:b/>
          <w:i w:val="0"/>
          <w:strike w:val="0"/>
        </w:rPr>
        <w:t>Protected</w:t>
      </w:r>
      <w:r>
        <w:rPr>
          <w:b w:val="0"/>
          <w:i w:val="0"/>
          <w:strike w:val="0"/>
        </w:rPr>
        <w:t xml:space="preserve"> by express exclusions plus five conforming amendments: vesting · benefit formula · average final compensation · PLOP · disability · death-in-service · group life · portability.</w:t>
      </w:r>
    </w:p>
    <w:p>
      <w:r>
        <w:rPr>
          <w:b/>
          <w:i w:val="0"/>
          <w:strike w:val="0"/>
        </w:rPr>
        <w:t>Not protected — say so first.</w:t>
      </w:r>
      <w:r>
        <w:rPr>
          <w:b w:val="0"/>
          <w:i w:val="0"/>
          <w:strike w:val="0"/>
        </w:rPr>
        <w:t xml:space="preserve"> Retiring up to four years earlier starts the </w:t>
      </w:r>
      <w:r>
        <w:rPr>
          <w:b/>
          <w:i w:val="0"/>
          <w:strike w:val="0"/>
        </w:rPr>
        <w:t>health insurance credit</w:t>
      </w:r>
      <w:r>
        <w:rPr>
          <w:b w:val="0"/>
          <w:i w:val="0"/>
          <w:strike w:val="0"/>
        </w:rPr>
        <w:t xml:space="preserve"> and the </w:t>
      </w:r>
      <w:r>
        <w:rPr>
          <w:b/>
          <w:i w:val="0"/>
          <w:strike w:val="0"/>
        </w:rPr>
        <w:t>COLA</w:t>
      </w:r>
      <w:r>
        <w:rPr>
          <w:b w:val="0"/>
          <w:i w:val="0"/>
          <w:strike w:val="0"/>
        </w:rPr>
        <w:t xml:space="preserve"> up to four years earlier. Both key off the retirement date, not service credit, so no exclusion clause reaches them — a real recurring cost on two separately funded trusts. An earlier version of this brief wrongly called these protected.</w:t>
      </w:r>
    </w:p>
    <w:p>
      <w:pPr>
        <w:pStyle w:val="Heading3"/>
      </w:pPr>
      <w:r>
        <w:rPr>
          <w:b w:val="0"/>
          <w:i w:val="0"/>
          <w:strike w:val="0"/>
        </w:rPr>
        <w:t>Decisions JLCVSO made, October 19, 2026</w:t>
      </w:r>
    </w:p>
    <w:p>
      <w:r>
        <w:rPr>
          <w:b w:val="0"/>
          <w:i w:val="0"/>
          <w:strike w:val="0"/>
        </w:rPr>
        <w:t xml:space="preserve">Hybrid plan members are </w:t>
      </w:r>
      <w:r>
        <w:rPr>
          <w:b/>
          <w:i w:val="0"/>
          <w:strike w:val="0"/>
        </w:rPr>
        <w:t>not</w:t>
      </w:r>
      <w:r>
        <w:rPr>
          <w:b w:val="0"/>
          <w:i w:val="0"/>
          <w:strike w:val="0"/>
        </w:rPr>
        <w:t xml:space="preserve"> covered (Plan 1 / Plan 2 only); career military retirees are </w:t>
      </w:r>
      <w:r>
        <w:rPr>
          <w:b/>
          <w:i w:val="0"/>
          <w:strike w:val="0"/>
        </w:rPr>
        <w:t>not</w:t>
      </w:r>
      <w:r>
        <w:rPr>
          <w:b w:val="0"/>
          <w:i w:val="0"/>
          <w:strike w:val="0"/>
        </w:rPr>
        <w:t xml:space="preserve"> excepted from the existing retired-pay bar; the </w:t>
      </w:r>
      <w:r>
        <w:rPr>
          <w:b/>
          <w:i w:val="0"/>
          <w:strike w:val="0"/>
        </w:rPr>
        <w:t>PLOP eligibility date is frozen</w:t>
      </w:r>
      <w:r>
        <w:rPr>
          <w:b w:val="0"/>
          <w:i w:val="0"/>
          <w:strike w:val="0"/>
        </w:rPr>
        <w:t xml:space="preserve">, with the trade-off disclosed; and a </w:t>
      </w:r>
      <w:r>
        <w:rPr>
          <w:b/>
          <w:i w:val="0"/>
          <w:strike w:val="0"/>
        </w:rPr>
        <w:t>partial purchase capped at the shortfall</w:t>
      </w:r>
      <w:r>
        <w:rPr>
          <w:b w:val="0"/>
          <w:i w:val="0"/>
          <w:strike w:val="0"/>
        </w:rPr>
        <w:t xml:space="preserve"> is allowed.</w:t>
      </w:r>
    </w:p>
    <w:p>
      <w:r>
        <w:rPr>
          <w:b/>
          <w:i w:val="0"/>
          <w:strike w:val="0"/>
        </w:rPr>
        <w:t>The PLOP trade-off, stated plainly.</w:t>
      </w:r>
      <w:r>
        <w:rPr>
          <w:b w:val="0"/>
          <w:i w:val="0"/>
          <w:strike w:val="0"/>
        </w:rPr>
        <w:t xml:space="preserve"> PLOP eligibility depends on service performed </w:t>
      </w:r>
      <w:r>
        <w:rPr>
          <w:b w:val="0"/>
          <w:i/>
          <w:strike w:val="0"/>
        </w:rPr>
        <w:t>after</w:t>
      </w:r>
      <w:r>
        <w:rPr>
          <w:b w:val="0"/>
          <w:i w:val="0"/>
          <w:strike w:val="0"/>
        </w:rPr>
        <w:t xml:space="preserve"> the date you first became eligible for an unreduced retirement, and the bill freezes that date as if the bridge did not exist. </w:t>
      </w:r>
      <w:r>
        <w:rPr>
          <w:b/>
          <w:i w:val="0"/>
          <w:strike w:val="0"/>
        </w:rPr>
        <w:t>A member who buys bridge years and retires at the accelerated date will generally have no PLOP</w:t>
      </w:r>
      <w:r>
        <w:rPr>
          <w:b w:val="0"/>
          <w:i w:val="0"/>
          <w:strike w:val="0"/>
        </w:rPr>
        <w:t xml:space="preserve"> — no lump sum. One who keeps working to normal retirement age keeps PLOP in full. That is the deliberate price of leaving PLOP untouched, and VRS must say so in writing before a member signs.</w:t>
      </w:r>
    </w:p>
    <w:p>
      <w:pPr>
        <w:pStyle w:val="Heading3"/>
      </w:pPr>
      <w:r>
        <w:rPr>
          <w:b w:val="0"/>
          <w:i w:val="0"/>
          <w:strike w:val="0"/>
        </w:rPr>
        <w:t>What JLCVSO still needs to settle</w:t>
      </w:r>
    </w:p>
    <w:p>
      <w:r>
        <w:rPr>
          <w:b/>
          <w:i w:val="0"/>
          <w:strike w:val="0"/>
        </w:rPr>
        <w:t>It costs money — lead with that; we now have the numbers.</w:t>
      </w:r>
      <w:r>
        <w:rPr>
          <w:b w:val="0"/>
          <w:i w:val="0"/>
          <w:strike w:val="0"/>
        </w:rPr>
        <w:t xml:space="preserve"> The cost model (MOO-259) puts both halves on the record: the price recovers </w:t>
      </w:r>
      <w:r>
        <w:rPr>
          <w:b/>
          <w:i w:val="0"/>
          <w:strike w:val="0"/>
        </w:rPr>
        <w:t>11%–78%</w:t>
      </w:r>
      <w:r>
        <w:rPr>
          <w:b w:val="0"/>
          <w:i w:val="0"/>
          <w:strike w:val="0"/>
        </w:rPr>
        <w:t xml:space="preserve"> of what the acceleration is worth, reaching a </w:t>
      </w:r>
      <w:r>
        <w:rPr>
          <w:b/>
          <w:i w:val="0"/>
          <w:strike w:val="0"/>
        </w:rPr>
        <w:t>$341,065 subsidy</w:t>
      </w:r>
      <w:r>
        <w:rPr>
          <w:b w:val="0"/>
          <w:i w:val="0"/>
          <w:strike w:val="0"/>
        </w:rPr>
        <w:t xml:space="preserve"> for the maximum-acceleration Plan 1 member, while the employer rate impact is </w:t>
      </w:r>
      <w:r>
        <w:rPr>
          <w:b/>
          <w:i w:val="0"/>
          <w:strike w:val="0"/>
        </w:rPr>
        <w:t>0.19 basis points combined</w:t>
      </w:r>
      <w:r>
        <w:rPr>
          <w:b w:val="0"/>
          <w:i w:val="0"/>
          <w:strike w:val="0"/>
        </w:rPr>
        <w:t xml:space="preserve"> over FY2029–FY2038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payroll, so </w:t>
      </w:r>
      <w:r>
        <w:rPr>
          <w:b/>
          <w:i w:val="0"/>
          <w:strike w:val="0"/>
        </w:rPr>
        <w:t>to the nearest basis point no plan's rate changes.</w:t>
      </w:r>
      <w:r>
        <w:rPr>
          <w:b w:val="0"/>
          <w:i w:val="0"/>
          <w:strike w:val="0"/>
        </w:rPr>
        <w:t xml:space="preserve"> Carry both together: "no cost" will be contradicted by the Board's § 30-19.1:7 statement, and "$341,000 per veteran" without the denominator kills the bill. The frame is a </w:t>
      </w:r>
      <w:r>
        <w:rPr>
          <w:b/>
          <w:i w:val="0"/>
          <w:strike w:val="0"/>
        </w:rPr>
        <w:t>deliberate, quantified subsidy for a small and closing population, costing employers under one basis point.</w:t>
      </w:r>
    </w:p>
    <w:p>
      <w:r>
        <w:rPr>
          <w:b/>
          <w:i w:val="0"/>
          <w:strike w:val="0"/>
        </w:rPr>
        <w:t>Three open blockers</w:t>
      </w:r>
      <w:r>
        <w:rPr>
          <w:b w:val="0"/>
          <w:i w:val="0"/>
          <w:strike w:val="0"/>
        </w:rPr>
        <w:t xml:space="preserve"> from independent review, each needing a Council decision: a member could buy at normal cost, resign, defer and collect unreduced at 50 — up to ~15 years of acceleration, not four; the health insurance credit and COLA costs above; and local </w:t>
      </w:r>
      <w:r>
        <w:rPr>
          <w:b/>
          <w:i w:val="0"/>
          <w:strike w:val="0"/>
        </w:rPr>
        <w:t>firefighters, police and EMS in "resolution" localities are inside the bill permanently</w:t>
      </w:r>
      <w:r>
        <w:rPr>
          <w:b w:val="0"/>
          <w:i w:val="0"/>
          <w:strike w:val="0"/>
        </w:rPr>
        <w:t xml:space="preserve">, including 2026 hires, contrary to an earlier version of this brief. Separately, </w:t>
      </w:r>
      <w:r>
        <w:rPr>
          <w:b/>
          <w:i w:val="0"/>
          <w:strike w:val="0"/>
        </w:rPr>
        <w:t>career military retirees are generally shut out</w:t>
      </w:r>
      <w:r>
        <w:rPr>
          <w:b w:val="0"/>
          <w:i w:val="0"/>
          <w:strike w:val="0"/>
        </w:rPr>
        <w:t xml:space="preserve"> by the inherited bar — the key expectation to manage with members.</w:t>
      </w:r>
    </w:p>
    <w:p>
      <w:r>
        <w:rPr>
          <w:b/>
          <w:i w:val="0"/>
          <w:strike w:val="0"/>
        </w:rPr>
        <w:t>Status: not yet ready for a patron.</w:t>
      </w:r>
      <w:r>
        <w:rPr>
          <w:b w:val="0"/>
          <w:i w:val="0"/>
          <w:strike w:val="0"/>
        </w:rPr>
        <w:t xml:space="preserve"> Every component is complete except the three blockers, which must be resolved before this goes to the Division of Legislative Services. The cost model is illustrative, </w:t>
      </w:r>
      <w:r>
        <w:rPr>
          <w:b/>
          <w:i w:val="0"/>
          <w:strike w:val="0"/>
        </w:rPr>
        <w:t>not</w:t>
      </w:r>
      <w:r>
        <w:rPr>
          <w:b w:val="0"/>
          <w:i w:val="0"/>
          <w:strike w:val="0"/>
        </w:rPr>
        <w:t xml:space="preserve"> the Board's mandatory § 30-19.1:7 statement, which must still be obtained.</w:t>
      </w:r>
    </w:p>
    <w:p>
      <w:r>
        <w:rPr>
          <w:b w:val="0"/>
          <w:i/>
          <w:strike w:val="0"/>
        </w:rPr>
        <w:t>VRS2 — Virginia Public Pension Benefits Attorney · October 19, 2026 · Statutory text verified against the Code of Virginia.</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30" w:lineRule="exact" w:before="0"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340" w:lineRule="exact"/>
      <w:outlineLvl w:val="0"/>
    </w:pPr>
    <w:rPr>
      <w:rFonts w:asciiTheme="majorHAnsi" w:eastAsiaTheme="majorEastAsia" w:hAnsiTheme="majorHAnsi" w:cstheme="majorBidi" w:ascii="Calibri" w:hAnsi="Calibr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140" w:after="60" w:line="270" w:lineRule="exact"/>
      <w:outlineLvl w:val="1"/>
    </w:pPr>
    <w:rPr>
      <w:rFonts w:asciiTheme="majorHAnsi" w:eastAsiaTheme="majorEastAsia" w:hAnsiTheme="majorHAnsi" w:cstheme="majorBidi" w:ascii="Calibri" w:hAnsi="Calibri"/>
      <w:b/>
      <w:bCs/>
      <w:color w:val="1F1F1F"/>
      <w:sz w:val="23"/>
      <w:szCs w:val="26"/>
    </w:rPr>
  </w:style>
  <w:style w:type="paragraph" w:styleId="Heading3">
    <w:name w:val="heading 3"/>
    <w:basedOn w:val="Normal"/>
    <w:next w:val="Normal"/>
    <w:link w:val="Heading3Char"/>
    <w:uiPriority w:val="9"/>
    <w:unhideWhenUsed/>
    <w:qFormat/>
    <w:rsid w:val="00FC693F"/>
    <w:pPr>
      <w:keepNext/>
      <w:keepLines/>
      <w:spacing w:before="120" w:after="40" w:line="240" w:lineRule="exact"/>
      <w:outlineLvl w:val="2"/>
    </w:pPr>
    <w:rPr>
      <w:rFonts w:asciiTheme="majorHAnsi" w:eastAsiaTheme="majorEastAsia" w:hAnsiTheme="majorHAnsi" w:cstheme="majorBidi" w:ascii="Calibri" w:hAnsi="Calibri"/>
      <w:b/>
      <w:bCs/>
      <w:color w:val="1F1F1F"/>
      <w:sz w:val="20"/>
    </w:rPr>
  </w:style>
  <w:style w:type="paragraph" w:styleId="Heading4">
    <w:name w:val="heading 4"/>
    <w:basedOn w:val="Normal"/>
    <w:next w:val="Normal"/>
    <w:link w:val="Heading4Char"/>
    <w:uiPriority w:val="9"/>
    <w:semiHidden/>
    <w:unhideWhenUsed/>
    <w:qFormat/>
    <w:rsid w:val="00FC693F"/>
    <w:pPr>
      <w:keepNext/>
      <w:keepLines/>
      <w:spacing w:before="100" w:after="40" w:line="230" w:lineRule="exact"/>
      <w:outlineLvl w:val="3"/>
    </w:pPr>
    <w:rPr>
      <w:rFonts w:asciiTheme="majorHAnsi" w:eastAsiaTheme="majorEastAsia" w:hAnsiTheme="majorHAnsi" w:cstheme="majorBidi" w:ascii="Calibri" w:hAnsi="Calibri"/>
      <w:b/>
      <w:bCs/>
      <w:i/>
      <w:iCs/>
      <w:color w:val="1F1F1F"/>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30" w:lineRule="exact" w:after="40"/>
      <w:contextualSpacing/>
    </w:pPr>
    <w:rPr>
      <w:sz w:val="19"/>
    </w:rPr>
  </w:style>
  <w:style w:type="paragraph" w:styleId="ListBullet2">
    <w:name w:val="List Bullet 2"/>
    <w:basedOn w:val="Normal"/>
    <w:uiPriority w:val="99"/>
    <w:unhideWhenUsed/>
    <w:rsid w:val="00326F90"/>
    <w:pPr>
      <w:numPr>
        <w:numId w:val="2"/>
      </w:numPr>
      <w:spacing w:line="230" w:lineRule="exact" w:after="40"/>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30" w:lineRule="exact" w:after="40"/>
      <w:contextualSpacing/>
    </w:pPr>
    <w:rPr>
      <w:sz w:val="19"/>
    </w:rPr>
  </w:style>
  <w:style w:type="paragraph" w:styleId="ListNumber2">
    <w:name w:val="List Number 2"/>
    <w:basedOn w:val="Normal"/>
    <w:uiPriority w:val="99"/>
    <w:unhideWhenUsed/>
    <w:rsid w:val="0029639D"/>
    <w:pPr>
      <w:numPr>
        <w:numId w:val="6"/>
      </w:numPr>
      <w:spacing w:line="230" w:lineRule="exact" w:after="40"/>
      <w:contextualSpacing/>
    </w:pPr>
    <w:rPr>
      <w:sz w:val="19"/>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