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Package version:</w:t>
      </w:r>
      <w:r>
        <w:rPr>
          <w:b w:val="0"/>
          <w:i w:val="0"/>
          <w:strike w:val="0"/>
        </w:rPr>
        <w:t xml:space="preserve"> 1.4 — Independent-Review Integration (October 20, 2026); operative bill text at version 1.3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20, 2026 for bill version 1.2.</w:t>
      </w:r>
      <w:r>
        <w:rPr>
          <w:b w:val="0"/>
          <w:i w:val="0"/>
          <w:strike w:val="0"/>
          <w:sz w:val="20"/>
        </w:rPr>
        <w:t xml:space="preserve"> The three blocking items that version 1.1 left open — DECISION 8 (deferred-member acceleration), DECISION 9 (health insurance credit and COLA commencement) and DECISION 10 (§ 51.1-153 B 4 public-safety scope) — were resolved on October 20, 2026 and are drafted into version 1.2. Part 6.1 records each decision, the drafting that implements it, and what is left over. The affected Part 4 rows and the equal-treatment answer in Part 5.5 are updated. </w:t>
      </w:r>
      <w:r>
        <w:rPr>
          <w:b/>
          <w:i w:val="0"/>
          <w:strike w:val="0"/>
          <w:sz w:val="20"/>
        </w:rPr>
        <w:t>All principal policy questions are settled, and no DECISION item in this memorandum is now blocking.</w:t>
      </w:r>
      <w:r>
        <w:rPr>
          <w:b w:val="0"/>
          <w:i w:val="0"/>
          <w:strike w:val="0"/>
          <w:sz w:val="20"/>
        </w:rPr>
        <w:t xml:space="preserve"> One narrow policy question remains open: how the in-service-at-retirement requirement in subdivision E 3 applies to a member on approved leave or receiving long-term disability benefits (bill drafting note 10) — it must be resolved or expressly deferred before external or patron use. What else remains before introduction is the VRS Board statement under § 30-19.1:7, the federal tax questions in Part 5.2, a re-run of the MOO-259 cost model against version 1.2 (</w:t>
      </w:r>
      <w:r>
        <w:rPr>
          <w:b/>
          <w:i w:val="0"/>
          <w:strike w:val="0"/>
          <w:sz w:val="20"/>
        </w:rPr>
        <w:t>the model is complete for version 1.1; a version 1.2 refresh is required before external use</w:t>
      </w:r>
      <w:r>
        <w:rPr>
          <w:b w:val="0"/>
          <w:i w:val="0"/>
          <w:strike w:val="0"/>
          <w:sz w:val="20"/>
        </w:rPr>
        <w:t>), and two verification items in Part 7.5.</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follows the retirement date, so preventing earlier commencement would require separate statutory changes outside the bridge;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were resolved on October 19, 2026</w:t>
      </w:r>
      <w:r>
        <w:rPr>
          <w:b w:val="0"/>
          <w:i w:val="0"/>
          <w:strike w:val="0"/>
          <w:sz w:val="20"/>
        </w:rPr>
        <w:t xml:space="preserve"> and are recorded in Part 6. Three new blocking items replace them.</w:t>
      </w:r>
    </w:p>
    <w:p>
      <w:pPr>
        <w:spacing w:after="80"/>
        <w:ind w:left="480"/>
      </w:pPr>
      <w:r>
        <w:rPr>
          <w:b w:val="0"/>
          <w:i w:val="0"/>
          <w:strike w:val="0"/>
          <w:sz w:val="20"/>
        </w:rPr>
        <w:t>Both changes come from the internal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ordinary non-hazardous (state, teacher, local)</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ordinary non-hazardous (state, teacher, local)</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"Service"</w:t>
            </w:r>
          </w:p>
        </w:tc>
        <w:tc>
          <w:tcPr>
            <w:tcW w:type="dxa" w:w="2160"/>
          </w:tcPr>
          <w:p>
            <w:r>
              <w:rPr>
                <w:b/>
                <w:i w:val="0"/>
                <w:strike w:val="0"/>
              </w:rPr>
              <w:t>Defined, § 51.1-124.3: "'Service' means service as an employee."</w:t>
            </w:r>
            <w:r>
              <w:rPr>
                <w:b w:val="0"/>
                <w:i w:val="0"/>
                <w:strike w:val="0"/>
              </w:rPr>
              <w:t xml:space="preserve"> Added to this table on October 20, 2026 (counsel review finding m-10). Earlier versions of this memorandum and of the bill's note on § 51.1-155 called it "a bare term the section does not define." </w:t>
            </w:r>
            <w:r>
              <w:rPr>
                <w:b/>
                <w:i w:val="0"/>
                <w:strike w:val="0"/>
              </w:rPr>
              <w:t>That was wrong, and the error ran in the bill's favour.</w:t>
            </w:r>
          </w:p>
        </w:tc>
        <w:tc>
          <w:tcPr>
            <w:tcW w:type="dxa" w:w="2160"/>
          </w:tcPr>
          <w:p>
            <w:r>
              <w:rPr>
                <w:b w:val="0"/>
                <w:i w:val="0"/>
                <w:strike w:val="0"/>
              </w:rPr>
              <w:t>The 30-years-of-</w:t>
            </w:r>
            <w:r>
              <w:rPr>
                <w:b/>
                <w:i w:val="0"/>
                <w:strike w:val="0"/>
              </w:rPr>
              <w:t>service</w:t>
            </w:r>
            <w:r>
              <w:rPr>
                <w:b w:val="0"/>
                <w:i w:val="0"/>
                <w:strike w:val="0"/>
              </w:rPr>
              <w:t xml:space="preserve"> test in § 51.1-155 A 2, and the same bare term in § 51.1-138 C</w:t>
            </w:r>
          </w:p>
        </w:tc>
        <w:tc>
          <w:tcPr>
            <w:tcW w:type="dxa" w:w="2160"/>
          </w:tcPr>
          <w:p>
            <w:r>
              <w:rPr>
                <w:b w:val="0"/>
                <w:i w:val="0"/>
                <w:strike w:val="0"/>
              </w:rPr>
              <w:t xml:space="preserve">Bridge credit is expressly </w:t>
            </w:r>
            <w:r>
              <w:rPr>
                <w:b/>
                <w:i w:val="0"/>
                <w:strike w:val="0"/>
              </w:rPr>
              <w:t>not</w:t>
            </w:r>
            <w:r>
              <w:rPr>
                <w:b w:val="0"/>
                <w:i w:val="0"/>
                <w:strike w:val="0"/>
              </w:rPr>
              <w:t xml:space="preserve"> "service as an employee" (§ 51.1-142.4 A and F), so the § 51.1-155 A 2 test was already protected by the chapter-wide definition before § 51.1-155 C was drafted. Subdivisions F 12 and the F lead-in are retained for clarity rather than necessity.</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w:t>
      </w:r>
      <w:r>
        <w:rPr>
          <w:b/>
          <w:i w:val="0"/>
          <w:strike w:val="0"/>
        </w:rPr>
        <w:t>Version 1.2: this is accepted rather than cured</w:t>
      </w:r>
      <w:r>
        <w:rPr>
          <w:b w:val="0"/>
          <w:i w:val="0"/>
          <w:strike w:val="0"/>
        </w:rPr>
        <w:t xml:space="preserve"> — see </w:t>
      </w:r>
      <w:r>
        <w:rPr>
          <w:b/>
          <w:i w:val="0"/>
          <w:strike w:val="0"/>
        </w:rPr>
        <w:t>DECISION 9</w:t>
      </w:r>
      <w:r>
        <w:rPr>
          <w:b w:val="0"/>
          <w:i w:val="0"/>
          <w:strike w:val="0"/>
        </w:rPr>
        <w:t xml:space="preserve"> in Part 6 — and the savings paragraph at the end of § 51.1-142.4 F states the acceptance on the face of the bill.</w:t>
      </w:r>
    </w:p>
    <w:p>
      <w:r>
        <w:rPr>
          <w:b/>
          <w:i w:val="0"/>
          <w:strike w:val="0"/>
        </w:rPr>
        <w:t>§ 51.1-166 D 3 — flagged in Part 2 but not previously analyzed; on review it is safe.</w:t>
      </w:r>
      <w:r>
        <w:rPr>
          <w:b w:val="0"/>
          <w:i w:val="0"/>
          <w:strike w:val="0"/>
        </w:rPr>
        <w:t xml:space="preserve"> D 3's test is fixed "as of January 1, 2013," and no credit granted on or after the effective date of this act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p>
      <w:r>
        <w:rPr>
          <w:b/>
          <w:i w:val="0"/>
          <w:strike w:val="0"/>
        </w:rPr>
        <w:t>How to read this table, and how not to.</w:t>
      </w:r>
      <w:r>
        <w:rPr>
          <w:b w:val="0"/>
          <w:i w:val="0"/>
          <w:strike w:val="0"/>
        </w:rPr>
        <w:t xml:space="preserve"> The bridge does </w:t>
      </w:r>
      <w:r>
        <w:rPr>
          <w:b/>
          <w:i w:val="0"/>
          <w:strike w:val="0"/>
        </w:rPr>
        <w:t>not</w:t>
      </w:r>
      <w:r>
        <w:rPr>
          <w:b w:val="0"/>
          <w:i w:val="0"/>
          <w:strike w:val="0"/>
        </w:rPr>
        <w:t xml:space="preserve"> increase benefit-calculation service, the pension formula, or any benefit calculated by reference to service credit. It is </w:t>
      </w:r>
      <w:r>
        <w:rPr>
          <w:b/>
          <w:i w:val="0"/>
          <w:strike w:val="0"/>
        </w:rPr>
        <w:t>not</w:t>
      </w:r>
      <w:r>
        <w:rPr>
          <w:b w:val="0"/>
          <w:i w:val="0"/>
          <w:strike w:val="0"/>
        </w:rPr>
        <w:t xml:space="preserve"> correct to say that it has "no effect on any other VRS benefit." The exclusion architecture controls what the credit </w:t>
      </w:r>
      <w:r>
        <w:rPr>
          <w:b w:val="0"/>
          <w:i/>
          <w:strike w:val="0"/>
        </w:rPr>
        <w:t>is</w:t>
      </w:r>
      <w:r>
        <w:rPr>
          <w:b w:val="0"/>
          <w:i w:val="0"/>
          <w:strike w:val="0"/>
        </w:rPr>
        <w:t xml:space="preserve">; it does not control what an </w:t>
      </w:r>
      <w:r>
        <w:rPr>
          <w:b/>
          <w:i w:val="0"/>
          <w:strike w:val="0"/>
        </w:rPr>
        <w:t>earlier retirement date</w:t>
      </w:r>
      <w:r>
        <w:rPr>
          <w:b w:val="0"/>
          <w:i w:val="0"/>
          <w:strike w:val="0"/>
        </w:rPr>
        <w:t xml:space="preserve"> does, and </w:t>
      </w:r>
      <w:r>
        <w:rPr>
          <w:b/>
          <w:i w:val="0"/>
          <w:strike w:val="0"/>
        </w:rPr>
        <w:t>the ordinary consequences of an earlier retirement date remain applicable</w:t>
      </w:r>
      <w:r>
        <w:rPr>
          <w:b w:val="0"/>
          <w:i w:val="0"/>
          <w:strike w:val="0"/>
        </w:rPr>
        <w:t>. The health insurance credit and COLA rows below are the clearest instance: both follow the retirement date, so preventing earlier commencement would require separate statutory changes outside the bridge, and the proposal deliberately accepts and discloses that earlier commencement rather than adding separate delay provisions.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deliberately NOT cured: accepted and priced (DECISION 9).</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w:t>
            </w:r>
            <w:r>
              <w:rPr>
                <w:b/>
                <w:i w:val="0"/>
                <w:strike w:val="0"/>
              </w:rPr>
              <w:t>Resolved in version 1.2 by acceptance, not cure (DECISION 9):</w:t>
            </w:r>
            <w:r>
              <w:rPr>
                <w:b w:val="0"/>
                <w:i w:val="0"/>
                <w:strike w:val="0"/>
              </w:rPr>
              <w:t xml:space="preserve"> the cost is accepted, priced and disclosed, and the savings paragraph at the end of § 51.1-142.4 F says so affirmatively so that F 8 is not misread as delaying commencement. Clause 3(vi) of the enactment requires the Board to report it by trust. Note that DECISION 8 reduces this exposure as a side effect, since the deferred path that would have accelerated the credit furthest is now closed.</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deliberately NOT cured: accepted and priced (DECISION 9).</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The § 51.1-166 D 4 amendment does not reach this and must not be presented as if it did. Accepted per DECISION 9; the savings paragraph at the end of § 51.1-142.4 F states the acceptance affirmatively, and clause 3(vi) requires the Board to report the cost. </w:t>
            </w:r>
            <w:r>
              <w:rPr>
                <w:b/>
                <w:i w:val="0"/>
                <w:strike w:val="0"/>
              </w:rPr>
              <w:t>Not separately quantified in the MOO-259 model</w:t>
            </w:r>
            <w:r>
              <w:rPr>
                <w:b w:val="0"/>
                <w:i w:val="0"/>
                <w:strike w:val="0"/>
              </w:rPr>
              <w:t xml:space="preserve"> — the one acknowledged gap in the fiscal case.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closed in version 1.3 by a continuity-of-service condition plus an express amendment to § 51.1-153 C</w:t>
            </w:r>
            <w:r>
              <w:rPr>
                <w:b w:val="0"/>
                <w:i w:val="0"/>
                <w:strike w:val="0"/>
              </w:rPr>
              <w:t xml:space="preserve"> (the version 1.2 drafting did not in fact close it — see memorandum Part 6.1)</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Version 1.1 required member-in-service status only at purchase, so acceleration for such a member could reach roughly 15 years rather than four; the C 2 d cap constrained but did not foreclose it. Version 1.2 adds § 51.1-142.4 E 3, which conditions the credit's </w:t>
            </w:r>
            <w:r>
              <w:rPr>
                <w:b w:val="0"/>
                <w:i/>
                <w:strike w:val="0"/>
              </w:rPr>
              <w:t>effect</w:t>
            </w:r>
            <w:r>
              <w:rPr>
                <w:b w:val="0"/>
                <w:i w:val="0"/>
                <w:strike w:val="0"/>
              </w:rPr>
              <w:t xml:space="preserve"> on in-service status immediately before retirement, </w:t>
            </w:r>
            <w:r>
              <w:rPr>
                <w:b/>
                <w:i w:val="0"/>
                <w:strike w:val="0"/>
              </w:rPr>
              <w:t>and amends § 51.1-153 C itself</w:t>
            </w:r>
            <w:r>
              <w:rPr>
                <w:b w:val="0"/>
                <w:i w:val="0"/>
                <w:strike w:val="0"/>
              </w:rPr>
              <w:t xml:space="preserve"> — necessarily, because that subsection's second sentence would otherwise have waived the new requirement. Refund with interest under K 1 c and K 1 d; pre-purchase disclosure under I 2(vii).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Thresholds and amounts: No</w:t>
            </w:r>
            <w:r>
              <w:rPr>
                <w:b w:val="0"/>
                <w:i w:val="0"/>
                <w:strike w:val="0"/>
              </w:rPr>
              <w:t xml:space="preserve"> — protected by definition. </w:t>
            </w:r>
            <w:r>
              <w:rPr>
                <w:b/>
                <w:i w:val="0"/>
                <w:strike w:val="0"/>
              </w:rPr>
              <w:t>Reduction schedule: YES — affected, and not cured.</w:t>
            </w:r>
          </w:p>
        </w:tc>
        <w:tc>
          <w:tcPr>
            <w:tcW w:type="dxa" w:w="2160"/>
          </w:tcPr>
          <w:p>
            <w:r>
              <w:rPr>
                <w:b w:val="0"/>
                <w:i w:val="0"/>
                <w:strike w:val="0"/>
              </w:rPr>
              <w:t xml:space="preserve">The 30-year floor ($8,000) and the 20-year double-salary provision run on creditable service, the retiree-coverage condition runs on "five or more years of service as an employee," and F 11 bars the credit from supplying any of them. </w:t>
            </w:r>
            <w:r>
              <w:rPr>
                <w:b/>
                <w:i w:val="0"/>
                <w:strike w:val="0"/>
              </w:rPr>
              <w:t>But § 51.1-505 B measures the 25%-per-year retiree reduction from "the date the employee is separated from service"</w:t>
            </w:r>
            <w:r>
              <w:rPr>
                <w:b w:val="0"/>
                <w:i w:val="0"/>
                <w:strike w:val="0"/>
              </w:rPr>
              <w:t xml:space="preserve"> — separation date, not normal retirement date, which governs only the disability retiree in the same subsection — so an earlier retirement starts the step-down </w:t>
            </w:r>
            <w:r>
              <w:rPr>
                <w:b/>
                <w:i w:val="0"/>
                <w:strike w:val="0"/>
              </w:rPr>
              <w:t>up to four years earlier</w:t>
            </w:r>
            <w:r>
              <w:rPr>
                <w:b w:val="0"/>
                <w:i w:val="0"/>
                <w:strike w:val="0"/>
              </w:rPr>
              <w:t xml:space="preserve">. Illustratively, a member retiring at 50 with 26 years at $85,000 has $170,000 of coverage and reaches the $42,500 floor at about age 54 instead of about 58. F 11 does not reach this, because it bars only </w:t>
            </w:r>
            <w:r>
              <w:rPr>
                <w:b w:val="0"/>
                <w:i/>
                <w:strike w:val="0"/>
              </w:rPr>
              <w:t>establishing eligibility for</w:t>
            </w:r>
            <w:r>
              <w:rPr>
                <w:b w:val="0"/>
                <w:i w:val="0"/>
                <w:strike w:val="0"/>
              </w:rPr>
              <w:t xml:space="preserve"> or </w:t>
            </w:r>
            <w:r>
              <w:rPr>
                <w:b w:val="0"/>
                <w:i/>
                <w:strike w:val="0"/>
              </w:rPr>
              <w:t>increasing</w:t>
            </w:r>
            <w:r>
              <w:rPr>
                <w:b w:val="0"/>
                <w:i w:val="0"/>
                <w:strike w:val="0"/>
              </w:rPr>
              <w:t xml:space="preserve"> group life, not a </w:t>
            </w:r>
            <w:r>
              <w:rPr>
                <w:b/>
                <w:i w:val="0"/>
                <w:strike w:val="0"/>
              </w:rPr>
              <w:t>decrease</w:t>
            </w:r>
            <w:r>
              <w:rPr>
                <w:b w:val="0"/>
                <w:i w:val="0"/>
                <w:strike w:val="0"/>
              </w:rPr>
              <w:t xml:space="preserve">. This is a member detriment rather than a trust cost, and it follows the separation date in the same way the health insurance credit and COLA follow the retirement date. </w:t>
            </w:r>
            <w:r>
              <w:rPr>
                <w:b/>
                <w:i w:val="0"/>
                <w:strike w:val="0"/>
              </w:rPr>
              <w:t>Disclosed in subdivision I 2(viii) as of version 1.3.</w:t>
            </w:r>
          </w:p>
        </w:tc>
      </w:tr>
      <w:tr>
        <w:tc>
          <w:tcPr>
            <w:tcW w:type="dxa" w:w="2160"/>
          </w:tcPr>
          <w:p>
            <w:r>
              <w:rPr>
                <w:b w:val="0"/>
                <w:i w:val="0"/>
                <w:strike w:val="0"/>
              </w:rPr>
              <w:t>Death-before-retirement allowance</w:t>
            </w:r>
          </w:p>
        </w:tc>
        <w:tc>
          <w:tcPr>
            <w:tcW w:type="dxa" w:w="2160"/>
          </w:tcPr>
          <w:p>
            <w:r>
              <w:rPr>
                <w:b w:val="0"/>
                <w:i w:val="0"/>
                <w:strike w:val="0"/>
              </w:rPr>
              <w:t>§ 51.1-162 B</w:t>
            </w:r>
          </w:p>
        </w:tc>
        <w:tc>
          <w:tcPr>
            <w:tcW w:type="dxa" w:w="2160"/>
          </w:tcPr>
          <w:p>
            <w:r>
              <w:rPr>
                <w:b/>
                <w:i w:val="0"/>
                <w:strike w:val="0"/>
              </w:rPr>
              <w:t>YES — affected, and not cured</w:t>
            </w:r>
          </w:p>
        </w:tc>
        <w:tc>
          <w:tcPr>
            <w:tcW w:type="dxa" w:w="2160"/>
          </w:tcPr>
          <w:p>
            <w:r>
              <w:rPr>
                <w:b w:val="0"/>
                <w:i w:val="0"/>
                <w:strike w:val="0"/>
              </w:rPr>
              <w:t xml:space="preserve">Retiring at the accelerated date ends death-in-service coverage. Had the member died in service, her survivor would have received a § 51.1-162 B allowance for life; having retired, the survivor receives only the § 51.1-163 excess-of-contributions payment unless the member elected a § 51.1-165 option and accepted the actuarial reduction. The § 51.1-162 B conforming amendment prevents the credit from </w:t>
            </w:r>
            <w:r>
              <w:rPr>
                <w:b w:val="0"/>
                <w:i/>
                <w:strike w:val="0"/>
              </w:rPr>
              <w:t>raising</w:t>
            </w:r>
            <w:r>
              <w:rPr>
                <w:b w:val="0"/>
                <w:i w:val="0"/>
                <w:strike w:val="0"/>
              </w:rPr>
              <w:t xml:space="preserve"> the allowance; it cannot preserve coverage the member has ended by retiring. </w:t>
            </w:r>
            <w:r>
              <w:rPr>
                <w:b/>
                <w:i w:val="0"/>
                <w:strike w:val="0"/>
              </w:rPr>
              <w:t>Disclosed in subdivision I 2(viii) as of version 1.3.</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and fourth sentences</w:t>
            </w:r>
            <w:r>
              <w:rPr>
                <w:b w:val="0"/>
                <w:i w:val="0"/>
                <w:strike w:val="0"/>
              </w:rPr>
              <w:t>; § 51.1-155 A 3</w:t>
            </w:r>
          </w:p>
        </w:tc>
        <w:tc>
          <w:tcPr>
            <w:tcW w:type="dxa" w:w="2160"/>
          </w:tcPr>
          <w:p>
            <w:r>
              <w:rPr>
                <w:b/>
                <w:i w:val="0"/>
                <w:strike w:val="0"/>
              </w:rPr>
              <w:t>YES — inside the bill, and in version 1.2 those who first entered the VRS-administered retirement system on or after the January 1, 2014 Hybrid transition are now EXCLUDED.</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at least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covering § 51.1-138 employees, which is conclusive that the two local elections are distinct. Such an employee, hired in any year, was therefore caught by none of clauses B 1(i), (ii) or (iii), and the pathway left open was </w:t>
            </w:r>
            <w:r>
              <w:rPr>
                <w:b/>
                <w:i w:val="0"/>
                <w:strike w:val="0"/>
              </w:rPr>
              <w:t>B 2 — age 50 plus 30 years, one-for-one</w:t>
            </w:r>
            <w:r>
              <w:rPr>
                <w:b w:val="0"/>
                <w:i w:val="0"/>
                <w:strike w:val="0"/>
              </w:rPr>
              <w:t xml:space="preserve"> — the most generous acceleration in the bill. </w:t>
            </w:r>
            <w:r>
              <w:rPr>
                <w:b/>
                <w:i w:val="0"/>
                <w:strike w:val="0"/>
              </w:rPr>
              <w:t>Version 1.2 (DECISION 10)</w:t>
            </w:r>
            <w:r>
              <w:rPr>
                <w:b w:val="0"/>
                <w:i w:val="0"/>
                <w:strike w:val="0"/>
              </w:rPr>
              <w:t xml:space="preserve"> adds clause B 1(iv), excluding those qualifying B 4 employees who first entered the VRS-administered retirement system on or after the January 1, 2014 Hybrid transition — tracking the § 51.1-169 A membership test, so a member already in a VRS-administered plan before that date remains potentially eligible even if rehired later — which eliminates the permanent and growing share of this class; pre-2014 public-safety veterans remain eligible by deliberate choice. The residual technical problem for that remaining class — the B 4 deeming is scoped to B 1, B 3, subsection D and § 51.1-155 A 3, and </w:t>
            </w:r>
            <w:r>
              <w:rPr>
                <w:b/>
                <w:i w:val="0"/>
                <w:strike w:val="0"/>
              </w:rPr>
              <w:t>B 2 is not in that list</w:t>
            </w:r>
            <w:r>
              <w:rPr>
                <w:b w:val="0"/>
                <w:i w:val="0"/>
                <w:strike w:val="0"/>
              </w:rPr>
              <w:t xml:space="preserve"> — is fixed by new C 1 c, which routes them to the C 1 a deficit formula. The approximate normal cost rate for the class still needs VRS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xml:space="preserve">, versus the </w:t>
            </w:r>
            <w:r>
              <w:rPr>
                <w:b/>
                <w:i w:val="0"/>
                <w:strike w:val="0"/>
              </w:rPr>
              <w:t>12.50%</w:t>
            </w:r>
            <w:r>
              <w:rPr>
                <w:b w:val="0"/>
                <w:i w:val="0"/>
                <w:strike w:val="0"/>
              </w:rPr>
              <w:t xml:space="preserve"> charged — that being the rate for </w:t>
            </w:r>
            <w:r>
              <w:rPr>
                <w:b/>
                <w:i w:val="0"/>
                <w:strike w:val="0"/>
              </w:rPr>
              <w:t>ordinary non-hazardous</w:t>
            </w:r>
            <w:r>
              <w:rPr>
                <w:b w:val="0"/>
                <w:i w:val="0"/>
                <w:strike w:val="0"/>
              </w:rPr>
              <w:t xml:space="preserve"> Plan 1 members. The rate applicable to eligible pre-2014 § 51.1-153 B 4 public-safety members </w:t>
            </w:r>
            <w:r>
              <w:rPr>
                <w:b/>
                <w:i w:val="0"/>
                <w:strike w:val="0"/>
              </w:rPr>
              <w:t>requires VRS confirmation</w:t>
            </w:r>
            <w:r>
              <w:rPr>
                <w:b w:val="0"/>
                <w:i w:val="0"/>
                <w:strike w:val="0"/>
              </w:rPr>
              <w:t>.</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 xml:space="preserve">Aggregate employer contribution rate impact, FY2029–FY2038 — </w:t>
            </w:r>
            <w:r>
              <w:rPr>
                <w:b/>
                <w:i w:val="0"/>
                <w:strike w:val="0"/>
              </w:rPr>
              <w:t>the modeled retirement-plan employer contribution impact, excluding the separately funded health insurance credit and COLA effects, including unquantified COLA exposure</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on </w:t>
            </w:r>
            <w:r>
              <w:rPr>
                <w:b/>
                <w:i w:val="0"/>
                <w:strike w:val="0"/>
              </w:rPr>
              <w:t>one-at-a-time</w:t>
            </w:r>
            <w:r>
              <w:rPr>
                <w:b w:val="0"/>
                <w:i w:val="0"/>
                <w:strike w:val="0"/>
              </w:rPr>
              <w:t xml:space="preserve"> excursions; no single plan exceeds </w:t>
            </w:r>
            <w:r>
              <w:rPr>
                <w:b/>
                <w:i w:val="0"/>
                <w:strike w:val="0"/>
              </w:rPr>
              <w:t>0.84 bp</w:t>
            </w:r>
            <w:r>
              <w:rPr>
                <w:b w:val="0"/>
                <w:i w:val="0"/>
                <w:strike w:val="0"/>
              </w:rPr>
              <w:t xml:space="preserve"> in any </w:t>
            </w:r>
            <w:r>
              <w:rPr>
                <w:b/>
                <w:i w:val="0"/>
                <w:strike w:val="0"/>
              </w:rPr>
              <w:t>single-driver</w:t>
            </w:r>
            <w:r>
              <w:rPr>
                <w:b w:val="0"/>
                <w:i w:val="0"/>
                <w:strike w:val="0"/>
              </w:rPr>
              <w:t xml:space="preserve"> scenario tested. </w:t>
            </w:r>
            <w:r>
              <w:rPr>
                <w:b/>
                <w:i w:val="0"/>
                <w:strike w:val="0"/>
              </w:rPr>
              <w:t>The published range is one-at-a-time only — see "The sensitivity design is one-at-a-time" immediately below, and the 1.16 bp compound adverse case.</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Placement in a new section is what does the work; the carve-out forecloses argument.</w:t>
      </w:r>
      <w:r>
        <w:rPr>
          <w:b w:val="0"/>
          <w:i w:val="0"/>
          <w:strike w:val="0"/>
        </w:rPr>
        <w:t xml:space="preserve"> </w:t>
      </w:r>
      <w:r>
        <w:rPr>
          <w:b/>
          <w:i w:val="0"/>
          <w:strike w:val="0"/>
        </w:rPr>
        <w:t>Corrected October 20, 2026 after independent counsel review.</w:t>
      </w:r>
      <w:r>
        <w:rPr>
          <w:b w:val="0"/>
          <w:i w:val="0"/>
          <w:strike w:val="0"/>
        </w:rPr>
        <w:t xml:space="preserve"> Earlier versions of this memorandum called the § 51.1-124.3 carve-out "the single most important protective move in the bill," said that "both moves are required; neither alone is safe," and offered a </w:t>
      </w:r>
      <w:r>
        <w:rPr>
          <w:b/>
          <w:i w:val="0"/>
          <w:strike w:val="0"/>
        </w:rPr>
        <w:t>5.7×</w:t>
      </w:r>
      <w:r>
        <w:rPr>
          <w:b w:val="0"/>
          <w:i w:val="0"/>
          <w:strike w:val="0"/>
        </w:rPr>
        <w:t xml:space="preserve"> figure as its quantitative vindication. That overstates the carve-out and misattributes the figure. Read the definition: "'Creditable service' means prior service </w:t>
      </w:r>
      <w:r>
        <w:rPr>
          <w:b/>
          <w:i w:val="0"/>
          <w:strike w:val="0"/>
        </w:rPr>
        <w:t>as set forth in § 51.1-142.2</w:t>
      </w:r>
      <w:r>
        <w:rPr>
          <w:b w:val="0"/>
          <w:i w:val="0"/>
          <w:strike w:val="0"/>
        </w:rPr>
        <w:t xml:space="preserve"> plus membership service for which credit is allowable." Eligibility credit granted under § 51.1-142.4 is neither prior service as set forth in § 51.1-142.2 nor membership service, so it is </w:t>
      </w:r>
      <w:r>
        <w:rPr>
          <w:b/>
          <w:i w:val="0"/>
          <w:strike w:val="0"/>
        </w:rPr>
        <w:t>already outside the definition by the definition's own terms, because of move 1</w:t>
      </w:r>
      <w:r>
        <w:rPr>
          <w:b w:val="0"/>
          <w:i w:val="0"/>
          <w:strike w:val="0"/>
        </w:rPr>
        <w:t xml:space="preserve">. Move 1 alone is safe on the text; move 2 alone would not be. Retain the carve-out — it costs nothing and forecloses the argument — but describe it as litigation insurance rather than as the load-bearing provision. </w:t>
      </w:r>
      <w:r>
        <w:rPr>
          <w:b/>
          <w:i w:val="0"/>
          <w:strike w:val="0"/>
        </w:rPr>
        <w:t>On the figure:</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xml:space="preserve">, and the annual allowance from $35,696 to $41,188 for life. That measures the cost of a bill drafted </w:t>
      </w:r>
      <w:r>
        <w:rPr>
          <w:b/>
          <w:i w:val="0"/>
          <w:strike w:val="0"/>
        </w:rPr>
        <w:t>inside § 51.1-142.2 without the carve-out</w:t>
      </w:r>
      <w:r>
        <w:rPr>
          <w:b w:val="0"/>
          <w:i w:val="0"/>
          <w:strike w:val="0"/>
        </w:rPr>
        <w:t xml:space="preserve">, which is to say it prices move </w:t>
      </w:r>
      <w:r>
        <w:rPr>
          <w:b/>
          <w:i w:val="0"/>
          <w:strike w:val="0"/>
        </w:rPr>
        <w:t>1</w:t>
      </w:r>
      <w:r>
        <w:rPr>
          <w:b w:val="0"/>
          <w:i w:val="0"/>
          <w:strike w:val="0"/>
        </w:rPr>
        <w:t xml:space="preserve">, not move 2, and prices a bill nobody proposed. Asked what the carve-out is worth on </w:t>
      </w:r>
      <w:r>
        <w:rPr>
          <w:b w:val="0"/>
          <w:i/>
          <w:strike w:val="0"/>
        </w:rPr>
        <w:t>this</w:t>
      </w:r>
      <w:r>
        <w:rPr>
          <w:b w:val="0"/>
          <w:i w:val="0"/>
          <w:strike w:val="0"/>
        </w:rPr>
        <w:t xml:space="preserve"> bill, the honest answer is: certainty, not $98,349.</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resolved on October 19, 2026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i w:val="0"/>
          <w:strike w:val="0"/>
        </w:rPr>
        <w:t>The sensitivity design is one-at-a-time, and the package must say so — counsel review finding M-13, closed October 20, 2026.</w:t>
      </w:r>
      <w:r>
        <w:rPr>
          <w:b w:val="0"/>
          <w:i w:val="0"/>
          <w:strike w:val="0"/>
        </w:rPr>
        <w:t xml:space="preserve"> The model's sensitivity table </w:t>
      </w:r>
      <w:r>
        <w:rPr>
          <w:b/>
          <w:i w:val="0"/>
          <w:strike w:val="0"/>
        </w:rPr>
        <w:t>T5</w:t>
      </w:r>
      <w:r>
        <w:rPr>
          <w:b w:val="0"/>
          <w:i w:val="0"/>
          <w:strike w:val="0"/>
        </w:rPr>
        <w:t xml:space="preserve"> varies one driver at a time. The robustness claim the package has been making — "[a]cross every sensitivity tested the aggregate stays between 0.05 and 0.44 bp" and "to the nearest basis point, no plan's rate changes" — is therefore a claim about </w:t>
      </w:r>
      <w:r>
        <w:rPr>
          <w:b/>
          <w:i w:val="0"/>
          <w:strike w:val="0"/>
        </w:rPr>
        <w:t>single-driver excursions</w:t>
      </w:r>
      <w:r>
        <w:rPr>
          <w:b w:val="0"/>
          <w:i w:val="0"/>
          <w:strike w:val="0"/>
        </w:rPr>
        <w:t>, and it was being carried without that qualification. It is now qualified everywhere it appears.</w:t>
      </w:r>
    </w:p>
    <w:p>
      <w:r>
        <w:rPr>
          <w:b w:val="0"/>
          <w:i w:val="0"/>
          <w:strike w:val="0"/>
        </w:rPr>
        <w:t>The defect is not arithmetic; it is an untested independence assumption, and the model's own logic says the assumption is wrong in the adverse direction. Take-up (</w:t>
      </w:r>
      <w:r>
        <w:rPr>
          <w:b/>
          <w:i w:val="0"/>
          <w:strike w:val="0"/>
        </w:rPr>
        <w:t>ASM-19</w:t>
      </w:r>
      <w:r>
        <w:rPr>
          <w:b w:val="0"/>
          <w:i w:val="0"/>
          <w:strike w:val="0"/>
        </w:rPr>
        <w:t xml:space="preserve">) and the behavioural mix </w:t>
      </w:r>
      <w:r>
        <w:rPr>
          <w:b/>
          <w:i w:val="0"/>
          <w:strike w:val="0"/>
        </w:rPr>
        <w:t>φ</w:t>
      </w:r>
      <w:r>
        <w:rPr>
          <w:b w:val="0"/>
          <w:i w:val="0"/>
          <w:strike w:val="0"/>
        </w:rPr>
        <w:t xml:space="preserve"> (</w:t>
      </w:r>
      <w:r>
        <w:rPr>
          <w:b/>
          <w:i w:val="0"/>
          <w:strike w:val="0"/>
        </w:rPr>
        <w:t>ASM-22</w:t>
      </w:r>
      <w:r>
        <w:rPr>
          <w:b w:val="0"/>
          <w:i w:val="0"/>
          <w:strike w:val="0"/>
        </w:rPr>
        <w:t xml:space="preserve">) are </w:t>
      </w:r>
      <w:r>
        <w:rPr>
          <w:b/>
          <w:i w:val="0"/>
          <w:strike w:val="0"/>
        </w:rPr>
        <w:t>inversely correlated</w:t>
      </w:r>
      <w:r>
        <w:rPr>
          <w:b w:val="0"/>
          <w:i w:val="0"/>
          <w:strike w:val="0"/>
        </w:rPr>
        <w:t xml:space="preserve">: the model shows that a member who would have worked on to unreduced eligibility </w:t>
      </w:r>
      <w:r>
        <w:rPr>
          <w:b w:val="0"/>
          <w:i/>
          <w:strike w:val="0"/>
        </w:rPr>
        <w:t>overpays</w:t>
      </w:r>
      <w:r>
        <w:rPr>
          <w:b w:val="0"/>
          <w:i w:val="0"/>
          <w:strike w:val="0"/>
        </w:rPr>
        <w:t xml:space="preserve">, so a high take-up rate necessarily implies a purchaser pool weighted toward members who were leaving anyway — that is, toward </w:t>
      </w:r>
      <w:r>
        <w:rPr>
          <w:b/>
          <w:i w:val="0"/>
          <w:strike w:val="0"/>
        </w:rPr>
        <w:t>low</w:t>
      </w:r>
      <w:r>
        <w:rPr>
          <w:b w:val="0"/>
          <w:i w:val="0"/>
          <w:strike w:val="0"/>
        </w:rPr>
        <w:t xml:space="preserve"> φ. Treating the two as independent drivers structurally suppresses the adverse tail. Running the model's own code with the high population funnel, φ = 0.25 and 30% take-up gives </w:t>
      </w:r>
      <w:r>
        <w:rPr>
          <w:b/>
          <w:i w:val="0"/>
          <w:strike w:val="0"/>
        </w:rPr>
        <w:t>1.16 bp and $43.79M</w:t>
      </w:r>
      <w:r>
        <w:rPr>
          <w:b w:val="0"/>
          <w:i w:val="0"/>
          <w:strike w:val="0"/>
        </w:rPr>
        <w:t xml:space="preserve"> of net liability increase, against the published central case of 0.19 bp / $7.15M and the published single-driver maximum of 0.44 bp — </w:t>
      </w:r>
      <w:r>
        <w:rPr>
          <w:b/>
          <w:i w:val="0"/>
          <w:strike w:val="0"/>
        </w:rPr>
        <w:t>1.38 bp state, 1.19 bp teacher, 0.92 bp political subdivisions</w:t>
      </w:r>
      <w:r>
        <w:rPr>
          <w:b w:val="0"/>
          <w:i w:val="0"/>
          <w:strike w:val="0"/>
        </w:rPr>
        <w:t xml:space="preserve"> by plan, against a single-driver single-plan maximum of 0.84 bp. </w:t>
      </w:r>
      <w:r>
        <w:rPr>
          <w:b/>
          <w:i w:val="0"/>
          <w:strike w:val="0"/>
        </w:rPr>
        <w:t>At 1.16 bp a plan's rate does change to the nearest basis point</w:t>
      </w:r>
      <w:r>
        <w:rPr>
          <w:b w:val="0"/>
          <w:i w:val="0"/>
          <w:strike w:val="0"/>
        </w:rPr>
        <w:t xml:space="preserve">, so the compound case falsifies the two sentences the package uses most often. The scenario is now a published row of </w:t>
      </w:r>
      <w:r>
        <w:rPr>
          <w:b/>
          <w:i w:val="0"/>
          <w:strike w:val="0"/>
        </w:rPr>
        <w:t>T5</w:t>
      </w:r>
      <w:r>
        <w:rPr>
          <w:b w:val="0"/>
          <w:i w:val="0"/>
          <w:strike w:val="0"/>
        </w:rPr>
        <w:t xml:space="preserve"> in the model (</w:t>
      </w:r>
      <w:r>
        <w:rPr>
          <w:rFonts w:ascii="Consolas" w:hAnsi="Consolas"/>
          <w:b w:val="0"/>
          <w:i w:val="0"/>
          <w:strike w:val="0"/>
          <w:color w:val="303030"/>
          <w:sz w:val="19"/>
        </w:rPr>
        <w:t>fiscal-model/out/T5-sensitivity.csv</w:t>
      </w:r>
      <w:r>
        <w:rPr>
          <w:b w:val="0"/>
          <w:i w:val="0"/>
          <w:strike w:val="0"/>
        </w:rPr>
        <w:t xml:space="preserve">, added October 20, 2026) and the figures above were reproduced by re-running </w:t>
      </w:r>
      <w:r>
        <w:rPr>
          <w:rFonts w:ascii="Consolas" w:hAnsi="Consolas"/>
          <w:b w:val="0"/>
          <w:i w:val="0"/>
          <w:strike w:val="0"/>
          <w:color w:val="303030"/>
          <w:sz w:val="19"/>
        </w:rPr>
        <w:t>run_model.py</w:t>
      </w:r>
      <w:r>
        <w:rPr>
          <w:b w:val="0"/>
          <w:i w:val="0"/>
          <w:strike w:val="0"/>
        </w:rPr>
        <w:t>.</w:t>
      </w:r>
    </w:p>
    <w:p>
      <w:r>
        <w:rPr>
          <w:b/>
          <w:i w:val="0"/>
          <w:strike w:val="0"/>
        </w:rPr>
        <w:t>What follows for the package, and what does not.</w:t>
      </w:r>
      <w:r>
        <w:rPr>
          <w:b w:val="0"/>
          <w:i w:val="0"/>
          <w:strike w:val="0"/>
        </w:rPr>
        <w:t xml:space="preserve"> The central case is unchanged and the compound case is not a prediction — it combines three adverse variants and no evidence says they co-occur. But a money committee is entitled to the adverse tail, and a committee analyst who notices that T5 is one-at-a-time will construct this case unaided and will construct it less carefully. The number to give is </w:t>
      </w:r>
      <w:r>
        <w:rPr>
          <w:b/>
          <w:i w:val="0"/>
          <w:strike w:val="0"/>
        </w:rPr>
        <w:t>1.16 bp</w:t>
      </w:r>
      <w:r>
        <w:rPr>
          <w:b w:val="0"/>
          <w:i w:val="0"/>
          <w:strike w:val="0"/>
        </w:rPr>
        <w:t xml:space="preserve">, labelled as a compound adverse scenario. </w:t>
      </w:r>
      <w:r>
        <w:rPr>
          <w:b/>
          <w:i w:val="0"/>
          <w:strike w:val="0"/>
        </w:rPr>
        <w:t>The model refresh against the bill as introduced must add the compound-adverse scenario as a published variant rather than leave it in prose</w:t>
      </w:r>
      <w:r>
        <w:rPr>
          <w:b w:val="0"/>
          <w:i w:val="0"/>
          <w:strike w:val="0"/>
        </w:rPr>
        <w:t xml:space="preserve"> — it is carried as a work item in the fiscal-model refresh, not as a separate exercise, because the same refresh must also reflect clauses B 1(iv) and B 1(v) and subdivision E 3. Until the refresh lands, every statement of the 0.05–0.44 bp range in this package reads "on one-at-a-time excursions," and the 1.16 bp figure is disclosed alongside it.</w:t>
      </w:r>
    </w:p>
    <w:p>
      <w:r>
        <w:rPr>
          <w:b/>
          <w:i w:val="0"/>
          <w:strike w:val="0"/>
        </w:rPr>
        <w:t>The constitutional funding point, and the Board's own published test — counsel review finding m-12.</w:t>
      </w:r>
      <w:r>
        <w:rPr>
          <w:b w:val="0"/>
          <w:i w:val="0"/>
          <w:strike w:val="0"/>
        </w:rPr>
        <w:t xml:space="preserve"> </w:t>
      </w:r>
      <w:r>
        <w:rPr>
          <w:b/>
          <w:i w:val="0"/>
          <w:strike w:val="0"/>
        </w:rPr>
        <w:t>Va. Const. art. X, § 11</w:t>
      </w:r>
      <w:r>
        <w:rPr>
          <w:b w:val="0"/>
          <w:i w:val="0"/>
          <w:strike w:val="0"/>
        </w:rPr>
        <w:t xml:space="preserve"> requires that the retirement trust funds "be invested and administered </w:t>
      </w:r>
      <w:r>
        <w:rPr>
          <w:b/>
          <w:i w:val="0"/>
          <w:strike w:val="0"/>
        </w:rPr>
        <w:t>solely in the interests of the members and beneficiaries</w:t>
      </w:r>
      <w:r>
        <w:rPr>
          <w:b w:val="0"/>
          <w:i w:val="0"/>
          <w:strike w:val="0"/>
        </w:rPr>
        <w:t xml:space="preserve"> thereof" and that "[r]etirement system benefits shall be </w:t>
      </w:r>
      <w:r>
        <w:rPr>
          <w:b/>
          <w:i w:val="0"/>
          <w:strike w:val="0"/>
        </w:rPr>
        <w:t>funded using methods which are consistent with generally accepted actuarial principles</w:t>
      </w:r>
      <w:r>
        <w:rPr>
          <w:b w:val="0"/>
          <w:i w:val="0"/>
          <w:strike w:val="0"/>
        </w:rPr>
        <w:t xml:space="preserve">." </w:t>
      </w:r>
      <w:r>
        <w:rPr>
          <w:b/>
          <w:i w:val="0"/>
          <w:strike w:val="0"/>
        </w:rPr>
        <w:t>As a litigation risk this is weak and should not be presented as anything else</w:t>
      </w:r>
      <w:r>
        <w:rPr>
          <w:b w:val="0"/>
          <w:i w:val="0"/>
          <w:strike w:val="0"/>
        </w:rPr>
        <w:t xml:space="preserve">: amortizing an unfunded liability into employer contribution rates is a generally accepted actuarial method, and the General Assembly is expressly empowered to prescribe "restrictions, terms, and conditions." A plaintiff would be a member or beneficiary seeking a declaratory judgment in the Circuit Court of the City of Richmond, and the claim would fail. </w:t>
      </w:r>
      <w:r>
        <w:rPr>
          <w:b/>
          <w:i w:val="0"/>
          <w:strike w:val="0"/>
        </w:rPr>
        <w:t>Its real force is as the constitutional hook for the adverse § 30-19.1:7 statement this memorandum already predicts</w:t>
      </w:r>
      <w:r>
        <w:rPr>
          <w:b w:val="0"/>
          <w:i w:val="0"/>
          <w:strike w:val="0"/>
        </w:rPr>
        <w:t xml:space="preserve">, and the Board's own language on a 2026 benefit-enhancement bill is the best available predictor of how it will be used: "it would be </w:t>
      </w:r>
      <w:r>
        <w:rPr>
          <w:b/>
          <w:i w:val="0"/>
          <w:strike w:val="0"/>
        </w:rPr>
        <w:t>prudent from a fiduciary standpoint to only enhance benefits if they can be funded upfront to avoid creating additional unfunded liabilities</w:t>
      </w:r>
      <w:r>
        <w:rPr>
          <w:b w:val="0"/>
          <w:i w:val="0"/>
          <w:strike w:val="0"/>
        </w:rPr>
        <w:t xml:space="preserve">" (VRS, </w:t>
      </w:r>
      <w:r>
        <w:rPr>
          <w:b w:val="0"/>
          <w:i/>
          <w:strike w:val="0"/>
        </w:rPr>
        <w:t>2026 General Assembly Session Fiscal Impact Statement</w:t>
      </w:r>
      <w:r>
        <w:rPr>
          <w:b w:val="0"/>
          <w:i w:val="0"/>
          <w:strike w:val="0"/>
        </w:rPr>
        <w:t xml:space="preserve">, SB 419, published January 28, 2026). Read together, art. X, § 11 and that sentence are the opposition's closing argument, and </w:t>
      </w:r>
      <w:r>
        <w:rPr>
          <w:b/>
          <w:i w:val="0"/>
          <w:strike w:val="0"/>
        </w:rPr>
        <w:t>option (iv) below is the only one of the four that answers the Board's stated test.</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w:t>
      </w:r>
      <w:r>
        <w:rPr>
          <w:b/>
          <w:i w:val="0"/>
          <w:strike w:val="0"/>
        </w:rPr>
        <w:t>require an appropriation to offset the liability — the only option that meets the Board's published "funded upfront" test, and therefore the one to have costed before the § 30-19.1:7 statement lands.</w:t>
      </w:r>
      <w:r>
        <w:rPr>
          <w:b w:val="0"/>
          <w:i w:val="0"/>
          <w:strike w:val="0"/>
        </w:rPr>
        <w:t xml:space="preserve">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The partial-purchase rule was resolved on October 19, 2026, and </w:t>
      </w:r>
      <w:r>
        <w:rPr>
          <w:b/>
          <w:i w:val="0"/>
          <w:strike w:val="0"/>
        </w:rPr>
        <w:t>0.06 bp is its measured price</w:t>
      </w:r>
      <w:r>
        <w:rPr>
          <w:b w:val="0"/>
          <w:i w:val="0"/>
          <w:strike w:val="0"/>
        </w:rPr>
        <w:t xml:space="preserve"> — a defensible trade to put to a committee.</w:t>
      </w:r>
    </w:p>
    <w:p>
      <w:r>
        <w:rPr>
          <w:b/>
          <w:i w:val="0"/>
          <w:strike w:val="0"/>
        </w:rPr>
        <w:t>What the model does not price.</w:t>
      </w:r>
      <w:r>
        <w:rPr>
          <w:b w:val="0"/>
          <w:i w:val="0"/>
          <w:strike w:val="0"/>
        </w:rPr>
        <w:t xml:space="preserve"> </w:t>
      </w:r>
      <w:r>
        <w:rPr>
          <w:b/>
          <w:i w:val="0"/>
          <w:strike w:val="0"/>
        </w:rPr>
        <w:t>Version 1.2 update:</w:t>
      </w:r>
      <w:r>
        <w:rPr>
          <w:b w:val="0"/>
          <w:i w:val="0"/>
          <w:strike w:val="0"/>
        </w:rPr>
        <w:t xml:space="preserve"> the model was built against version 1.1 and needs re-running, but both of the corrections now run in the </w:t>
      </w:r>
      <w:r>
        <w:rPr>
          <w:b/>
          <w:i w:val="0"/>
          <w:strike w:val="0"/>
        </w:rPr>
        <w:t>favorable</w:t>
      </w:r>
      <w:r>
        <w:rPr>
          <w:b w:val="0"/>
          <w:i w:val="0"/>
          <w:strike w:val="0"/>
        </w:rPr>
        <w:t xml:space="preserve"> direction, so no figure above is an understatement on their account. (i) The deferred-member strategy is not in any figure above — the model prices four years of acceleration, not fifteen — and DECISION 8 has now </w:t>
      </w:r>
      <w:r>
        <w:rPr>
          <w:b/>
          <w:i w:val="0"/>
          <w:strike w:val="0"/>
        </w:rPr>
        <w:t>closed</w:t>
      </w:r>
      <w:r>
        <w:rPr>
          <w:b w:val="0"/>
          <w:i w:val="0"/>
          <w:strike w:val="0"/>
        </w:rPr>
        <w:t xml:space="preserve"> that path, so the omission no longer understates the cost. (ii) The model's population includes the B 4-resolution public-safety employees who first entered the VRS-administered retirement system on or after the January 1, 2014 Hybrid transition, whom clause B 1(iv) now </w:t>
      </w:r>
      <w:r>
        <w:rPr>
          <w:b/>
          <w:i w:val="0"/>
          <w:strike w:val="0"/>
        </w:rPr>
        <w:t>excludes</w:t>
      </w:r>
      <w:r>
        <w:rPr>
          <w:b w:val="0"/>
          <w:i w:val="0"/>
          <w:strike w:val="0"/>
        </w:rPr>
        <w:t xml:space="preserve">, so the modeled population is too large rather than too small. What remains genuinely outside the contribution-rate figures is the DECISION 9 health insurance credit and COLA commencement cost, which sits on </w:t>
      </w:r>
      <w:r>
        <w:rPr>
          <w:b/>
          <w:i w:val="0"/>
          <w:strike w:val="0"/>
        </w:rPr>
        <w:t>separately funded trusts</w:t>
      </w:r>
      <w:r>
        <w:rPr>
          <w:b w:val="0"/>
          <w:i w:val="0"/>
          <w:strike w:val="0"/>
        </w:rPr>
        <w:t>; only the per-member health insurance credit order of magnitude (≈ $5,300) has been estimated, and the COLA exposure has not been quantified at all. The model should nonetheless be restated against the bill actually introduced.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Federal law protects qualifying service associated with </w:t>
      </w:r>
      <w:r>
        <w:rPr>
          <w:b/>
          <w:i w:val="0"/>
          <w:strike w:val="0"/>
        </w:rPr>
        <w:t>non-regular Reserve-component retired pay under 10 U.S.C. chapter 1223</w:t>
      </w:r>
      <w:r>
        <w:rPr>
          <w:b w:val="0"/>
          <w:i w:val="0"/>
          <w:strike w:val="0"/>
        </w:rPr>
        <w:t xml:space="preserve">; it does </w:t>
      </w:r>
      <w:r>
        <w:rPr>
          <w:b/>
          <w:i w:val="0"/>
          <w:strike w:val="0"/>
        </w:rPr>
        <w:t>not</w:t>
      </w:r>
      <w:r>
        <w:rPr>
          <w:b w:val="0"/>
          <w:i w:val="0"/>
          <w:strike w:val="0"/>
        </w:rPr>
        <w:t xml:space="preserve"> follow that all Reserve and National Guard service is protected, and no document in this package asserts that. </w:t>
      </w:r>
      <w:r>
        <w:rPr>
          <w:b/>
          <w:i w:val="0"/>
          <w:strike w:val="0"/>
        </w:rPr>
        <w:t>§ 12736 does not preempt this bill</w:t>
      </w:r>
      <w:r>
        <w:rPr>
          <w:b w:val="0"/>
          <w:i w:val="0"/>
          <w:strike w:val="0"/>
        </w:rPr>
        <w:t xml:space="preserve"> — it bars exclusion only of service a plan "otherwise properly credits," and Virginia credits this service only on purchase; see Part 5.2, as corrected on October 20, 2026.</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governmental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xml:space="preserve">. Three consequences follow, and </w:t>
      </w:r>
      <w:r>
        <w:rPr>
          <w:b/>
          <w:i w:val="0"/>
          <w:strike w:val="0"/>
        </w:rPr>
        <w:t>version 1.4 corrects the order in which they were presented</w:t>
      </w:r>
      <w:r>
        <w:rPr>
          <w:b w:val="0"/>
          <w:i w:val="0"/>
          <w:strike w:val="0"/>
        </w:rPr>
        <w:t xml:space="preserve"> (counsel review finding M-15):</w:t>
      </w:r>
    </w:p>
    <w:p>
      <w:pPr>
        <w:pStyle w:val="ListNumber"/>
      </w:pPr>
      <w:r>
        <w:rPr>
          <w:b/>
          <w:i w:val="0"/>
          <w:strike w:val="0"/>
        </w:rPr>
        <w:t>Funding sources disappear — this is the live exposure, and it leads.</w:t>
      </w:r>
      <w:r>
        <w:rPr>
          <w:b w:val="0"/>
          <w:i w:val="0"/>
          <w:strike w:val="0"/>
        </w:rPr>
        <w:t xml:space="preserve"> IRC §§ 403(b)(13)(A) and 457(e)(17)(A)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That is a design fact about </w:t>
      </w:r>
      <w:r>
        <w:rPr>
          <w:b/>
          <w:i w:val="0"/>
          <w:strike w:val="0"/>
        </w:rPr>
        <w:t>who can afford the bridge</w:t>
      </w:r>
      <w:r>
        <w:rPr>
          <w:b w:val="0"/>
          <w:i w:val="0"/>
          <w:strike w:val="0"/>
        </w:rPr>
        <w:t>, and JLCVSO should know it before the bill is introduced.</w:t>
      </w:r>
    </w:p>
    <w:p>
      <w:pPr>
        <w:pStyle w:val="ListNumber"/>
      </w:pPr>
      <w:r>
        <w:rPr>
          <w:b/>
          <w:i w:val="0"/>
          <w:strike w:val="0"/>
        </w:rPr>
        <w:t>§ 415(c) exposure — real, but an edge case on the modeled profiles.</w:t>
      </w:r>
      <w:r>
        <w:rPr>
          <w:b w:val="0"/>
          <w:i w:val="0"/>
          <w:strike w:val="0"/>
        </w:rPr>
        <w:t xml:space="preserve"> Voluntary after-tax employee contributions to a governmental defined benefit plan are annual additions (Treas. Reg. § 1.415(c)-1(a)(2)(ii)(B)), and § 415(n)(1)(B) is the relief that lets a governmental plan avoid an annual-additions failure on a service purchase. </w:t>
      </w:r>
      <w:r>
        <w:rPr>
          <w:b/>
          <w:i w:val="0"/>
          <w:strike w:val="0"/>
        </w:rPr>
        <w:t>Versions 1.0 through 1.3 led with this, and the sizing was wrong.</w:t>
      </w:r>
      <w:r>
        <w:rPr>
          <w:b w:val="0"/>
          <w:i w:val="0"/>
          <w:strike w:val="0"/>
        </w:rPr>
        <w:t xml:space="preserve"> Without § 415(n) relief the ordinary § 415(c)(1) limit is the </w:t>
      </w:r>
      <w:r>
        <w:rPr>
          <w:b/>
          <w:i w:val="0"/>
          <w:strike w:val="0"/>
        </w:rPr>
        <w:t>lesser</w:t>
      </w:r>
      <w:r>
        <w:rPr>
          <w:b w:val="0"/>
          <w:i w:val="0"/>
          <w:strike w:val="0"/>
        </w:rPr>
        <w:t xml:space="preserve"> of the indexed dollar limit (on the order of $70,000) or </w:t>
      </w:r>
      <w:r>
        <w:rPr>
          <w:b/>
          <w:i w:val="0"/>
          <w:strike w:val="0"/>
        </w:rPr>
        <w:t>100% of compensation</w:t>
      </w:r>
      <w:r>
        <w:rPr>
          <w:b w:val="0"/>
          <w:i w:val="0"/>
          <w:strike w:val="0"/>
        </w:rPr>
        <w:t>; the lead profile is an $85,000-salary member paying $42,500, which is 50% of compensation and well inside the dollar limit even with her 5% mandatory contribution. The 100%-of-compensation branch binds only where compensation is at or below the purchase price — a part-year or very low-paid member. § 51.1-168 addresses §§ 415(b) and 415(d), not this.</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A point in the bill's favour that the package did not previously make.</w:t>
      </w:r>
      <w:r>
        <w:rPr>
          <w:b w:val="0"/>
          <w:i w:val="0"/>
          <w:strike w:val="0"/>
        </w:rPr>
        <w:t xml:space="preserve"> Clause </w:t>
      </w:r>
      <w:r>
        <w:rPr>
          <w:b/>
          <w:i w:val="0"/>
          <w:strike w:val="0"/>
        </w:rPr>
        <w:t>(iii)</w:t>
      </w:r>
      <w:r>
        <w:rPr>
          <w:b w:val="0"/>
          <w:i w:val="0"/>
          <w:strike w:val="0"/>
        </w:rPr>
        <w:t xml:space="preserve"> of § 415(n)(3)(A) — that the participant "may receive [the credit] only by making a voluntary additional contribution … which does not exceed the amount necessary to fund the benefit attributable to such service credit" — </w:t>
      </w:r>
      <w:r>
        <w:rPr>
          <w:b/>
          <w:i w:val="0"/>
          <w:strike w:val="0"/>
        </w:rPr>
        <w:t>is</w:t>
      </w:r>
      <w:r>
        <w:rPr>
          <w:b w:val="0"/>
          <w:i w:val="0"/>
          <w:strike w:val="0"/>
        </w:rPr>
        <w:t xml:space="preserve"> satisfied, and the fiscal model proves it: a contribution recovering 11%–78% of the value conferred plainly does not exceed the amount necessary to fund the benefit. It is clause (i) that very likely fails.</w:t>
      </w:r>
    </w:p>
    <w:p>
      <w:r>
        <w:rPr>
          <w:b/>
          <w:i w:val="0"/>
          <w:strike w:val="0"/>
        </w:rPr>
        <w:t>Downgraded, with one qualification.</w:t>
      </w:r>
      <w:r>
        <w:rPr>
          <w:b w:val="0"/>
          <w:i w:val="0"/>
          <w:strike w:val="0"/>
        </w:rPr>
        <w:t xml:space="preserve"> § 401(a) definitely-determinable benefits: the benefit </w:t>
      </w:r>
      <w:r>
        <w:rPr>
          <w:b w:val="0"/>
          <w:i/>
          <w:strike w:val="0"/>
        </w:rPr>
        <w:t>amount</w:t>
      </w:r>
      <w:r>
        <w:rPr>
          <w:b w:val="0"/>
          <w:i w:val="0"/>
          <w:strike w:val="0"/>
        </w:rPr>
        <w:t xml:space="preserve"> is untouched, and the governmental-plan exemptions in IRC §§ 401(a)(5)(G) and 401(a)(26)(G) take § 401(a)(4) and § 401(a)(26) off the table. </w:t>
      </w:r>
      <w:r>
        <w:rPr>
          <w:b/>
          <w:i w:val="0"/>
          <w:strike w:val="0"/>
        </w:rPr>
        <w:t>The qualification</w:t>
      </w:r>
      <w:r>
        <w:rPr>
          <w:b w:val="0"/>
          <w:i w:val="0"/>
          <w:strike w:val="0"/>
        </w:rPr>
        <w:t xml:space="preserve"> is that this downgrade previously rested on the premise that "the eligibility condition is objective and fixed in statute," and version 1.3's subdivision C 2 d was not — it made the maximum purchasable amount turn on the Board's projection of future service. </w:t>
      </w:r>
      <w:r>
        <w:rPr>
          <w:b/>
          <w:i w:val="0"/>
          <w:strike w:val="0"/>
        </w:rPr>
        <w:t>Version 1.4 restores the premise</w:t>
      </w:r>
      <w:r>
        <w:rPr>
          <w:b w:val="0"/>
          <w:i w:val="0"/>
          <w:strike w:val="0"/>
        </w:rPr>
        <w:t xml:space="preserve"> by replacing "projected to perform" with a continuous-service convention, but whether that cures the point is question 4 in Part 6.3 rather than something this memorandum should assume.</w:t>
      </w:r>
    </w:p>
    <w:p>
      <w:r>
        <w:rPr>
          <w:b/>
          <w:i w:val="0"/>
          <w:strike w:val="0"/>
        </w:rPr>
        <w:t>The engagement itself is Part 6.3</w:t>
      </w:r>
      <w:r>
        <w:rPr>
          <w:b w:val="0"/>
          <w:i w:val="0"/>
          <w:strike w:val="0"/>
        </w:rPr>
        <w:t>, which states the four questions to put to tax counsel. This Part diagnoses; Part 6.3 is what gets sent.</w:t>
      </w:r>
    </w:p>
    <w:p>
      <w:r>
        <w:rPr>
          <w:b/>
          <w:i w:val="0"/>
          <w:strike w:val="0"/>
        </w:rPr>
        <w:t>Added: 10 U.S.C. § 12736 is the operative federal provision, and this package previously cited only the chapter.</w:t>
      </w:r>
      <w:r>
        <w:rPr>
          <w:b w:val="0"/>
          <w:i w:val="0"/>
          <w:strike w:val="0"/>
        </w:rPr>
        <w:t xml:space="preserve"> </w:t>
      </w:r>
      <w:r>
        <w:rPr>
          <w:b/>
          <w:i w:val="0"/>
          <w:strike w:val="0"/>
        </w:rPr>
        <w:t>Corrected October 20, 2026 after independent counsel review — the earlier quotation of this section was wrong, and the words it omitted are the dispositive ones.</w:t>
      </w:r>
      <w:r>
        <w:rPr>
          <w:b w:val="0"/>
          <w:i w:val="0"/>
          <w:strike w:val="0"/>
        </w:rPr>
        <w:t xml:space="preserve"> Versions 1.0 through 1.3 quoted § 12736 as barring exclusion "in determining his </w:t>
      </w:r>
      <w:r>
        <w:rPr>
          <w:b/>
          <w:i w:val="0"/>
          <w:strike w:val="0"/>
        </w:rPr>
        <w:t>eligibility</w:t>
      </w:r>
      <w:r>
        <w:rPr>
          <w:b w:val="0"/>
          <w:i w:val="0"/>
          <w:strike w:val="0"/>
        </w:rPr>
        <w:t xml:space="preserve"> for any annuity, pension, or old-age benefit, under any other provision of law, </w:t>
      </w:r>
      <w:r>
        <w:rPr>
          <w:b/>
          <w:i w:val="0"/>
          <w:strike w:val="0"/>
        </w:rPr>
        <w:t>State or Federal</w:t>
      </w:r>
      <w:r>
        <w:rPr>
          <w:b w:val="0"/>
          <w:i w:val="0"/>
          <w:strike w:val="0"/>
        </w:rPr>
        <w:t xml:space="preserve">." </w:t>
      </w:r>
      <w:r>
        <w:rPr>
          <w:b/>
          <w:i w:val="0"/>
          <w:strike w:val="0"/>
        </w:rPr>
        <w:t>Those words are not in the statute.</w:t>
      </w:r>
      <w:r>
        <w:rPr>
          <w:b w:val="0"/>
          <w:i w:val="0"/>
          <w:strike w:val="0"/>
        </w:rPr>
        <w:t xml:space="preserve"> The actual text, read in primary federal text on October 20, 2026, is:</w:t>
      </w:r>
    </w:p>
    <w:p>
      <w:pPr>
        <w:spacing w:after="80"/>
        <w:ind w:left="480"/>
      </w:pPr>
      <w:r>
        <w:rPr>
          <w:b w:val="0"/>
          <w:i w:val="0"/>
          <w:strike w:val="0"/>
          <w:sz w:val="20"/>
        </w:rPr>
        <w:t xml:space="preserve">"No period of service included wholly or partly in determining a person's right to, or the amount of, retired pay under this chapter may be excluded in determining his eligibility for any annuity, pension, or old-age benefit, </w:t>
      </w:r>
      <w:r>
        <w:rPr>
          <w:b/>
          <w:i w:val="0"/>
          <w:strike w:val="0"/>
          <w:sz w:val="20"/>
        </w:rPr>
        <w:t>under any other law, on account of civilian employment by the United States or otherwise</w:t>
      </w:r>
      <w:r>
        <w:rPr>
          <w:b w:val="0"/>
          <w:i w:val="0"/>
          <w:strike w:val="0"/>
          <w:sz w:val="20"/>
        </w:rPr>
        <w:t xml:space="preserve">, or in determining the amount payable under that law, </w:t>
      </w:r>
      <w:r>
        <w:rPr>
          <w:b/>
          <w:i w:val="0"/>
          <w:strike w:val="0"/>
          <w:sz w:val="20"/>
        </w:rPr>
        <w:t>if that service is otherwise properly credited under it</w:t>
      </w:r>
      <w:r>
        <w:rPr>
          <w:b w:val="0"/>
          <w:i w:val="0"/>
          <w:strike w:val="0"/>
          <w:sz w:val="20"/>
        </w:rPr>
        <w:t>."</w:t>
      </w:r>
    </w:p>
    <w:p>
      <w:r>
        <w:rPr>
          <w:b w:val="0"/>
          <w:i w:val="0"/>
          <w:strike w:val="0"/>
        </w:rPr>
        <w:t xml:space="preserve">Two defects in the earlier treatment. The quotation </w:t>
      </w:r>
      <w:r>
        <w:rPr>
          <w:b/>
          <w:i w:val="0"/>
          <w:strike w:val="0"/>
        </w:rPr>
        <w:t>inserted an express reference to State law</w:t>
      </w:r>
      <w:r>
        <w:rPr>
          <w:b w:val="0"/>
          <w:i w:val="0"/>
          <w:strike w:val="0"/>
        </w:rPr>
        <w:t xml:space="preserve"> that the federal text does not contain — and those inserted words were precisely what made the preemption worry look sharp; the real text reaches state benefits only through the general words "or otherwise," a materially weaker footing. And it </w:t>
      </w:r>
      <w:r>
        <w:rPr>
          <w:b/>
          <w:i w:val="0"/>
          <w:strike w:val="0"/>
        </w:rPr>
        <w:t>omitted the closing proviso entirely</w:t>
      </w:r>
      <w:r>
        <w:rPr>
          <w:b w:val="0"/>
          <w:i w:val="0"/>
          <w:strike w:val="0"/>
        </w:rPr>
        <w:t>, which is the clause that answers the question.</w:t>
      </w:r>
    </w:p>
    <w:p>
      <w:r>
        <w:rPr>
          <w:b/>
          <w:i w:val="0"/>
          <w:strike w:val="0"/>
        </w:rPr>
        <w:t>The answer.</w:t>
      </w:r>
      <w:r>
        <w:rPr>
          <w:b w:val="0"/>
          <w:i w:val="0"/>
          <w:strike w:val="0"/>
        </w:rPr>
        <w:t xml:space="preserve"> § 12736 is an </w:t>
      </w:r>
      <w:r>
        <w:rPr>
          <w:b/>
          <w:i w:val="0"/>
          <w:strike w:val="0"/>
        </w:rPr>
        <w:t>anti-exclusion rule, not a crediting mandate.</w:t>
      </w:r>
      <w:r>
        <w:rPr>
          <w:b w:val="0"/>
          <w:i w:val="0"/>
          <w:strike w:val="0"/>
        </w:rPr>
        <w:t xml:space="preserve"> It forbids a benefit scheme from carving out chapter 1223 service that the scheme </w:t>
      </w:r>
      <w:r>
        <w:rPr>
          <w:b w:val="0"/>
          <w:i/>
          <w:strike w:val="0"/>
        </w:rPr>
        <w:t>otherwise properly credits</w:t>
      </w:r>
      <w:r>
        <w:rPr>
          <w:b w:val="0"/>
          <w:i w:val="0"/>
          <w:strike w:val="0"/>
        </w:rPr>
        <w:t xml:space="preserve">. Virginia does not "otherwise properly credit" unpurchased prior active duty service for § 51.1-153 B 2 or B 3 eligibility: such service enters the Code only through the </w:t>
      </w:r>
      <w:r>
        <w:rPr>
          <w:b/>
          <w:i w:val="0"/>
          <w:strike w:val="0"/>
        </w:rPr>
        <w:t>purchase</w:t>
      </w:r>
      <w:r>
        <w:rPr>
          <w:b w:val="0"/>
          <w:i w:val="0"/>
          <w:strike w:val="0"/>
        </w:rPr>
        <w:t xml:space="preserve"> right in § 51.1-142.2 B 2 and, under this bill, § 51.1-142.4. There is accordingly nothing for § 12736 to operate on, and the argument this memorandum previously feared — that chapter 1223 service must count toward § 51.1-153 B 2 and B 3 eligibility </w:t>
      </w:r>
      <w:r>
        <w:rPr>
          <w:b/>
          <w:i w:val="0"/>
          <w:strike w:val="0"/>
        </w:rPr>
        <w:t>at no cost</w:t>
      </w:r>
      <w:r>
        <w:rPr>
          <w:b w:val="0"/>
          <w:i w:val="0"/>
          <w:strike w:val="0"/>
        </w:rPr>
        <w:t xml:space="preserve"> — is defeated by the words the earlier quotation left out. Subdivision H 5's savings clause ("Except as otherwise required by Chapter 1223 of Title 10 of the United States Code") in any event yields to whatever § 12736 does require. </w:t>
      </w:r>
      <w:r>
        <w:rPr>
          <w:b/>
          <w:i w:val="0"/>
          <w:strike w:val="0"/>
        </w:rPr>
        <w:t>§ 12736 does not preempt any part of this bill as drafted.</w:t>
      </w:r>
    </w:p>
    <w:p>
      <w:r>
        <w:rPr>
          <w:b/>
          <w:i w:val="0"/>
          <w:strike w:val="0"/>
        </w:rPr>
        <w:t>The narrow residual question for counsel</w:t>
      </w:r>
      <w:r>
        <w:rPr>
          <w:b w:val="0"/>
          <w:i w:val="0"/>
          <w:strike w:val="0"/>
        </w:rPr>
        <w:t xml:space="preserve"> is not the one stated above: it is that subdivision H 5 carries the savings clause while the subsection B eligibility screen and subdivision C 2 c do not. Federal law protects qualifying service associated with non-regular Reserve-component retired pay under chapter 1223; it does </w:t>
      </w:r>
      <w:r>
        <w:rPr>
          <w:b/>
          <w:i w:val="0"/>
          <w:strike w:val="0"/>
        </w:rPr>
        <w:t>not</w:t>
      </w:r>
      <w:r>
        <w:rPr>
          <w:b w:val="0"/>
          <w:i w:val="0"/>
          <w:strike w:val="0"/>
        </w:rPr>
        <w:t xml:space="preserve"> follow that all Reserve and National Guard service is protected, and no document in this package should say so. </w:t>
      </w:r>
      <w:r>
        <w:rPr>
          <w:b/>
          <w:i w:val="0"/>
          <w:strike w:val="0"/>
        </w:rPr>
        <w:t>Do not leave this stated as "subject to counsel confirmation" without also stating the proviso</w:t>
      </w:r>
      <w:r>
        <w:rPr>
          <w:b w:val="0"/>
          <w:i w:val="0"/>
          <w:strike w:val="0"/>
        </w:rPr>
        <w:t xml:space="preserve"> — the proviso is the answer, and a reader who finds it will conclude the package did not read the section.</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was the reason the drafted effective date was </w:t>
      </w:r>
      <w:r>
        <w:rPr>
          <w:b/>
          <w:i w:val="0"/>
          <w:strike w:val="0"/>
        </w:rPr>
        <w:t>July 1, 2028</w:t>
      </w:r>
      <w:r>
        <w:rPr>
          <w:b w:val="0"/>
          <w:i w:val="0"/>
          <w:strike w:val="0"/>
        </w:rPr>
        <w:t xml:space="preserve"> rather than July 1, 2027. </w:t>
      </w:r>
      <w:r>
        <w:rPr>
          <w:b/>
          <w:i w:val="0"/>
          <w:strike w:val="0"/>
        </w:rPr>
        <w:t>Version 1.4 moves it to July 1, 2029</w:t>
      </w:r>
      <w:r>
        <w:rPr>
          <w:b w:val="0"/>
          <w:i w:val="0"/>
          <w:strike w:val="0"/>
        </w:rPr>
        <w:t xml:space="preserve"> under DECISION 14, which resolves the § 51.1-155 sunset collision (counsel review finding M-05) and, as a by-product, converts a nominal four-month lead time on a 2028-session bill into a full year. VRS should state the lead time it actually needs, and whether a year is sufficient.</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 and its repair in version 1.2.</w:t>
      </w:r>
      <w:r>
        <w:rPr>
          <w:b w:val="0"/>
          <w:i w:val="0"/>
          <w:strike w:val="0"/>
        </w:rPr>
        <w:t xml:space="preserve"> Version 1.0 stated flatly that hazardous-duty members are excluded. That was wrong for the largest group of them: public-safety employees in § 51.1-153 B 4 resolution localities were </w:t>
      </w:r>
      <w:r>
        <w:rPr>
          <w:b/>
          <w:i w:val="0"/>
          <w:strike w:val="0"/>
        </w:rPr>
        <w:t>inside</w:t>
      </w:r>
      <w:r>
        <w:rPr>
          <w:b w:val="0"/>
          <w:i w:val="0"/>
          <w:strike w:val="0"/>
        </w:rPr>
        <w:t xml:space="preserve"> the bill, permanently, including employees hired this year — see the Part 4 row and DECISION 10. On version 1.1 the operative line was therefore not "veterans vs. non-veterans" but </w:t>
      </w:r>
      <w:r>
        <w:rPr>
          <w:b/>
          <w:i w:val="0"/>
          <w:strike w:val="0"/>
        </w:rPr>
        <w:t>"public-safety employees in resolution localities vs. everyone hired since January 1, 2014,"</w:t>
      </w:r>
      <w:r>
        <w:rPr>
          <w:b w:val="0"/>
          <w:i w:val="0"/>
          <w:strike w:val="0"/>
        </w:rPr>
        <w:t xml:space="preserve"> a distinction with nothing to do with military service and considerably harder to defend.</w:t>
      </w:r>
    </w:p>
    <w:p>
      <w:r>
        <w:rPr>
          <w:b/>
          <w:i w:val="0"/>
          <w:strike w:val="0"/>
        </w:rPr>
        <w:t>Version 1.2 fixes it, and the equal-treatment answer above is now deployable.</w:t>
      </w:r>
      <w:r>
        <w:rPr>
          <w:b w:val="0"/>
          <w:i w:val="0"/>
          <w:strike w:val="0"/>
        </w:rPr>
        <w:t xml:space="preserve"> Clause B 1(iv) excludes those qualifying B 4-resolution employees who first entered the VRS-administered retirement system on or after the January 1, 2014 Hybrid transition, so the bill's boundary now tracks the </w:t>
      </w:r>
      <w:r>
        <w:rPr>
          <w:b/>
          <w:i w:val="0"/>
          <w:strike w:val="0"/>
        </w:rPr>
        <w:t>§ 51.1-169 A hybrid-program membership line that already applies to every other entrant on or after that date</w:t>
      </w:r>
      <w:r>
        <w:rPr>
          <w:b w:val="0"/>
          <w:i w:val="0"/>
          <w:strike w:val="0"/>
        </w:rPr>
        <w:t xml:space="preserve"> rather than carving out an occupation. The remaining eligible class — members whose first membership predates January 1, 2014 — is defined by hire date and plan structure, not by occupation, and it is substantially closing (see Part 5.5, as revised). Two residual points to hold in reserve rather than volunteer: pre-2014 B 4-resolution public-safety employees do retain access through the B 2 pathway, which is the most generous in the bill, and they are expected to pay the hazardous-duty approximate normal cost rate (23.78% Plan 1 / 19.15% Plan 2) rather than the 12.50% / 10.74% ordinary non-hazardous rate, which is a fair answer on price if the point is raised — </w:t>
      </w:r>
      <w:r>
        <w:rPr>
          <w:b/>
          <w:i w:val="0"/>
          <w:strike w:val="0"/>
        </w:rPr>
        <w:t>though the applicable rate for this class requires VRS confirmation</w:t>
      </w:r>
      <w:r>
        <w:rPr>
          <w:b w:val="0"/>
          <w:i w:val="0"/>
          <w:strike w:val="0"/>
        </w:rPr>
        <w:t>. The answer to (iii) is correspondingly restored: the beneficiary class is defined by military service within a closed pre-2014 membership cohort, not by occupation.</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 the ordinary non-hazardous rates —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on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B 1(i) and J implement it. </w:t>
            </w:r>
            <w:r>
              <w:rPr>
                <w:b/>
                <w:i w:val="0"/>
                <w:strike w:val="0"/>
              </w:rPr>
              <w:t>Version 1.2:</w:t>
            </w:r>
            <w:r>
              <w:rPr>
                <w:b w:val="0"/>
                <w:i w:val="0"/>
                <w:strike w:val="0"/>
              </w:rPr>
              <w:t xml:space="preserve"> with clause B 1(iv) added under DECISION 10, the exclusion now </w:t>
            </w:r>
            <w:r>
              <w:rPr>
                <w:b w:val="0"/>
                <w:i/>
                <w:strike w:val="0"/>
              </w:rPr>
              <w:t>does</w:t>
            </w:r>
            <w:r>
              <w:rPr>
                <w:b w:val="0"/>
                <w:i w:val="0"/>
                <w:strike w:val="0"/>
              </w:rPr>
              <w:t xml:space="preserve"> produce a uniformly closing cohort — the earlier caveat is spent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 xml:space="preserve">6.1 The three blocking items — </w:t>
      </w:r>
      <w:r>
        <w:rPr>
          <w:b/>
          <w:i w:val="0"/>
          <w:strike w:val="0"/>
        </w:rPr>
        <w:t>resolved on October 20, 2026</w:t>
      </w:r>
      <w:r>
        <w:rPr>
          <w:b w:val="0"/>
          <w:i w:val="0"/>
          <w:strike w:val="0"/>
        </w:rPr>
        <w:t xml:space="preserve"> and implemented in version 1.2</w:t>
      </w:r>
    </w:p>
    <w:p>
      <w:pPr>
        <w:pStyle w:val="ListBullet"/>
      </w:pPr>
      <w:r>
        <w:rPr>
          <w:b/>
          <w:i w:val="0"/>
          <w:strike w:val="0"/>
        </w:rPr>
        <w:t>DECISION 8 — Deferred-member acceleration (supersedes DECISION 5). RESOLVED: "Require member-in-service status at retirement, not only at purchase."</w:t>
      </w:r>
      <w:r>
        <w:rPr>
          <w:b w:val="0"/>
          <w:i w:val="0"/>
          <w:strike w:val="0"/>
        </w:rPr>
        <w:t xml:space="preserve"> The exposure: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Version 1.1's § 51.1-142.4 B 1 required member-in-service status only on the purchase date. A member who bought four years at age 44 with 26 years of service, resigned, and deferred could take an </w:t>
      </w:r>
      <w:r>
        <w:rPr>
          <w:b/>
          <w:i w:val="0"/>
          <w:strike w:val="0"/>
        </w:rPr>
        <w:t>unreduced</w:t>
      </w:r>
      <w:r>
        <w:rPr>
          <w:b w:val="0"/>
          <w:i w:val="0"/>
          <w:strike w:val="0"/>
        </w:rPr>
        <w:t xml:space="preserve"> allowance at age 50 that she could otherwise obtain only at 65, since with frozen service the clause (ii) date in § 51.1-155 A 2 never arrives — roughly </w:t>
      </w:r>
      <w:r>
        <w:rPr>
          <w:b/>
          <w:i w:val="0"/>
          <w:strike w:val="0"/>
        </w:rPr>
        <w:t>15 years of acceleration for about $35,000</w:t>
      </w:r>
      <w:r>
        <w:rPr>
          <w:b w:val="0"/>
          <w:i w:val="0"/>
          <w:strike w:val="0"/>
        </w:rPr>
        <w:t>, an order of magnitude beyond the four-year illustration in Part 5.1.</w:t>
      </w:r>
    </w:p>
    <w:p>
      <w:r>
        <w:rPr>
          <w:b/>
          <w:i w:val="0"/>
          <w:strike w:val="0"/>
        </w:rPr>
        <w:t>How version 1.2 implements it.</w:t>
      </w:r>
      <w:r>
        <w:rPr>
          <w:b w:val="0"/>
          <w:i w:val="0"/>
          <w:strike w:val="0"/>
        </w:rPr>
        <w:t xml:space="preserve"> New § 51.1-142.4 E 3 conditions the </w:t>
      </w:r>
      <w:r>
        <w:rPr>
          <w:b w:val="0"/>
          <w:i/>
          <w:strike w:val="0"/>
        </w:rPr>
        <w:t>authorized effect</w:t>
      </w:r>
      <w:r>
        <w:rPr>
          <w:b w:val="0"/>
          <w:i w:val="0"/>
          <w:strike w:val="0"/>
        </w:rPr>
        <w:t xml:space="preserve"> of the credit — not the purchase — on the member retiring </w:t>
      </w:r>
      <w:r>
        <w:rPr>
          <w:b/>
          <w:i w:val="0"/>
          <w:strike w:val="0"/>
        </w:rPr>
        <w:t>directly from service</w:t>
      </w:r>
      <w:r>
        <w:rPr>
          <w:b w:val="0"/>
          <w:i w:val="0"/>
          <w:strike w:val="0"/>
        </w:rPr>
        <w:t xml:space="preserve">, which version 1.3 defines as having been a member in service on her </w:t>
      </w:r>
      <w:r>
        <w:rPr>
          <w:b/>
          <w:i w:val="0"/>
          <w:strike w:val="0"/>
        </w:rPr>
        <w:t>last day of service</w:t>
      </w:r>
      <w:r>
        <w:rPr>
          <w:b w:val="0"/>
          <w:i w:val="0"/>
          <w:strike w:val="0"/>
        </w:rPr>
        <w:t xml:space="preserve"> preceding the effective date of retirement and not having terminated service at any time after the credit was granted, and a new conforming amendment to § 51.1-153 C carries the same carve-out. </w:t>
      </w:r>
      <w:r>
        <w:rPr>
          <w:b/>
          <w:i w:val="0"/>
          <w:strike w:val="0"/>
        </w:rPr>
        <w:t>Both were necessary.</w:t>
      </w:r>
      <w:r>
        <w:rPr>
          <w:b w:val="0"/>
          <w:i w:val="0"/>
          <w:strike w:val="0"/>
        </w:rPr>
        <w:t xml:space="preserve"> The second sentence of § 51.1-153 C is a general waiver of "any requirements as to the member being in service," and it opens up the very subdivisions this bill operates on, so a condition stated only in § 51.1-142.4 would have been waived by the provision it was written to reach. Placing the condition on effect rather than on purchase also means a member who buys in good faith and is later separated does not simply lose her money: new subdivisions K 1 c, K 1 d and K 1 e refund it with interest, on application for deferred retirement or on written request, and subdivision I 2(vii) requires that this be disclosed in writing before purchase. </w:t>
      </w:r>
      <w:r>
        <w:rPr>
          <w:b/>
          <w:i w:val="0"/>
          <w:strike w:val="0"/>
        </w:rPr>
        <w:t>Residual.</w:t>
      </w:r>
      <w:r>
        <w:rPr>
          <w:b w:val="0"/>
          <w:i w:val="0"/>
          <w:strike w:val="0"/>
        </w:rPr>
        <w:t xml:space="preserve"> Part 1.2's corrected acceleration arithmetic still stands and is now the </w:t>
      </w:r>
      <w:r>
        <w:rPr>
          <w:b w:val="0"/>
          <w:i/>
          <w:strike w:val="0"/>
        </w:rPr>
        <w:t>only</w:t>
      </w:r>
      <w:r>
        <w:rPr>
          <w:b w:val="0"/>
          <w:i w:val="0"/>
          <w:strike w:val="0"/>
        </w:rPr>
        <w:t xml:space="preserve"> live version: four bridge points accelerate B 3 by about two years for a member who stays, because age and service each advance. The four-year deferred figure is no longer reachable. One sub-question is </w:t>
      </w:r>
      <w:r>
        <w:rPr>
          <w:b/>
          <w:i w:val="0"/>
          <w:strike w:val="0"/>
        </w:rPr>
        <w:t>flagged but not drafted</w:t>
      </w:r>
      <w:r>
        <w:rPr>
          <w:b w:val="0"/>
          <w:i w:val="0"/>
          <w:strike w:val="0"/>
        </w:rPr>
        <w:t xml:space="preserve"> — whether a member on approved leave or receiving long-term disability benefits at the moment of retirement should be deemed in service for E 3 purposes. Drafting note 10 states the options; the Council has not been asked. </w:t>
      </w:r>
      <w:r>
        <w:rPr>
          <w:b w:val="0"/>
          <w:i/>
          <w:strike w:val="0"/>
        </w:rPr>
        <w:t>Owner: JLCVSO, if it wants the softening.</w:t>
      </w:r>
    </w:p>
    <w:p>
      <w:pPr>
        <w:pStyle w:val="ListBullet"/>
      </w:pPr>
      <w:r>
        <w:rPr>
          <w:b/>
          <w:i w:val="0"/>
          <w:strike w:val="0"/>
        </w:rPr>
        <w:t>DECISION 9 — Health insurance credit and COLA commencement. RESOLVED: "Accept and price both; disclose them in the briefs and to the money committees."</w:t>
      </w:r>
      <w:r>
        <w:rPr>
          <w:b w:val="0"/>
          <w:i w:val="0"/>
          <w:strike w:val="0"/>
        </w:rPr>
        <w:t xml:space="preserve"> </w:t>
      </w:r>
      <w:r>
        <w:rPr>
          <w:b/>
          <w:i w:val="0"/>
          <w:strike w:val="0"/>
        </w:rPr>
        <w:t>HIC and COLA follow the retirement date rather than creditable service or the unreduced-eligibility date, so preventing earlier commencement would require separate statutory changes outside the bridge</w:t>
      </w:r>
      <w:r>
        <w:rPr>
          <w:b w:val="0"/>
          <w:i w:val="0"/>
          <w:strike w:val="0"/>
        </w:rPr>
        <w:t xml:space="preserve"> — to Chapter 14 and to § 51.1-166. The resolution rejected the two alternatives for stated reasons worth preserving: amending Chapter 14 and § 51.1-166 to delay commencement for bridge retirees would create a second class of retiree and would single out veterans for worse ancillary treatment than other early retirees, and raising the price above approximate normal cost would abandon the proposal's central pricing premise.</w:t>
      </w:r>
    </w:p>
    <w:p>
      <w:r>
        <w:rPr>
          <w:b/>
          <w:i w:val="0"/>
          <w:strike w:val="0"/>
        </w:rPr>
        <w:t>How version 1.2 implements it.</w:t>
      </w:r>
      <w:r>
        <w:rPr>
          <w:b w:val="0"/>
          <w:i w:val="0"/>
          <w:strike w:val="0"/>
        </w:rPr>
        <w:t xml:space="preserve"> No exclusion is attempted: the proposal </w:t>
      </w:r>
      <w:r>
        <w:rPr>
          <w:b/>
          <w:i w:val="0"/>
          <w:strike w:val="0"/>
        </w:rPr>
        <w:t>deliberately accepts and discloses the earlier commencement rather than adding separate delay provisions</w:t>
      </w:r>
      <w:r>
        <w:rPr>
          <w:b w:val="0"/>
          <w:i w:val="0"/>
          <w:strike w:val="0"/>
        </w:rPr>
        <w:t xml:space="preserve">. Instead a savings paragraph at the end of § 51.1-142.4 F states affirmatively that nothing in subdivisions F 7 or F 8, or in the § 51.1-166 amendment, delays commencement or shortens duration — so the acceptance is deliberate on the face of the bill rather than an ambiguity for a later Board interpretation to resolve. </w:t>
      </w:r>
      <w:r>
        <w:rPr>
          <w:b/>
          <w:i w:val="0"/>
          <w:strike w:val="0"/>
        </w:rPr>
        <w:t>Magnitude as modeled (MOO-259):</w:t>
      </w:r>
      <w:r>
        <w:rPr>
          <w:b w:val="0"/>
          <w:i w:val="0"/>
          <w:strike w:val="0"/>
        </w:rPr>
        <w:t xml:space="preserve"> health insurance credit exposure roughly </w:t>
      </w:r>
      <w:r>
        <w:rPr>
          <w:b/>
          <w:i w:val="0"/>
          <w:strike w:val="0"/>
        </w:rPr>
        <w:t>$5,300 per state retiree</w:t>
      </w:r>
      <w:r>
        <w:rPr>
          <w:b w:val="0"/>
          <w:i w:val="0"/>
          <w:strike w:val="0"/>
        </w:rPr>
        <w:t xml:space="preserve"> with 26 years of service, on a separately funded trust; COLA exposure not separately quantified. Neither sits inside the 0.19 bp contribution-rate figure in Part 5.1 — that figure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 because both run on trusts outside the retirement allowance funds. Clause 3(vi) of the enactment requires the Board to report both, stated separately by trust, and both briefs now carry the disclosure. </w:t>
      </w:r>
      <w:r>
        <w:rPr>
          <w:b/>
          <w:i w:val="0"/>
          <w:strike w:val="0"/>
        </w:rPr>
        <w:t>This is a disclosed cost of the bill, not a defect in it — but it must be disclosed before a committee finds it.</w:t>
      </w:r>
    </w:p>
    <w:p>
      <w:pPr>
        <w:pStyle w:val="ListBullet"/>
      </w:pPr>
      <w:r>
        <w:rPr>
          <w:b/>
          <w:i w:val="0"/>
          <w:strike w:val="0"/>
        </w:rPr>
        <w:t>DECISION 10 — § 51.1-153 B 4 public-safety scope. RESOLVED, and narrower than the policy-development team recommended.</w:t>
      </w:r>
      <w:r>
        <w:rPr>
          <w:b w:val="0"/>
          <w:i w:val="0"/>
          <w:strike w:val="0"/>
        </w:rPr>
        <w:t xml:space="preserve"> The answer resolved on October 20, 2026, verbatim:</w:t>
      </w:r>
    </w:p>
    <w:p>
      <w:pPr>
        <w:spacing w:after="80"/>
        <w:ind w:left="480"/>
      </w:pPr>
      <w:r>
        <w:rPr>
          <w:b w:val="0"/>
          <w:i w:val="0"/>
          <w:strike w:val="0"/>
          <w:sz w:val="20"/>
        </w:rPr>
        <w:t>"No person whose first membership in the Virginia Retirement System commenced on or after January 1, 2014, and whose exclusion from the hybrid retirement program results from a resolution adopted pursuant to subdivision B 4 of § 51.1-153, shall be eligible for Military Retirement Bridge Credit."</w:t>
      </w:r>
    </w:p>
    <w:p>
      <w:r>
        <w:rPr>
          <w:b w:val="0"/>
          <w:i w:val="0"/>
          <w:strike w:val="0"/>
        </w:rPr>
        <w:t xml:space="preserve">The policy-development team had recommended excluding the whole B 4-resolution class. </w:t>
      </w:r>
      <w:r>
        <w:rPr>
          <w:b/>
          <w:i w:val="0"/>
          <w:strike w:val="0"/>
        </w:rPr>
        <w:t>The resolved line is the better-targeted fix and is adopted without reservation.</w:t>
      </w:r>
      <w:r>
        <w:rPr>
          <w:b w:val="0"/>
          <w:i w:val="0"/>
          <w:strike w:val="0"/>
        </w:rPr>
        <w:t xml:space="preserve"> The defect was never that B 4 public-safety employees benefit; it was that the class was </w:t>
      </w:r>
      <w:r>
        <w:rPr>
          <w:b w:val="0"/>
          <w:i/>
          <w:strike w:val="0"/>
        </w:rPr>
        <w:t>permanent and growing</w:t>
      </w:r>
      <w:r>
        <w:rPr>
          <w:b w:val="0"/>
          <w:i w:val="0"/>
          <w:strike w:val="0"/>
        </w:rPr>
        <w:t xml:space="preserve">, because § 51.1-169 A's third sentence makes B 4-resolution employees hybrid-ineligible in every hire year, so clause B 1(i) never caught them. Excluding only those who first entered the VRS-administered retirement system on or after January 1, 2014 removes exactly that growth while preserving the bridge for pre-2014 public-safety veterans, who are Plan 1 / Plan 2-era employees squarely within the class this bill is for. The result is that the beneficiary class is now </w:t>
      </w:r>
      <w:r>
        <w:rPr>
          <w:b/>
          <w:i w:val="0"/>
          <w:strike w:val="0"/>
        </w:rPr>
        <w:t>substantially closing (see Part 5.5, as revised) across the entire bill</w:t>
      </w:r>
      <w:r>
        <w:rPr>
          <w:b w:val="0"/>
          <w:i w:val="0"/>
          <w:strike w:val="0"/>
        </w:rPr>
        <w:t xml:space="preserve"> — the single most useful fact for the money committees, and one the narrower resolved line secures just as completely as a blanket exclusion would have. </w:t>
      </w:r>
      <w:r>
        <w:rPr>
          <w:b/>
          <w:i w:val="0"/>
          <w:strike w:val="0"/>
        </w:rPr>
        <w:t>How version 1.2 implements it.</w:t>
      </w:r>
      <w:r>
        <w:rPr>
          <w:b w:val="0"/>
          <w:i w:val="0"/>
          <w:strike w:val="0"/>
        </w:rPr>
        <w:t xml:space="preserve"> New clause B 1(iv) and a cross-reference in subsection J. </w:t>
      </w:r>
      <w:r>
        <w:rPr>
          <w:b/>
          <w:i w:val="0"/>
          <w:strike w:val="0"/>
        </w:rPr>
        <w:t>The wording was conformed to the statute and the substance was not changed:</w:t>
      </w:r>
      <w:r>
        <w:rPr>
          <w:b w:val="0"/>
          <w:i w:val="0"/>
          <w:strike w:val="0"/>
        </w:rPr>
        <w:t xml:space="preserve"> Title 51.1 does not use "first membership … commenced," and expresses the concept as not having been "a member of a retirement plan administered by the Virginia Retirement System the first time he is hired or rehired on or after January 1, 2014, in a covered position" (§ 51.1-169 A, fourth sentence); the operative defined term is "military retirement eligibility credit," not "Military Retirement Bridge Credit," which is the bill's short title. The resolved text is recorded verbatim above so the decision and the drafting are separately auditable. </w:t>
      </w:r>
      <w:r>
        <w:rPr>
          <w:b/>
          <w:i w:val="0"/>
          <w:strike w:val="0"/>
        </w:rPr>
        <w:t>Two consequences.</w:t>
      </w:r>
      <w:r>
        <w:rPr>
          <w:b w:val="0"/>
          <w:i w:val="0"/>
          <w:strike w:val="0"/>
        </w:rPr>
        <w:t xml:space="preserve"> (i) The equal-treatment answer in Part 5.5 is now clean: the operative line tracks the § 51.1-169 A hybrid-program membership boundary that already applies to every other entrant on or after January 1, 2014, rather than drawing a distinction among veterans or singling out resolution localities. (ii) The </w:t>
      </w:r>
      <w:r>
        <w:rPr>
          <w:b/>
          <w:i w:val="0"/>
          <w:strike w:val="0"/>
        </w:rPr>
        <w:t>technical</w:t>
      </w:r>
      <w:r>
        <w:rPr>
          <w:b w:val="0"/>
          <w:i w:val="0"/>
          <w:strike w:val="0"/>
        </w:rPr>
        <w:t xml:space="preserve"> half of this finding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specifies that such a member is treated as a subdivision B 2 member and uses the C 1 a deficit formula. The approximate normal cost rate applicable to that class still needs VRS confirmation. </w:t>
      </w:r>
      <w:r>
        <w:rPr>
          <w:b w:val="0"/>
          <w:i/>
          <w:strike w:val="0"/>
        </w:rPr>
        <w:t>Owner: VRS.</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 now resolved.</w:t>
      </w:r>
      <w:r>
        <w:rPr>
          <w:b w:val="0"/>
          <w:i w:val="0"/>
          <w:strike w:val="0"/>
        </w:rPr>
        <w:t xml:space="preserve"> Version 1.0 proposed to let a deferred member keep purchased credit, and treated that as a member-favorable confirmation item. Internal adversarial review showed it was the bill's largest unpriced exposure, not a detail, and it was closed on October 20, 2026 by requiring member-in-service status at retirement.</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Version 1.2:</w:t>
      </w:r>
      <w:r>
        <w:rPr>
          <w:b w:val="0"/>
          <w:i w:val="0"/>
          <w:strike w:val="0"/>
        </w:rPr>
        <w:t xml:space="preserve"> the four-year deferred variant of this arithmetic is </w:t>
      </w:r>
      <w:r>
        <w:rPr>
          <w:b/>
          <w:i w:val="0"/>
          <w:strike w:val="0"/>
        </w:rPr>
        <w:t>no longer reachable</w:t>
      </w:r>
      <w:r>
        <w:rPr>
          <w:b w:val="0"/>
          <w:i w:val="0"/>
          <w:strike w:val="0"/>
        </w:rPr>
        <w:t xml:space="preserve"> — DECISION 8 requires in-service status at retirement, so the two-year figure is now the only live one for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 the most favorable single modeled profile, not a cost per veteran, and members who would otherwise have worked on to unreduced eligibility </w:t>
      </w:r>
      <w:r>
        <w:rPr>
          <w:b/>
          <w:i w:val="0"/>
          <w:strike w:val="0"/>
        </w:rPr>
        <w:t>overpay</w:t>
      </w:r>
      <w:r>
        <w:rPr>
          <w:b w:val="0"/>
          <w:i w:val="0"/>
          <w:strike w:val="0"/>
        </w:rPr>
        <w:t xml:space="preserve"> in every modeled work-to-eligibility scenario; employer rate impact </w:t>
      </w:r>
      <w:r>
        <w:rPr>
          <w:b/>
          <w:i w:val="0"/>
          <w:strike w:val="0"/>
        </w:rPr>
        <w:t>0.19 bp combined, being the modeled retirement-plan employer contribution impact and excluding separately funded HIC and COLA effects, including unquantified COLA exposure</w:t>
      </w:r>
      <w:r>
        <w:rPr>
          <w:b w:val="0"/>
          <w:i w:val="0"/>
          <w:strike w:val="0"/>
        </w:rPr>
        <w:t xml:space="preserve">.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policy-development team.</w:t>
      </w:r>
    </w:p>
    <w:p>
      <w:pPr>
        <w:pStyle w:val="ListBullet"/>
      </w:pPr>
      <w:r>
        <w:rPr>
          <w:b/>
          <w:i w:val="0"/>
          <w:strike w:val="0"/>
        </w:rPr>
        <w:t>COUNSEL 2 / 4</w:t>
      </w:r>
      <w:r>
        <w:rPr>
          <w:b w:val="0"/>
          <w:i w:val="0"/>
          <w:strike w:val="0"/>
        </w:rPr>
        <w:t xml:space="preserve"> — see Parts 5.2 and 5.4. </w:t>
      </w:r>
      <w:r>
        <w:rPr>
          <w:b/>
          <w:i w:val="0"/>
          <w:strike w:val="0"/>
        </w:rPr>
        <w:t>COUNSEL 3</w:t>
      </w:r>
      <w:r>
        <w:rPr>
          <w:b w:val="0"/>
          <w:i w:val="0"/>
          <w:strike w:val="0"/>
        </w:rPr>
        <w:t xml:space="preserve"> is now stated as an engagement deliverable at </w:t>
      </w:r>
      <w:r>
        <w:rPr>
          <w:b/>
          <w:i w:val="0"/>
          <w:strike w:val="0"/>
        </w:rPr>
        <w:t>Part 6.3</w:t>
      </w:r>
      <w:r>
        <w:rPr>
          <w:b w:val="0"/>
          <w:i w:val="0"/>
          <w:strike w:val="0"/>
        </w:rPr>
        <w:t>.</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w:t>
      </w:r>
      <w:r>
        <w:rPr>
          <w:b/>
          <w:i w:val="0"/>
          <w:strike w:val="0"/>
        </w:rPr>
        <w:t>July 1, 2029 is drafted</w:t>
      </w:r>
      <w:r>
        <w:rPr>
          <w:b w:val="0"/>
          <w:i w:val="0"/>
          <w:strike w:val="0"/>
        </w:rPr>
        <w:t xml:space="preserve"> as of version 1.4 (DECISION 14; see Part 6.3 and bill drafting note 13). VRS should confirm the implementation lead time it needs for separate accounting under § 51.1-142.4 I, and whether a year is enough.</w:t>
      </w:r>
    </w:p>
    <w:p>
      <w:pPr>
        <w:pStyle w:val="Heading3"/>
      </w:pPr>
      <w:r>
        <w:rPr>
          <w:b w:val="0"/>
          <w:i w:val="0"/>
          <w:strike w:val="0"/>
        </w:rPr>
        <w:t xml:space="preserve">6.3 The deliverable to tax counsel — </w:t>
      </w:r>
      <w:r>
        <w:rPr>
          <w:b/>
          <w:i w:val="0"/>
          <w:strike w:val="0"/>
        </w:rPr>
        <w:t>COUNSEL 3, stated as four questions</w:t>
      </w:r>
    </w:p>
    <w:p>
      <w:r>
        <w:rPr>
          <w:b/>
          <w:i w:val="0"/>
          <w:strike w:val="0"/>
        </w:rPr>
        <w:t>Counsel review finding M-15, closed October 20, 2026.</w:t>
      </w:r>
      <w:r>
        <w:rPr>
          <w:b w:val="0"/>
          <w:i w:val="0"/>
          <w:strike w:val="0"/>
        </w:rPr>
        <w:t xml:space="preserve"> Part 5.3 previously framed this engagement in prose: a diagnosis, three consequences and a direction to "resolve before introduction." That is a description of a problem, not an instruction to a professional, and it invited the engagement to be spent on the wrong branch — the review's finding was precisely that the package </w:t>
      </w:r>
      <w:r>
        <w:rPr>
          <w:b/>
          <w:i w:val="0"/>
          <w:strike w:val="0"/>
        </w:rPr>
        <w:t>mis-sized</w:t>
      </w:r>
      <w:r>
        <w:rPr>
          <w:b w:val="0"/>
          <w:i w:val="0"/>
          <w:strike w:val="0"/>
        </w:rPr>
        <w:t xml:space="preserve"> the risk, leading with § 415(c) when the live exposure is the loss of 403(b)/457(b) trustee-to-trustee funding. What follows replaces the prose framing. </w:t>
      </w:r>
      <w:r>
        <w:rPr>
          <w:b/>
          <w:i w:val="0"/>
          <w:strike w:val="0"/>
        </w:rPr>
        <w:t>These four questions are the engagement scope. They should be sent as they stand.</w:t>
      </w:r>
    </w:p>
    <w:p>
      <w:pPr>
        <w:spacing w:after="80"/>
        <w:ind w:left="480"/>
      </w:pPr>
      <w:r>
        <w:rPr>
          <w:b w:val="0"/>
          <w:i w:val="0"/>
          <w:strike w:val="0"/>
          <w:sz w:val="20"/>
        </w:rPr>
        <w:t xml:space="preserve">1. Does eligibility credit under proposed Va. Code § 51.1-142.4 — which by the express terms of § 51.1-142.4 E and F is taken into account </w:t>
      </w:r>
      <w:r>
        <w:rPr>
          <w:b/>
          <w:i w:val="0"/>
          <w:strike w:val="0"/>
          <w:sz w:val="20"/>
        </w:rPr>
        <w:t>only</w:t>
      </w:r>
      <w:r>
        <w:rPr>
          <w:b w:val="0"/>
          <w:i w:val="0"/>
          <w:strike w:val="0"/>
          <w:sz w:val="20"/>
        </w:rPr>
        <w:t xml:space="preserve"> in determining whether a member satisfies the creditable-service component of Va. Code § 51.1-153 B 2 or B 3, and is excluded from the computation of the allowance under § 51.1-155 A 1 — constitute "permissive service credit" within I.R.C. § 415(n)(3)(A), given that clause (i) requires credit "recognized by the </w:t>
      </w:r>
      <w:r>
        <w:rPr>
          <w:b/>
          <w:i w:val="0"/>
          <w:strike w:val="0"/>
          <w:sz w:val="20"/>
        </w:rPr>
        <w:t>governmental plan</w:t>
      </w:r>
      <w:r>
        <w:rPr>
          <w:b w:val="0"/>
          <w:i w:val="0"/>
          <w:strike w:val="0"/>
          <w:sz w:val="20"/>
        </w:rPr>
        <w:t xml:space="preserve"> for purposes of calculating a participant's benefit under the plan"? If a credit that affects only the </w:t>
      </w:r>
      <w:r>
        <w:rPr>
          <w:b/>
          <w:i w:val="0"/>
          <w:strike w:val="0"/>
          <w:sz w:val="20"/>
        </w:rPr>
        <w:t>date</w:t>
      </w:r>
      <w:r>
        <w:rPr>
          <w:b w:val="0"/>
          <w:i w:val="0"/>
          <w:strike w:val="0"/>
          <w:sz w:val="20"/>
        </w:rPr>
        <w:t xml:space="preserve"> on which an unreduced allowance becomes payable is "recognized … for purposes of calculating a participant's benefit," identify the authority.</w:t>
      </w:r>
    </w:p>
    <w:p>
      <w:pPr>
        <w:spacing w:after="80"/>
        <w:ind w:left="480"/>
      </w:pPr>
      <w:r>
        <w:rPr>
          <w:b w:val="0"/>
          <w:i w:val="0"/>
          <w:strike w:val="0"/>
          <w:sz w:val="20"/>
        </w:rPr>
        <w:t>2. If it is not permissive service credit: (a) may a member fund the purchase by trustee-to-trustee transfer under I.R.C. § 403(b)(13)(A) or § 457(e)(17)(A), each of which is limited to "permissive service credit (as defined in section 415(n)(3)(A))"? (b) Is the member's voluntary after-tax contribution an annual addition under I.R.C. § 415(c)(2) and Treas. Reg. § 1.415(c)-1(a)(2)(ii)(B), and does the 100%-of-compensation limit in § 415(c)(1)(B) apply without the relief in § 415(n)(2)(B)?</w:t>
      </w:r>
    </w:p>
    <w:p>
      <w:pPr>
        <w:spacing w:after="80"/>
        <w:ind w:left="480"/>
      </w:pPr>
      <w:r>
        <w:rPr>
          <w:b w:val="0"/>
          <w:i w:val="0"/>
          <w:strike w:val="0"/>
          <w:sz w:val="20"/>
        </w:rPr>
        <w:t>3. Does a payroll-deduction purchase under proposed § 51.1-142.4 D, which borrows the mechanics of § 51.1-142.2 F, require a separate pick-up determination under I.R.C. § 414(h)(2), and does Va. Code § 51.1-168 — which addresses §§ 415(b) and 415(d) only — need conforming amendment?</w:t>
      </w:r>
    </w:p>
    <w:p>
      <w:pPr>
        <w:spacing w:after="80"/>
        <w:ind w:left="480"/>
      </w:pPr>
      <w:r>
        <w:rPr>
          <w:b w:val="0"/>
          <w:i w:val="0"/>
          <w:strike w:val="0"/>
          <w:sz w:val="20"/>
        </w:rPr>
        <w:t xml:space="preserve">4. Does the Board's determination of the maximum purchasable amount under proposed § 51.1-142.4 C 2 d create a definitely-determinable-benefits problem under Treas. Reg. § 1.401-1(b)(1)(i), notwithstanding that the </w:t>
      </w:r>
      <w:r>
        <w:rPr>
          <w:b/>
          <w:i w:val="0"/>
          <w:strike w:val="0"/>
          <w:sz w:val="20"/>
        </w:rPr>
        <w:t>amount</w:t>
      </w:r>
      <w:r>
        <w:rPr>
          <w:b w:val="0"/>
          <w:i w:val="0"/>
          <w:strike w:val="0"/>
          <w:sz w:val="20"/>
        </w:rPr>
        <w:t xml:space="preserve"> of the allowance is unaffected? </w:t>
      </w:r>
      <w:r>
        <w:rPr>
          <w:b w:val="0"/>
          <w:i/>
          <w:strike w:val="0"/>
          <w:sz w:val="20"/>
        </w:rPr>
        <w:t xml:space="preserve">(Note for counsel: version 1.4 replaced the open-ended "creditable service the member is </w:t>
      </w:r>
      <w:r>
        <w:rPr>
          <w:b w:val="0"/>
          <w:i/>
          <w:strike w:val="0"/>
          <w:sz w:val="20"/>
        </w:rPr>
        <w:t>projected</w:t>
      </w:r>
      <w:r>
        <w:rPr>
          <w:b w:val="0"/>
          <w:i/>
          <w:strike w:val="0"/>
          <w:sz w:val="20"/>
        </w:rPr>
        <w:t xml:space="preserve"> to perform" with a continuous-service convention, which is intended to make the computation objective. The question is whether that cures it.)</w:t>
      </w:r>
    </w:p>
    <w:p>
      <w:r>
        <w:rPr>
          <w:b/>
          <w:i w:val="0"/>
          <w:strike w:val="0"/>
        </w:rPr>
        <w:t>What to tell counsel in the covering note, so the engagement is not spent on the wrong branch.</w:t>
      </w:r>
      <w:r>
        <w:rPr>
          <w:b w:val="0"/>
          <w:i w:val="0"/>
          <w:strike w:val="0"/>
        </w:rPr>
        <w:t xml:space="preserve"> (i) </w:t>
      </w:r>
      <w:r>
        <w:rPr>
          <w:b/>
          <w:i w:val="0"/>
          <w:strike w:val="0"/>
        </w:rPr>
        <w:t>Question 2(a) is the one that matters commercially.</w:t>
      </w:r>
      <w:r>
        <w:rPr>
          <w:b w:val="0"/>
          <w:i w:val="0"/>
          <w:strike w:val="0"/>
        </w:rPr>
        <w:t xml:space="preserve"> If the answer is that the credit cannot be funded by trustee-to-trustee transfer, a roughly $42,500 purchase is reachable only by a member with that much in after-tax cash, which is a design fact about who can use the bridge and should be disclosed to JLCVSO before introduction, not after. (ii) </w:t>
      </w:r>
      <w:r>
        <w:rPr>
          <w:b/>
          <w:i w:val="0"/>
          <w:strike w:val="0"/>
        </w:rPr>
        <w:t>§ 415(c) is probably an edge case on the modeled profiles</w:t>
      </w:r>
      <w:r>
        <w:rPr>
          <w:b w:val="0"/>
          <w:i w:val="0"/>
          <w:strike w:val="0"/>
        </w:rPr>
        <w:t xml:space="preserve"> and should not consume the engagement: the lead profile is an $85,000-salary member paying $42,500, which is 50% of compensation and well inside the indexed dollar limit even with her 5% mandatory contribution; the 100%-of-compensation branch binds only for a part-year or very low-paid member. (iii) </w:t>
      </w:r>
      <w:r>
        <w:rPr>
          <w:b/>
          <w:i w:val="0"/>
          <w:strike w:val="0"/>
        </w:rPr>
        <w:t>One point runs in the bill's favour and the package did not previously make it:</w:t>
      </w:r>
      <w:r>
        <w:rPr>
          <w:b w:val="0"/>
          <w:i w:val="0"/>
          <w:strike w:val="0"/>
        </w:rPr>
        <w:t xml:space="preserve"> clause </w:t>
      </w:r>
      <w:r>
        <w:rPr>
          <w:b/>
          <w:i w:val="0"/>
          <w:strike w:val="0"/>
        </w:rPr>
        <w:t>(iii)</w:t>
      </w:r>
      <w:r>
        <w:rPr>
          <w:b w:val="0"/>
          <w:i w:val="0"/>
          <w:strike w:val="0"/>
        </w:rPr>
        <w:t xml:space="preserve"> of § 415(n)(3)(A) </w:t>
      </w:r>
      <w:r>
        <w:rPr>
          <w:b/>
          <w:i w:val="0"/>
          <w:strike w:val="0"/>
        </w:rPr>
        <w:t>is</w:t>
      </w:r>
      <w:r>
        <w:rPr>
          <w:b w:val="0"/>
          <w:i w:val="0"/>
          <w:strike w:val="0"/>
        </w:rPr>
        <w:t xml:space="preserve"> satisfied, and the fiscal model proves it — a contribution recovering 11%–78% of the value conferred plainly "does not exceed the amount necessary to fund the benefit." It is clause (i) that very likely fails. (iv) The § 401(a)(5)(G) and § 401(a)(26)(G) governmental-plan exemptions take § 401(a)(4) and § 401(a)(26) off the table; counsel need not reach them.</w:t>
      </w:r>
    </w:p>
    <w:p>
      <w:r>
        <w:rPr>
          <w:b w:val="0"/>
          <w:i/>
          <w:strike w:val="0"/>
        </w:rPr>
        <w:t xml:space="preserve">Owner: JLCVSO, to engage. Pre-introduction item: the questions have </w:t>
      </w:r>
      <w:r>
        <w:rPr>
          <w:b w:val="0"/>
          <w:i/>
          <w:strike w:val="0"/>
        </w:rPr>
        <w:t>not</w:t>
      </w:r>
      <w:r>
        <w:rPr>
          <w:b w:val="0"/>
          <w:i/>
          <w:strike w:val="0"/>
        </w:rPr>
        <w:t xml:space="preserve"> been put to counsel as of October 20, 2026.</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1.2 update:</w:t>
      </w:r>
      <w:r>
        <w:rPr>
          <w:b w:val="0"/>
          <w:i w:val="0"/>
          <w:strike w:val="0"/>
        </w:rPr>
        <w:t xml:space="preserve"> all three blocking items in Part 6.1 are resolved and drafted. The internal adversarial review reported (MOO-260) with twelve findings and fourteen citation defects, two of which falsified Part 4 conclusions; the precedent and stakeholder scan reported (MOO-261); and the cost model for ACTUARY 1 and ACTUARY 2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w:t>
      </w:r>
      <w:r>
        <w:rPr>
          <w:b/>
          <w:i w:val="0"/>
          <w:strike w:val="0"/>
        </w:rPr>
        <w:t>The model now needs re-running against version 1.2</w:t>
      </w:r>
      <w:r>
        <w:rPr>
          <w:b w:val="0"/>
          <w:i w:val="0"/>
          <w:strike w:val="0"/>
        </w:rPr>
        <w:t>, in the favorable direction on both counts: it priced four years of acceleration on a bill that then still left the DECISION 8 deferred path open, and it included a population that clause B 1(iv) now excludes. The internal adversarial review was performed by the policy-development team that drafted the package, because no independent reviewer was available. That is a real limitation on its value — the October 19 sign-off pass found three stale cross-document statements that the internal adversarial review had not caught — and version 1.2 should be re-read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