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strike w:val="0"/>
        </w:rPr>
        <w:t>Precedent and Stakeholder Scan — Military Service Retirement Bridge</w:t>
      </w:r>
    </w:p>
    <w:p>
      <w:r>
        <w:rPr>
          <w:b/>
          <w:i w:val="0"/>
          <w:strike w:val="0"/>
        </w:rPr>
        <w:t>Task:</w:t>
      </w:r>
      <w:r>
        <w:rPr>
          <w:b w:val="0"/>
          <w:i w:val="0"/>
          <w:strike w:val="0"/>
        </w:rPr>
        <w:t xml:space="preserve"> MOO-261 (dependency of MOO-257) </w:t>
      </w:r>
      <w:r>
        <w:rPr>
          <w:b/>
          <w:i w:val="0"/>
          <w:strike w:val="0"/>
        </w:rPr>
        <w:t>Prepared by Policy Development Team using legal, policy, and financial analysis tools, pending review by veterans' legal counsel.</w:t>
      </w:r>
      <w:r>
        <w:rPr>
          <w:b w:val="0"/>
          <w:i w:val="0"/>
          <w:strike w:val="0"/>
        </w:rPr>
        <w:t xml:space="preserve"> </w:t>
      </w:r>
      <w:r>
        <w:rPr>
          <w:b/>
          <w:i w:val="0"/>
          <w:strike w:val="0"/>
        </w:rPr>
        <w:t>All sources retrieved October 19, 2026.</w:t>
      </w:r>
      <w:r>
        <w:rPr>
          <w:b w:val="0"/>
          <w:i w:val="0"/>
          <w:strike w:val="0"/>
        </w:rPr>
        <w:t xml:space="preserve"> · </w:t>
      </w:r>
      <w:r>
        <w:rPr>
          <w:b/>
          <w:i w:val="0"/>
          <w:strike w:val="0"/>
        </w:rPr>
        <w:t>Package version:</w:t>
      </w:r>
      <w:r>
        <w:rPr>
          <w:b w:val="0"/>
          <w:i w:val="0"/>
          <w:strike w:val="0"/>
        </w:rPr>
        <w:t xml:space="preserve"> 1.4 — Independent-Review Integration (October 20, 2026)</w:t>
      </w:r>
    </w:p>
    <w:p>
      <w:pPr>
        <w:pStyle w:val="Heading2"/>
      </w:pPr>
      <w:r>
        <w:rPr>
          <w:b w:val="0"/>
          <w:i w:val="0"/>
          <w:strike w:val="0"/>
        </w:rPr>
        <w:t>Method and retrieval note</w:t>
      </w:r>
    </w:p>
    <w:p>
      <w:r>
        <w:rPr>
          <w:b w:val="0"/>
          <w:i w:val="0"/>
          <w:strike w:val="0"/>
        </w:rPr>
        <w:t>The three unverified claims in the MOO-257 briefs were tested against the Legislative Information System rather than against secondary summaries. LIS renders its Code and bill pages client-side, so the underlying public LIS web service was queried directly (</w:t>
      </w:r>
      <w:r>
        <w:rPr>
          <w:rFonts w:ascii="Consolas" w:hAnsi="Consolas"/>
          <w:b w:val="0"/>
          <w:i w:val="0"/>
          <w:strike w:val="0"/>
          <w:color w:val="303030"/>
          <w:sz w:val="19"/>
        </w:rPr>
        <w:t>AdvancedLegislationSearch</w:t>
      </w:r>
      <w:r>
        <w:rPr>
          <w:b w:val="0"/>
          <w:i w:val="0"/>
          <w:strike w:val="0"/>
        </w:rPr>
        <w:t xml:space="preserve">, </w:t>
      </w:r>
      <w:r>
        <w:rPr>
          <w:rFonts w:ascii="Consolas" w:hAnsi="Consolas"/>
          <w:b w:val="0"/>
          <w:i w:val="0"/>
          <w:strike w:val="0"/>
          <w:color w:val="303030"/>
          <w:sz w:val="19"/>
        </w:rPr>
        <w:t>LegislationEvent</w:t>
      </w:r>
      <w:r>
        <w:rPr>
          <w:b w:val="0"/>
          <w:i w:val="0"/>
          <w:strike w:val="0"/>
        </w:rPr>
        <w:t>) using the LIS web application's own public client key, and bill/chapter text and impact statements were retrieved as PDFs from the LIS document store and the legacy LIS endpoint.</w:t>
      </w:r>
    </w:p>
    <w:p>
      <w:r>
        <w:rPr>
          <w:b/>
          <w:i w:val="0"/>
          <w:strike w:val="0"/>
        </w:rPr>
        <w:t>Coverage:</w:t>
      </w:r>
      <w:r>
        <w:rPr>
          <w:b w:val="0"/>
          <w:i w:val="0"/>
          <w:strike w:val="0"/>
        </w:rPr>
        <w:t xml:space="preserve"> all 59 LIS sessions from 1994 through the open 2027 session were swept. Empty results were confirmed to be HTTP 204 (no matching legislation) rather than query failures, so the negative findings below are genuine negatives over the full LIS era, not search artifacts. § 51.1-142.2 was enacted in 2001, so the 1994–2000 sessions have no possible hits.</w:t>
      </w:r>
    </w:p>
    <w:p>
      <w:r>
        <w:rPr>
          <w:b/>
          <w:i w:val="0"/>
          <w:strike w:val="0"/>
        </w:rPr>
        <w:t>Correction to the MOO-257 source appendix.</w:t>
      </w:r>
      <w:r>
        <w:rPr>
          <w:b w:val="0"/>
          <w:i w:val="0"/>
          <w:strike w:val="0"/>
        </w:rPr>
        <w:t xml:space="preserve"> The two documents cited in the appendix as the "VRS 2025 / 2026 General Assembly Session summaries" (</w:t>
      </w:r>
      <w:r>
        <w:rPr>
          <w:rFonts w:ascii="Consolas" w:hAnsi="Consolas"/>
          <w:b w:val="0"/>
          <w:i w:val="0"/>
          <w:strike w:val="0"/>
          <w:color w:val="303030"/>
          <w:sz w:val="19"/>
        </w:rPr>
        <w:t>lis.blob.core.windows.net/files/1020775.PDF</w:t>
      </w:r>
      <w:r>
        <w:rPr>
          <w:b w:val="0"/>
          <w:i w:val="0"/>
          <w:strike w:val="0"/>
        </w:rPr>
        <w:t xml:space="preserve"> and </w:t>
      </w:r>
      <w:r>
        <w:rPr>
          <w:rFonts w:ascii="Consolas" w:hAnsi="Consolas"/>
          <w:b w:val="0"/>
          <w:i w:val="0"/>
          <w:strike w:val="0"/>
          <w:color w:val="303030"/>
          <w:sz w:val="19"/>
        </w:rPr>
        <w:t>.../1098992.PDF</w:t>
      </w:r>
      <w:r>
        <w:rPr>
          <w:b w:val="0"/>
          <w:i w:val="0"/>
          <w:strike w:val="0"/>
        </w:rPr>
        <w:t xml:space="preserve">) are </w:t>
      </w:r>
      <w:r>
        <w:rPr>
          <w:b/>
          <w:i w:val="0"/>
          <w:strike w:val="0"/>
        </w:rPr>
        <w:t>not</w:t>
      </w:r>
      <w:r>
        <w:rPr>
          <w:b w:val="0"/>
          <w:i w:val="0"/>
          <w:strike w:val="0"/>
        </w:rPr>
        <w:t xml:space="preserve"> session summaries. Each is a single-bill VRS fiscal impact statement under § 30-19.1:7 — 1020775 is </w:t>
      </w:r>
      <w:r>
        <w:rPr>
          <w:b/>
          <w:i w:val="0"/>
          <w:strike w:val="0"/>
        </w:rPr>
        <w:t>SB 1396 (2025)</w:t>
      </w:r>
      <w:r>
        <w:rPr>
          <w:b w:val="0"/>
          <w:i w:val="0"/>
          <w:strike w:val="0"/>
        </w:rPr>
        <w:t xml:space="preserve"> (animal control officers) and 1098992 is </w:t>
      </w:r>
      <w:r>
        <w:rPr>
          <w:b/>
          <w:i w:val="0"/>
          <w:strike w:val="0"/>
        </w:rPr>
        <w:t>SB 419 (2026)</w:t>
      </w:r>
      <w:r>
        <w:rPr>
          <w:b w:val="0"/>
          <w:i w:val="0"/>
          <w:strike w:val="0"/>
        </w:rPr>
        <w:t xml:space="preserve"> (SPORS/VaLORS weighted service). The appendix should be corrected before anything goes to a legislator. Both documents are, however, highly useful for VRS posture (§ 2 below).</w:t>
      </w:r>
    </w:p>
    <w:p>
      <w:pPr>
        <w:jc w:val="center"/>
      </w:pPr>
      <w:r>
        <w:rPr>
          <w:color w:val="909090"/>
          <w:sz w:val="18"/>
        </w:rPr>
        <w:t>* * *</w:t>
      </w:r>
    </w:p>
    <w:p>
      <w:pPr>
        <w:pStyle w:val="Heading2"/>
      </w:pPr>
      <w:r>
        <w:rPr>
          <w:b w:val="0"/>
          <w:i w:val="0"/>
          <w:strike w:val="0"/>
        </w:rPr>
        <w:t>1. Precedent check</w:t>
      </w:r>
    </w:p>
    <w:p>
      <w:pPr>
        <w:pStyle w:val="Heading3"/>
      </w:pPr>
      <w:r>
        <w:rPr>
          <w:b w:val="0"/>
          <w:i w:val="0"/>
          <w:strike w:val="0"/>
        </w:rPr>
        <w:t>1.1 Every bill citing § 51.1-142.2, 1994–2027</w:t>
      </w:r>
    </w:p>
    <w:p>
      <w:r>
        <w:rPr>
          <w:b w:val="0"/>
          <w:i w:val="0"/>
          <w:strike w:val="0"/>
        </w:rPr>
        <w:t>107 bills across 25 sessions cite § 51.1-142.2. Of those, the military-service-related bills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strike w:val="0"/>
              </w:rPr>
              <w:t>Session</w:t>
            </w:r>
          </w:p>
        </w:tc>
        <w:tc>
          <w:tcPr>
            <w:tcW w:type="dxa" w:w="1728"/>
          </w:tcPr>
          <w:p>
            <w:r>
              <w:rPr>
                <w:b/>
                <w:i w:val="0"/>
                <w:strike w:val="0"/>
              </w:rPr>
              <w:t>Bill</w:t>
            </w:r>
          </w:p>
        </w:tc>
        <w:tc>
          <w:tcPr>
            <w:tcW w:type="dxa" w:w="1728"/>
          </w:tcPr>
          <w:p>
            <w:r>
              <w:rPr>
                <w:b/>
                <w:i w:val="0"/>
                <w:strike w:val="0"/>
              </w:rPr>
              <w:t>Patron</w:t>
            </w:r>
          </w:p>
        </w:tc>
        <w:tc>
          <w:tcPr>
            <w:tcW w:type="dxa" w:w="1728"/>
          </w:tcPr>
          <w:p>
            <w:r>
              <w:rPr>
                <w:b/>
                <w:i w:val="0"/>
                <w:strike w:val="0"/>
              </w:rPr>
              <w:t>Disposition</w:t>
            </w:r>
          </w:p>
        </w:tc>
        <w:tc>
          <w:tcPr>
            <w:tcW w:type="dxa" w:w="1728"/>
          </w:tcPr>
          <w:p>
            <w:r>
              <w:rPr>
                <w:b/>
                <w:i w:val="0"/>
                <w:strike w:val="0"/>
              </w:rPr>
              <w:t>Substance</w:t>
            </w:r>
          </w:p>
        </w:tc>
      </w:tr>
      <w:tr>
        <w:tc>
          <w:tcPr>
            <w:tcW w:type="dxa" w:w="1728"/>
          </w:tcPr>
          <w:p>
            <w:r>
              <w:rPr>
                <w:b w:val="0"/>
                <w:i w:val="0"/>
                <w:strike w:val="0"/>
              </w:rPr>
              <w:t>2001</w:t>
            </w:r>
          </w:p>
        </w:tc>
        <w:tc>
          <w:tcPr>
            <w:tcW w:type="dxa" w:w="1728"/>
          </w:tcPr>
          <w:p>
            <w:r>
              <w:rPr>
                <w:b w:val="0"/>
                <w:i w:val="0"/>
                <w:strike w:val="0"/>
              </w:rPr>
              <w:t>HB 2293</w:t>
            </w:r>
          </w:p>
        </w:tc>
        <w:tc>
          <w:tcPr>
            <w:tcW w:type="dxa" w:w="1728"/>
          </w:tcPr>
          <w:p>
            <w:r>
              <w:rPr>
                <w:b w:val="0"/>
                <w:i w:val="0"/>
                <w:strike w:val="0"/>
              </w:rPr>
              <w:t>Cox</w:t>
            </w:r>
          </w:p>
        </w:tc>
        <w:tc>
          <w:tcPr>
            <w:tcW w:type="dxa" w:w="1728"/>
          </w:tcPr>
          <w:p>
            <w:r>
              <w:rPr>
                <w:b/>
                <w:i w:val="0"/>
                <w:strike w:val="0"/>
              </w:rPr>
              <w:t>Ch. 697</w:t>
            </w:r>
          </w:p>
        </w:tc>
        <w:tc>
          <w:tcPr>
            <w:tcW w:type="dxa" w:w="1728"/>
          </w:tcPr>
          <w:p>
            <w:r>
              <w:rPr>
                <w:b w:val="0"/>
                <w:i w:val="0"/>
                <w:strike w:val="0"/>
              </w:rPr>
              <w:t>Created the purchase-window structure; allowed military purchase even when creditable to another system where federal law requires; 3-year window at 5% of compensation</w:t>
            </w:r>
          </w:p>
        </w:tc>
      </w:tr>
      <w:tr>
        <w:tc>
          <w:tcPr>
            <w:tcW w:type="dxa" w:w="1728"/>
          </w:tcPr>
          <w:p>
            <w:r>
              <w:rPr>
                <w:b w:val="0"/>
                <w:i w:val="0"/>
                <w:strike w:val="0"/>
              </w:rPr>
              <w:t>2001</w:t>
            </w:r>
          </w:p>
        </w:tc>
        <w:tc>
          <w:tcPr>
            <w:tcW w:type="dxa" w:w="1728"/>
          </w:tcPr>
          <w:p>
            <w:r>
              <w:rPr>
                <w:b w:val="0"/>
                <w:i w:val="0"/>
                <w:strike w:val="0"/>
              </w:rPr>
              <w:t>SB 1077</w:t>
            </w:r>
          </w:p>
        </w:tc>
        <w:tc>
          <w:tcPr>
            <w:tcW w:type="dxa" w:w="1728"/>
          </w:tcPr>
          <w:p>
            <w:r>
              <w:rPr>
                <w:b w:val="0"/>
                <w:i w:val="0"/>
                <w:strike w:val="0"/>
              </w:rPr>
              <w:t>K.G. Miller</w:t>
            </w:r>
          </w:p>
        </w:tc>
        <w:tc>
          <w:tcPr>
            <w:tcW w:type="dxa" w:w="1728"/>
          </w:tcPr>
          <w:p>
            <w:r>
              <w:rPr>
                <w:b/>
                <w:i w:val="0"/>
                <w:strike w:val="0"/>
              </w:rPr>
              <w:t>Ch. 686</w:t>
            </w:r>
          </w:p>
        </w:tc>
        <w:tc>
          <w:tcPr>
            <w:tcW w:type="dxa" w:w="1728"/>
          </w:tcPr>
          <w:p>
            <w:r>
              <w:rPr>
                <w:b w:val="0"/>
                <w:i w:val="0"/>
                <w:strike w:val="0"/>
              </w:rPr>
              <w:t>Companion to HB 2293</w:t>
            </w:r>
          </w:p>
        </w:tc>
      </w:tr>
      <w:tr>
        <w:tc>
          <w:tcPr>
            <w:tcW w:type="dxa" w:w="1728"/>
          </w:tcPr>
          <w:p>
            <w:r>
              <w:rPr>
                <w:b w:val="0"/>
                <w:i w:val="0"/>
                <w:strike w:val="0"/>
              </w:rPr>
              <w:t>2003</w:t>
            </w:r>
          </w:p>
        </w:tc>
        <w:tc>
          <w:tcPr>
            <w:tcW w:type="dxa" w:w="1728"/>
          </w:tcPr>
          <w:p>
            <w:r>
              <w:rPr>
                <w:b w:val="0"/>
                <w:i w:val="0"/>
                <w:strike w:val="0"/>
              </w:rPr>
              <w:t>HB 1717</w:t>
            </w:r>
          </w:p>
        </w:tc>
        <w:tc>
          <w:tcPr>
            <w:tcW w:type="dxa" w:w="1728"/>
          </w:tcPr>
          <w:p>
            <w:r>
              <w:rPr>
                <w:b w:val="0"/>
                <w:i w:val="0"/>
                <w:strike w:val="0"/>
              </w:rPr>
              <w:t>Cox</w:t>
            </w:r>
          </w:p>
        </w:tc>
        <w:tc>
          <w:tcPr>
            <w:tcW w:type="dxa" w:w="1728"/>
          </w:tcPr>
          <w:p>
            <w:r>
              <w:rPr>
                <w:b/>
                <w:i w:val="0"/>
                <w:strike w:val="0"/>
              </w:rPr>
              <w:t>Ch. 7</w:t>
            </w:r>
          </w:p>
        </w:tc>
        <w:tc>
          <w:tcPr>
            <w:tcW w:type="dxa" w:w="1728"/>
          </w:tcPr>
          <w:p>
            <w:r>
              <w:rPr>
                <w:b w:val="0"/>
                <w:i w:val="0"/>
                <w:strike w:val="0"/>
              </w:rPr>
              <w:t>Conformed free armed-forces credit to federal law (reenlistments)</w:t>
            </w:r>
          </w:p>
        </w:tc>
      </w:tr>
      <w:tr>
        <w:tc>
          <w:tcPr>
            <w:tcW w:type="dxa" w:w="1728"/>
          </w:tcPr>
          <w:p>
            <w:r>
              <w:rPr>
                <w:b w:val="0"/>
                <w:i w:val="0"/>
                <w:strike w:val="0"/>
              </w:rPr>
              <w:t>2004</w:t>
            </w:r>
          </w:p>
        </w:tc>
        <w:tc>
          <w:tcPr>
            <w:tcW w:type="dxa" w:w="1728"/>
          </w:tcPr>
          <w:p>
            <w:r>
              <w:rPr>
                <w:b w:val="0"/>
                <w:i w:val="0"/>
                <w:strike w:val="0"/>
              </w:rPr>
              <w:t>HB 111</w:t>
            </w:r>
          </w:p>
        </w:tc>
        <w:tc>
          <w:tcPr>
            <w:tcW w:type="dxa" w:w="1728"/>
          </w:tcPr>
          <w:p>
            <w:r>
              <w:rPr>
                <w:b w:val="0"/>
                <w:i w:val="0"/>
                <w:strike w:val="0"/>
              </w:rPr>
              <w:t>Van Landingham</w:t>
            </w:r>
          </w:p>
        </w:tc>
        <w:tc>
          <w:tcPr>
            <w:tcW w:type="dxa" w:w="1728"/>
          </w:tcPr>
          <w:p>
            <w:r>
              <w:rPr>
                <w:b/>
                <w:i w:val="0"/>
                <w:strike w:val="0"/>
              </w:rPr>
              <w:t>Failed</w:t>
            </w:r>
            <w:r>
              <w:rPr>
                <w:b w:val="0"/>
                <w:i w:val="0"/>
                <w:strike w:val="0"/>
              </w:rPr>
              <w:t xml:space="preserve"> — tabled in House Appropriations 25-Y 0-N</w:t>
            </w:r>
          </w:p>
        </w:tc>
        <w:tc>
          <w:tcPr>
            <w:tcW w:type="dxa" w:w="1728"/>
          </w:tcPr>
          <w:p>
            <w:r>
              <w:rPr>
                <w:b w:val="0"/>
                <w:i w:val="0"/>
                <w:strike w:val="0"/>
              </w:rPr>
              <w:t>Purchase for prior service as a DoDEA substitute teacher</w:t>
            </w:r>
          </w:p>
        </w:tc>
      </w:tr>
      <w:tr>
        <w:tc>
          <w:tcPr>
            <w:tcW w:type="dxa" w:w="1728"/>
          </w:tcPr>
          <w:p>
            <w:r>
              <w:rPr>
                <w:b w:val="0"/>
                <w:i w:val="0"/>
                <w:strike w:val="0"/>
              </w:rPr>
              <w:t>2004</w:t>
            </w:r>
          </w:p>
        </w:tc>
        <w:tc>
          <w:tcPr>
            <w:tcW w:type="dxa" w:w="1728"/>
          </w:tcPr>
          <w:p>
            <w:r>
              <w:rPr>
                <w:b w:val="0"/>
                <w:i w:val="0"/>
                <w:strike w:val="0"/>
              </w:rPr>
              <w:t>SB 476</w:t>
            </w:r>
          </w:p>
        </w:tc>
        <w:tc>
          <w:tcPr>
            <w:tcW w:type="dxa" w:w="1728"/>
          </w:tcPr>
          <w:p>
            <w:r>
              <w:rPr>
                <w:b w:val="0"/>
                <w:i w:val="0"/>
                <w:strike w:val="0"/>
              </w:rPr>
              <w:t>Ticer</w:t>
            </w:r>
          </w:p>
        </w:tc>
        <w:tc>
          <w:tcPr>
            <w:tcW w:type="dxa" w:w="1728"/>
          </w:tcPr>
          <w:p>
            <w:r>
              <w:rPr>
                <w:b/>
                <w:i w:val="0"/>
                <w:strike w:val="0"/>
              </w:rPr>
              <w:t>Failed</w:t>
            </w:r>
            <w:r>
              <w:rPr>
                <w:b w:val="0"/>
                <w:i w:val="0"/>
                <w:strike w:val="0"/>
              </w:rPr>
              <w:t xml:space="preserve"> — no action taken by Senate Finance</w:t>
            </w:r>
          </w:p>
        </w:tc>
        <w:tc>
          <w:tcPr>
            <w:tcW w:type="dxa" w:w="1728"/>
          </w:tcPr>
          <w:p>
            <w:r>
              <w:rPr>
                <w:b w:val="0"/>
                <w:i w:val="0"/>
                <w:strike w:val="0"/>
              </w:rPr>
              <w:t>Companion to HB 111</w:t>
            </w:r>
          </w:p>
        </w:tc>
      </w:tr>
      <w:tr>
        <w:tc>
          <w:tcPr>
            <w:tcW w:type="dxa" w:w="1728"/>
          </w:tcPr>
          <w:p>
            <w:r>
              <w:rPr>
                <w:b w:val="0"/>
                <w:i w:val="0"/>
                <w:strike w:val="0"/>
              </w:rPr>
              <w:t>2005</w:t>
            </w:r>
          </w:p>
        </w:tc>
        <w:tc>
          <w:tcPr>
            <w:tcW w:type="dxa" w:w="1728"/>
          </w:tcPr>
          <w:p>
            <w:r>
              <w:rPr>
                <w:b w:val="0"/>
                <w:i w:val="0"/>
                <w:strike w:val="0"/>
              </w:rPr>
              <w:t>HB 1920</w:t>
            </w:r>
          </w:p>
        </w:tc>
        <w:tc>
          <w:tcPr>
            <w:tcW w:type="dxa" w:w="1728"/>
          </w:tcPr>
          <w:p>
            <w:r>
              <w:rPr>
                <w:b w:val="0"/>
                <w:i w:val="0"/>
                <w:strike w:val="0"/>
              </w:rPr>
              <w:t>Cox</w:t>
            </w:r>
          </w:p>
        </w:tc>
        <w:tc>
          <w:tcPr>
            <w:tcW w:type="dxa" w:w="1728"/>
          </w:tcPr>
          <w:p>
            <w:r>
              <w:rPr>
                <w:b/>
                <w:i w:val="0"/>
                <w:strike w:val="0"/>
              </w:rPr>
              <w:t>Ch. 292</w:t>
            </w:r>
          </w:p>
        </w:tc>
        <w:tc>
          <w:tcPr>
            <w:tcW w:type="dxa" w:w="1728"/>
          </w:tcPr>
          <w:p>
            <w:r>
              <w:rPr>
                <w:b w:val="0"/>
                <w:i w:val="0"/>
                <w:strike w:val="0"/>
              </w:rPr>
              <w:t>Pricing mechanics for 5%-of-compensation purchases</w:t>
            </w:r>
          </w:p>
        </w:tc>
      </w:tr>
      <w:tr>
        <w:tc>
          <w:tcPr>
            <w:tcW w:type="dxa" w:w="1728"/>
          </w:tcPr>
          <w:p>
            <w:r>
              <w:rPr>
                <w:b w:val="0"/>
                <w:i w:val="0"/>
                <w:strike w:val="0"/>
              </w:rPr>
              <w:t>2006</w:t>
            </w:r>
          </w:p>
        </w:tc>
        <w:tc>
          <w:tcPr>
            <w:tcW w:type="dxa" w:w="1728"/>
          </w:tcPr>
          <w:p>
            <w:r>
              <w:rPr>
                <w:b w:val="0"/>
                <w:i w:val="0"/>
                <w:strike w:val="0"/>
              </w:rPr>
              <w:t>HB 103</w:t>
            </w:r>
          </w:p>
        </w:tc>
        <w:tc>
          <w:tcPr>
            <w:tcW w:type="dxa" w:w="1728"/>
          </w:tcPr>
          <w:p>
            <w:r>
              <w:rPr>
                <w:b w:val="0"/>
                <w:i w:val="0"/>
                <w:strike w:val="0"/>
              </w:rPr>
              <w:t>Lewis</w:t>
            </w:r>
          </w:p>
        </w:tc>
        <w:tc>
          <w:tcPr>
            <w:tcW w:type="dxa" w:w="1728"/>
          </w:tcPr>
          <w:p>
            <w:r>
              <w:rPr>
                <w:b/>
                <w:i w:val="0"/>
                <w:strike w:val="0"/>
              </w:rPr>
              <w:t>Failed</w:t>
            </w:r>
            <w:r>
              <w:rPr>
                <w:b w:val="0"/>
                <w:i w:val="0"/>
                <w:strike w:val="0"/>
              </w:rPr>
              <w:t xml:space="preserve"> — left in House Appropriations</w:t>
            </w:r>
          </w:p>
        </w:tc>
        <w:tc>
          <w:tcPr>
            <w:tcW w:type="dxa" w:w="1728"/>
          </w:tcPr>
          <w:p>
            <w:r>
              <w:rPr>
                <w:b w:val="0"/>
                <w:i w:val="0"/>
                <w:strike w:val="0"/>
              </w:rPr>
              <w:t>Add National Guard; remove the active-duty requirement</w:t>
            </w:r>
          </w:p>
        </w:tc>
      </w:tr>
      <w:tr>
        <w:tc>
          <w:tcPr>
            <w:tcW w:type="dxa" w:w="1728"/>
          </w:tcPr>
          <w:p>
            <w:r>
              <w:rPr>
                <w:b w:val="0"/>
                <w:i w:val="0"/>
                <w:strike w:val="0"/>
              </w:rPr>
              <w:t>2007</w:t>
            </w:r>
          </w:p>
        </w:tc>
        <w:tc>
          <w:tcPr>
            <w:tcW w:type="dxa" w:w="1728"/>
          </w:tcPr>
          <w:p>
            <w:r>
              <w:rPr>
                <w:b w:val="0"/>
                <w:i w:val="0"/>
                <w:strike w:val="0"/>
              </w:rPr>
              <w:t>HB 1870</w:t>
            </w:r>
          </w:p>
        </w:tc>
        <w:tc>
          <w:tcPr>
            <w:tcW w:type="dxa" w:w="1728"/>
          </w:tcPr>
          <w:p>
            <w:r>
              <w:rPr>
                <w:b w:val="0"/>
                <w:i w:val="0"/>
                <w:strike w:val="0"/>
              </w:rPr>
              <w:t>Lewis</w:t>
            </w:r>
          </w:p>
        </w:tc>
        <w:tc>
          <w:tcPr>
            <w:tcW w:type="dxa" w:w="1728"/>
          </w:tcPr>
          <w:p>
            <w:r>
              <w:rPr>
                <w:b/>
                <w:i w:val="0"/>
                <w:strike w:val="0"/>
              </w:rPr>
              <w:t>Failed</w:t>
            </w:r>
            <w:r>
              <w:rPr>
                <w:b w:val="0"/>
                <w:i w:val="0"/>
                <w:strike w:val="0"/>
              </w:rPr>
              <w:t xml:space="preserve"> — left in House Appropriations</w:t>
            </w:r>
          </w:p>
        </w:tc>
        <w:tc>
          <w:tcPr>
            <w:tcW w:type="dxa" w:w="1728"/>
          </w:tcPr>
          <w:p>
            <w:r>
              <w:rPr>
                <w:b w:val="0"/>
                <w:i w:val="0"/>
                <w:strike w:val="0"/>
              </w:rPr>
              <w:t>Refiling of HB 103</w:t>
            </w:r>
          </w:p>
        </w:tc>
      </w:tr>
      <w:tr>
        <w:tc>
          <w:tcPr>
            <w:tcW w:type="dxa" w:w="1728"/>
          </w:tcPr>
          <w:p>
            <w:r>
              <w:rPr>
                <w:b w:val="0"/>
                <w:i w:val="0"/>
                <w:strike w:val="0"/>
              </w:rPr>
              <w:t>2008</w:t>
            </w:r>
          </w:p>
        </w:tc>
        <w:tc>
          <w:tcPr>
            <w:tcW w:type="dxa" w:w="1728"/>
          </w:tcPr>
          <w:p>
            <w:r>
              <w:rPr>
                <w:b w:val="0"/>
                <w:i w:val="0"/>
                <w:strike w:val="0"/>
              </w:rPr>
              <w:t>HB 738</w:t>
            </w:r>
          </w:p>
        </w:tc>
        <w:tc>
          <w:tcPr>
            <w:tcW w:type="dxa" w:w="1728"/>
          </w:tcPr>
          <w:p>
            <w:r>
              <w:rPr>
                <w:b w:val="0"/>
                <w:i w:val="0"/>
                <w:strike w:val="0"/>
              </w:rPr>
              <w:t>Caputo</w:t>
            </w:r>
          </w:p>
        </w:tc>
        <w:tc>
          <w:tcPr>
            <w:tcW w:type="dxa" w:w="1728"/>
          </w:tcPr>
          <w:p>
            <w:r>
              <w:rPr>
                <w:b/>
                <w:i w:val="0"/>
                <w:strike w:val="0"/>
              </w:rPr>
              <w:t>Failed</w:t>
            </w:r>
            <w:r>
              <w:rPr>
                <w:b w:val="0"/>
                <w:i w:val="0"/>
                <w:strike w:val="0"/>
              </w:rPr>
              <w:t xml:space="preserve"> — left in House Appropriations</w:t>
            </w:r>
          </w:p>
        </w:tc>
        <w:tc>
          <w:tcPr>
            <w:tcW w:type="dxa" w:w="1728"/>
          </w:tcPr>
          <w:p>
            <w:r>
              <w:rPr>
                <w:b w:val="0"/>
                <w:i w:val="0"/>
                <w:strike w:val="0"/>
              </w:rPr>
              <w:t xml:space="preserve">Purchase up to 4 years for a </w:t>
            </w:r>
            <w:r>
              <w:rPr>
                <w:b w:val="0"/>
                <w:i/>
                <w:strike w:val="0"/>
              </w:rPr>
              <w:t>spouse's</w:t>
            </w:r>
            <w:r>
              <w:rPr>
                <w:b w:val="0"/>
                <w:i w:val="0"/>
                <w:strike w:val="0"/>
              </w:rPr>
              <w:t xml:space="preserve"> active duty service</w:t>
            </w:r>
          </w:p>
        </w:tc>
      </w:tr>
      <w:tr>
        <w:tc>
          <w:tcPr>
            <w:tcW w:type="dxa" w:w="1728"/>
          </w:tcPr>
          <w:p>
            <w:r>
              <w:rPr>
                <w:b w:val="0"/>
                <w:i w:val="0"/>
                <w:strike w:val="0"/>
              </w:rPr>
              <w:t>2009</w:t>
            </w:r>
          </w:p>
        </w:tc>
        <w:tc>
          <w:tcPr>
            <w:tcW w:type="dxa" w:w="1728"/>
          </w:tcPr>
          <w:p>
            <w:r>
              <w:rPr>
                <w:b w:val="0"/>
                <w:i w:val="0"/>
                <w:strike w:val="0"/>
              </w:rPr>
              <w:t>HB 2128</w:t>
            </w:r>
          </w:p>
        </w:tc>
        <w:tc>
          <w:tcPr>
            <w:tcW w:type="dxa" w:w="1728"/>
          </w:tcPr>
          <w:p>
            <w:r>
              <w:rPr>
                <w:b w:val="0"/>
                <w:i w:val="0"/>
                <w:strike w:val="0"/>
              </w:rPr>
              <w:t>Cox</w:t>
            </w:r>
          </w:p>
        </w:tc>
        <w:tc>
          <w:tcPr>
            <w:tcW w:type="dxa" w:w="1728"/>
          </w:tcPr>
          <w:p>
            <w:r>
              <w:rPr>
                <w:b/>
                <w:i w:val="0"/>
                <w:strike w:val="0"/>
              </w:rPr>
              <w:t>Ch. 362</w:t>
            </w:r>
          </w:p>
        </w:tc>
        <w:tc>
          <w:tcPr>
            <w:tcW w:type="dxa" w:w="1728"/>
          </w:tcPr>
          <w:p>
            <w:r>
              <w:rPr>
                <w:b w:val="0"/>
                <w:i w:val="0"/>
                <w:strike w:val="0"/>
              </w:rPr>
              <w:t>HEART Act conformity for members disabled or killed in action</w:t>
            </w:r>
          </w:p>
        </w:tc>
      </w:tr>
      <w:tr>
        <w:tc>
          <w:tcPr>
            <w:tcW w:type="dxa" w:w="1728"/>
          </w:tcPr>
          <w:p>
            <w:r>
              <w:rPr>
                <w:b w:val="0"/>
                <w:i w:val="0"/>
                <w:strike w:val="0"/>
              </w:rPr>
              <w:t>2015</w:t>
            </w:r>
          </w:p>
        </w:tc>
        <w:tc>
          <w:tcPr>
            <w:tcW w:type="dxa" w:w="1728"/>
          </w:tcPr>
          <w:p>
            <w:r>
              <w:rPr>
                <w:b w:val="0"/>
                <w:i w:val="0"/>
                <w:strike w:val="0"/>
              </w:rPr>
              <w:t>HB 1890</w:t>
            </w:r>
          </w:p>
        </w:tc>
        <w:tc>
          <w:tcPr>
            <w:tcW w:type="dxa" w:w="1728"/>
          </w:tcPr>
          <w:p>
            <w:r>
              <w:rPr>
                <w:b w:val="0"/>
                <w:i w:val="0"/>
                <w:strike w:val="0"/>
              </w:rPr>
              <w:t>Jones</w:t>
            </w:r>
          </w:p>
        </w:tc>
        <w:tc>
          <w:tcPr>
            <w:tcW w:type="dxa" w:w="1728"/>
          </w:tcPr>
          <w:p>
            <w:r>
              <w:rPr>
                <w:b/>
                <w:i w:val="0"/>
                <w:strike w:val="0"/>
              </w:rPr>
              <w:t>Ch. 508</w:t>
            </w:r>
          </w:p>
        </w:tc>
        <w:tc>
          <w:tcPr>
            <w:tcW w:type="dxa" w:w="1728"/>
          </w:tcPr>
          <w:p>
            <w:r>
              <w:rPr>
                <w:b/>
                <w:i w:val="0"/>
                <w:strike w:val="0"/>
              </w:rPr>
              <w:t>Created the current 24-month approximate-normal-cost window</w:t>
            </w:r>
            <w:r>
              <w:rPr>
                <w:b w:val="0"/>
                <w:i w:val="0"/>
                <w:strike w:val="0"/>
              </w:rPr>
              <w:t xml:space="preserve"> (see 1.2)</w:t>
            </w:r>
          </w:p>
        </w:tc>
      </w:tr>
      <w:tr>
        <w:tc>
          <w:tcPr>
            <w:tcW w:type="dxa" w:w="1728"/>
          </w:tcPr>
          <w:p>
            <w:r>
              <w:rPr>
                <w:b w:val="0"/>
                <w:i w:val="0"/>
                <w:strike w:val="0"/>
              </w:rPr>
              <w:t>2023</w:t>
            </w:r>
          </w:p>
        </w:tc>
        <w:tc>
          <w:tcPr>
            <w:tcW w:type="dxa" w:w="1728"/>
          </w:tcPr>
          <w:p>
            <w:r>
              <w:rPr>
                <w:b w:val="0"/>
                <w:i w:val="0"/>
                <w:strike w:val="0"/>
              </w:rPr>
              <w:t>HB 1867</w:t>
            </w:r>
          </w:p>
        </w:tc>
        <w:tc>
          <w:tcPr>
            <w:tcW w:type="dxa" w:w="1728"/>
          </w:tcPr>
          <w:p>
            <w:r>
              <w:rPr>
                <w:b w:val="0"/>
                <w:i w:val="0"/>
                <w:strike w:val="0"/>
              </w:rPr>
              <w:t>P.A. Scott</w:t>
            </w:r>
          </w:p>
        </w:tc>
        <w:tc>
          <w:tcPr>
            <w:tcW w:type="dxa" w:w="1728"/>
          </w:tcPr>
          <w:p>
            <w:r>
              <w:rPr>
                <w:b/>
                <w:i w:val="0"/>
                <w:strike w:val="0"/>
              </w:rPr>
              <w:t>Failed</w:t>
            </w:r>
            <w:r>
              <w:rPr>
                <w:b w:val="0"/>
                <w:i w:val="0"/>
                <w:strike w:val="0"/>
              </w:rPr>
              <w:t xml:space="preserve"> — subcommittee recommended laying on the table 8-Y 0-N; left in Appropriations</w:t>
            </w:r>
          </w:p>
        </w:tc>
        <w:tc>
          <w:tcPr>
            <w:tcW w:type="dxa" w:w="1728"/>
          </w:tcPr>
          <w:p>
            <w:r>
              <w:rPr>
                <w:b w:val="0"/>
                <w:i w:val="0"/>
                <w:strike w:val="0"/>
              </w:rPr>
              <w:t xml:space="preserve">Grant teachers up to 4 years of prior active duty military service </w:t>
            </w:r>
            <w:r>
              <w:rPr>
                <w:b/>
                <w:i w:val="0"/>
                <w:strike w:val="0"/>
              </w:rPr>
              <w:t>at no cost</w:t>
            </w:r>
          </w:p>
        </w:tc>
      </w:tr>
      <w:tr>
        <w:tc>
          <w:tcPr>
            <w:tcW w:type="dxa" w:w="1728"/>
          </w:tcPr>
          <w:p>
            <w:r>
              <w:rPr>
                <w:b w:val="0"/>
                <w:i w:val="0"/>
                <w:strike w:val="0"/>
              </w:rPr>
              <w:t>2024</w:t>
            </w:r>
          </w:p>
        </w:tc>
        <w:tc>
          <w:tcPr>
            <w:tcW w:type="dxa" w:w="1728"/>
          </w:tcPr>
          <w:p>
            <w:r>
              <w:rPr>
                <w:b w:val="0"/>
                <w:i w:val="0"/>
                <w:strike w:val="0"/>
              </w:rPr>
              <w:t>HB 70</w:t>
            </w:r>
          </w:p>
        </w:tc>
        <w:tc>
          <w:tcPr>
            <w:tcW w:type="dxa" w:w="1728"/>
          </w:tcPr>
          <w:p>
            <w:r>
              <w:rPr>
                <w:b w:val="0"/>
                <w:i w:val="0"/>
                <w:strike w:val="0"/>
              </w:rPr>
              <w:t>Bulova</w:t>
            </w:r>
          </w:p>
        </w:tc>
        <w:tc>
          <w:tcPr>
            <w:tcW w:type="dxa" w:w="1728"/>
          </w:tcPr>
          <w:p>
            <w:r>
              <w:rPr>
                <w:b/>
                <w:i w:val="0"/>
                <w:strike w:val="0"/>
              </w:rPr>
              <w:t>Ch. 267</w:t>
            </w:r>
          </w:p>
        </w:tc>
        <w:tc>
          <w:tcPr>
            <w:tcW w:type="dxa" w:w="1728"/>
          </w:tcPr>
          <w:p>
            <w:r>
              <w:rPr>
                <w:b w:val="0"/>
                <w:i w:val="0"/>
                <w:strike w:val="0"/>
              </w:rPr>
              <w:t>Broadened qualifying service to any federally established branch</w:t>
            </w:r>
          </w:p>
        </w:tc>
      </w:tr>
      <w:tr>
        <w:tc>
          <w:tcPr>
            <w:tcW w:type="dxa" w:w="1728"/>
          </w:tcPr>
          <w:p>
            <w:r>
              <w:rPr>
                <w:b w:val="0"/>
                <w:i w:val="0"/>
                <w:strike w:val="0"/>
              </w:rPr>
              <w:t>2024</w:t>
            </w:r>
          </w:p>
        </w:tc>
        <w:tc>
          <w:tcPr>
            <w:tcW w:type="dxa" w:w="1728"/>
          </w:tcPr>
          <w:p>
            <w:r>
              <w:rPr>
                <w:b w:val="0"/>
                <w:i w:val="0"/>
                <w:strike w:val="0"/>
              </w:rPr>
              <w:t>SB 458</w:t>
            </w:r>
          </w:p>
        </w:tc>
        <w:tc>
          <w:tcPr>
            <w:tcW w:type="dxa" w:w="1728"/>
          </w:tcPr>
          <w:p>
            <w:r>
              <w:rPr>
                <w:b w:val="0"/>
                <w:i w:val="0"/>
                <w:strike w:val="0"/>
              </w:rPr>
              <w:t>Marsden</w:t>
            </w:r>
          </w:p>
        </w:tc>
        <w:tc>
          <w:tcPr>
            <w:tcW w:type="dxa" w:w="1728"/>
          </w:tcPr>
          <w:p>
            <w:r>
              <w:rPr>
                <w:b/>
                <w:i w:val="0"/>
                <w:strike w:val="0"/>
              </w:rPr>
              <w:t>Ch. 353</w:t>
            </w:r>
          </w:p>
        </w:tc>
        <w:tc>
          <w:tcPr>
            <w:tcW w:type="dxa" w:w="1728"/>
          </w:tcPr>
          <w:p>
            <w:r>
              <w:rPr>
                <w:b w:val="0"/>
                <w:i w:val="0"/>
                <w:strike w:val="0"/>
              </w:rPr>
              <w:t>Companion to HB 70</w:t>
            </w:r>
          </w:p>
        </w:tc>
      </w:tr>
      <w:tr>
        <w:tc>
          <w:tcPr>
            <w:tcW w:type="dxa" w:w="1728"/>
          </w:tcPr>
          <w:p>
            <w:r>
              <w:rPr>
                <w:b w:val="0"/>
                <w:i w:val="0"/>
                <w:strike w:val="0"/>
              </w:rPr>
              <w:t>2026</w:t>
            </w:r>
          </w:p>
        </w:tc>
        <w:tc>
          <w:tcPr>
            <w:tcW w:type="dxa" w:w="1728"/>
          </w:tcPr>
          <w:p>
            <w:r>
              <w:rPr>
                <w:b w:val="0"/>
                <w:i w:val="0"/>
                <w:strike w:val="0"/>
              </w:rPr>
              <w:t>HB 139</w:t>
            </w:r>
          </w:p>
        </w:tc>
        <w:tc>
          <w:tcPr>
            <w:tcW w:type="dxa" w:w="1728"/>
          </w:tcPr>
          <w:p>
            <w:r>
              <w:rPr>
                <w:b w:val="0"/>
                <w:i w:val="0"/>
                <w:strike w:val="0"/>
              </w:rPr>
              <w:t>Simonds</w:t>
            </w:r>
          </w:p>
        </w:tc>
        <w:tc>
          <w:tcPr>
            <w:tcW w:type="dxa" w:w="1728"/>
          </w:tcPr>
          <w:p>
            <w:r>
              <w:rPr>
                <w:b/>
                <w:i w:val="0"/>
                <w:strike w:val="0"/>
              </w:rPr>
              <w:t>Ch. 563</w:t>
            </w:r>
          </w:p>
        </w:tc>
        <w:tc>
          <w:tcPr>
            <w:tcW w:type="dxa" w:w="1728"/>
          </w:tcPr>
          <w:p>
            <w:r>
              <w:rPr>
                <w:b w:val="0"/>
                <w:i w:val="0"/>
                <w:strike w:val="0"/>
              </w:rPr>
              <w:t xml:space="preserve">Employee-association unpaid educational leave; purchase of service credit — </w:t>
            </w:r>
            <w:r>
              <w:rPr>
                <w:b/>
                <w:i w:val="0"/>
                <w:strike w:val="0"/>
              </w:rPr>
              <w:t>not military</w:t>
            </w:r>
          </w:p>
        </w:tc>
      </w:tr>
    </w:tbl>
    <w:p/>
    <w:p>
      <w:r>
        <w:rPr>
          <w:b/>
          <w:i w:val="0"/>
          <w:strike w:val="0"/>
        </w:rPr>
        <w:t>The 2026 amendment flagged in the MOO-257 appendix is resolved.</w:t>
      </w:r>
      <w:r>
        <w:rPr>
          <w:b w:val="0"/>
          <w:i w:val="0"/>
          <w:strike w:val="0"/>
        </w:rPr>
        <w:t xml:space="preserve"> 2026 c. 563 is HB 139 (Simonds), which concerns school-board employee-association officers on unpaid educational leave. It is unrelated to military service and does not disturb the subdivision B 2 / B 3 structure the draft bill builds on. Its 2025 predecessor, HB 1830 (Simonds), passed and was </w:t>
      </w:r>
      <w:r>
        <w:rPr>
          <w:b/>
          <w:i w:val="0"/>
          <w:strike w:val="0"/>
        </w:rPr>
        <w:t>vetoed by the Governor</w:t>
      </w:r>
      <w:r>
        <w:rPr>
          <w:b w:val="0"/>
          <w:i w:val="0"/>
          <w:strike w:val="0"/>
        </w:rPr>
        <w:t>.</w:t>
      </w:r>
    </w:p>
    <w:p>
      <w:pPr>
        <w:pStyle w:val="Heading3"/>
      </w:pPr>
      <w:r>
        <w:rPr>
          <w:b w:val="0"/>
          <w:i w:val="0"/>
          <w:strike w:val="0"/>
        </w:rPr>
        <w:t>1.2 The 24-month window has been narrowed once, never extended</w:t>
      </w:r>
    </w:p>
    <w:p>
      <w:r>
        <w:rPr>
          <w:b w:val="0"/>
          <w:i w:val="0"/>
          <w:strike w:val="0"/>
        </w:rPr>
        <w:t xml:space="preserve">Only </w:t>
      </w:r>
      <w:r>
        <w:rPr>
          <w:b/>
          <w:i w:val="0"/>
          <w:strike w:val="0"/>
        </w:rPr>
        <w:t>three bills in LIS history</w:t>
      </w:r>
      <w:r>
        <w:rPr>
          <w:b w:val="0"/>
          <w:i w:val="0"/>
          <w:strike w:val="0"/>
        </w:rPr>
        <w:t xml:space="preserve"> contain the phrase "approximate normal cost": HB 1890 (2015), HB 1830 (2025), and HB 139 (2026). The latter two are the employee-association leave bills.</w:t>
      </w:r>
    </w:p>
    <w:p>
      <w:r>
        <w:rPr>
          <w:b/>
          <w:i w:val="0"/>
          <w:strike w:val="0"/>
        </w:rPr>
        <w:t>2015 HB 1890 (Jones), Chapter 508</w:t>
      </w:r>
      <w:r>
        <w:rPr>
          <w:b w:val="0"/>
          <w:i w:val="0"/>
          <w:strike w:val="0"/>
        </w:rPr>
        <w:t xml:space="preserve"> is therefore the single governing precedent. Its chaptered text shows it struck the pre-2015 regime — a one-year window for some members and a </w:t>
      </w:r>
      <w:r>
        <w:rPr>
          <w:b/>
          <w:i w:val="0"/>
          <w:strike w:val="0"/>
        </w:rPr>
        <w:t>three-year</w:t>
      </w:r>
      <w:r>
        <w:rPr>
          <w:b w:val="0"/>
          <w:i w:val="0"/>
          <w:strike w:val="0"/>
        </w:rPr>
        <w:t xml:space="preserve"> window for others, priced at 5% of creditable or average final compensation — and replaced it with the uniform rule now in subdivision B 3: approximate normal cost if purchased or contracted within "the first 24 months of the member's active service following his first date of hire," actuarial equivalent cost thereafter, with inactive periods excluded. Effective date was delayed to January 1, 2017.</w:t>
      </w:r>
    </w:p>
    <w:p>
      <w:r>
        <w:rPr>
          <w:b w:val="0"/>
          <w:i w:val="0"/>
          <w:strike w:val="0"/>
        </w:rPr>
        <w:t>The stated legislative purpose is adverse to the MOO-257 proposal. The LIS summary reads:</w:t>
      </w:r>
    </w:p>
    <w:p>
      <w:pPr>
        <w:spacing w:after="80"/>
        <w:ind w:left="480"/>
      </w:pPr>
      <w:r>
        <w:rPr>
          <w:b w:val="0"/>
          <w:i w:val="0"/>
          <w:strike w:val="0"/>
          <w:sz w:val="20"/>
        </w:rPr>
        <w:t>"Makes numerous changes to the purchase of service credit program to simplify it and</w:t>
      </w:r>
    </w:p>
    <w:p>
      <w:pPr>
        <w:spacing w:after="80"/>
        <w:ind w:left="480"/>
      </w:pPr>
      <w:r>
        <w:rPr>
          <w:b w:val="0"/>
          <w:i w:val="0"/>
          <w:strike w:val="0"/>
          <w:sz w:val="20"/>
        </w:rPr>
        <w:t xml:space="preserve">make it </w:t>
      </w:r>
      <w:r>
        <w:rPr>
          <w:b/>
          <w:i w:val="0"/>
          <w:strike w:val="0"/>
          <w:sz w:val="20"/>
        </w:rPr>
        <w:t>more cost-neutral to the Retirement System fund</w:t>
      </w:r>
      <w:r>
        <w:rPr>
          <w:b w:val="0"/>
          <w:i w:val="0"/>
          <w:strike w:val="0"/>
          <w:sz w:val="20"/>
        </w:rPr>
        <w:t xml:space="preserve"> and more in line with other</w:t>
      </w:r>
    </w:p>
    <w:p>
      <w:pPr>
        <w:spacing w:after="80"/>
        <w:ind w:left="480"/>
      </w:pPr>
      <w:r>
        <w:rPr>
          <w:b w:val="0"/>
          <w:i w:val="0"/>
          <w:strike w:val="0"/>
          <w:sz w:val="20"/>
        </w:rPr>
        <w:t>states' programs."</w:t>
      </w:r>
    </w:p>
    <w:p>
      <w:r>
        <w:rPr>
          <w:b w:val="0"/>
          <w:i w:val="0"/>
          <w:strike w:val="0"/>
        </w:rPr>
        <w:t>HB 1890 passed House Appropriations 22-Y 0-N, Senate Finance 14-Y 0-N, and both conference reports unanimously (House 96-Y, Senate 37-Y).</w:t>
      </w:r>
    </w:p>
    <w:p>
      <w:r>
        <w:rPr>
          <w:b/>
          <w:i w:val="0"/>
          <w:strike w:val="0"/>
        </w:rPr>
        <w:t>Consequence for the draft:</w:t>
      </w:r>
      <w:r>
        <w:rPr>
          <w:b w:val="0"/>
          <w:i w:val="0"/>
          <w:strike w:val="0"/>
        </w:rPr>
        <w:t xml:space="preserve"> reopening approximate-normal-cost pricing after the 24-month window partially reverses a 2015 reform that the General Assembly adopted unanimously for the express purpose of cost-neutrality. The brief must anticipate that framing. No bill has ever proposed extending or reopening the window.</w:t>
      </w:r>
    </w:p>
    <w:p>
      <w:pPr>
        <w:pStyle w:val="Heading3"/>
      </w:pPr>
      <w:r>
        <w:rPr>
          <w:b w:val="0"/>
          <w:i w:val="0"/>
          <w:strike w:val="0"/>
        </w:rPr>
        <w:t>1.3 No Virginia bill has ever proposed an eligibility-only service credit</w:t>
      </w:r>
    </w:p>
    <w:p>
      <w:r>
        <w:rPr>
          <w:b w:val="0"/>
          <w:i w:val="0"/>
          <w:strike w:val="0"/>
        </w:rPr>
        <w:t>Two independent tests:</w:t>
      </w:r>
    </w:p>
    <w:p>
      <w:pPr>
        <w:pStyle w:val="ListBullet"/>
      </w:pPr>
      <w:r>
        <w:rPr>
          <w:b/>
          <w:i w:val="0"/>
          <w:strike w:val="0"/>
        </w:rPr>
        <w:t>293 bills</w:t>
      </w:r>
      <w:r>
        <w:rPr>
          <w:b w:val="0"/>
          <w:i w:val="0"/>
          <w:strike w:val="0"/>
        </w:rPr>
        <w:t xml:space="preserve"> cite § 51.1-153 (the unreduced-retirement eligibility section) across 35</w:t>
      </w:r>
    </w:p>
    <w:p>
      <w:r>
        <w:rPr>
          <w:b w:val="0"/>
          <w:i w:val="0"/>
          <w:strike w:val="0"/>
        </w:rPr>
        <w:t xml:space="preserve">sessions. Exactly </w:t>
      </w:r>
      <w:r>
        <w:rPr>
          <w:b/>
          <w:i w:val="0"/>
          <w:strike w:val="0"/>
        </w:rPr>
        <w:t>one</w:t>
      </w:r>
      <w:r>
        <w:rPr>
          <w:b w:val="0"/>
          <w:i w:val="0"/>
          <w:strike w:val="0"/>
        </w:rPr>
        <w:t xml:space="preserve"> touches military anything — HB 262 (1998), a health insurance credit and SPORS supplement bill — and it does not create a military eligibility credit. </w:t>
      </w:r>
      <w:r>
        <w:rPr>
          <w:b/>
          <w:i w:val="0"/>
          <w:strike w:val="0"/>
        </w:rPr>
        <w:t>No bill in the LIS era has ever proposed that military service count toward the § 51.1-153 B 2 or B 3 tests.</w:t>
      </w:r>
    </w:p>
    <w:p>
      <w:pPr>
        <w:pStyle w:val="ListBullet"/>
      </w:pPr>
      <w:r>
        <w:rPr>
          <w:b w:val="0"/>
          <w:i w:val="0"/>
          <w:strike w:val="0"/>
        </w:rPr>
        <w:t>Sweeps for eligibility-only drafting formulas returned nothing: "solely for purposes of</w:t>
      </w:r>
    </w:p>
    <w:p>
      <w:r>
        <w:rPr>
          <w:b w:val="0"/>
          <w:i w:val="0"/>
          <w:strike w:val="0"/>
        </w:rPr>
        <w:t>determining eligibility" — 0 bills; "for purposes of determining eligibility for retirement" — 0 bills. The one bill matching "shall not be considered creditable service," HB 2251 (2017), is an optional defined contribution plan bill and is not a limited-purpose credit.</w:t>
      </w:r>
    </w:p>
    <w:p>
      <w:r>
        <w:rPr>
          <w:b/>
          <w:i w:val="0"/>
          <w:strike w:val="0"/>
        </w:rPr>
        <w:t>The novelty claim in the briefs is supported and can now be stated with a basis.</w:t>
      </w:r>
      <w:r>
        <w:rPr>
          <w:b w:val="0"/>
          <w:i w:val="0"/>
          <w:strike w:val="0"/>
        </w:rPr>
        <w:t xml:space="preserve"> Recommended phrasing: </w:t>
      </w:r>
      <w:r>
        <w:rPr>
          <w:b w:val="0"/>
          <w:i/>
          <w:strike w:val="0"/>
        </w:rPr>
        <w:t>no bill introduced in the Virginia General Assembly from 1994 through the 2027 prefiling period has proposed a limited-purpose or eligibility-only service credit under Title 51.1, and none has proposed extending the approximate-normal-cost window in § 51.1-142.2 B 3.</w:t>
      </w:r>
      <w:r>
        <w:rPr>
          <w:b w:val="0"/>
          <w:i w:val="0"/>
          <w:strike w:val="0"/>
        </w:rPr>
        <w:t xml:space="preserve"> The only in-Code analogue remains § 51.1-303 B (already captured as S-35).</w:t>
      </w:r>
    </w:p>
    <w:p>
      <w:pPr>
        <w:pStyle w:val="Heading3"/>
      </w:pPr>
      <w:r>
        <w:rPr>
          <w:b w:val="0"/>
          <w:i w:val="0"/>
          <w:strike w:val="0"/>
        </w:rPr>
        <w:t>1.4 Nothing comparable is pending for 2027</w:t>
      </w:r>
    </w:p>
    <w:p>
      <w:r>
        <w:rPr>
          <w:b w:val="0"/>
          <w:i w:val="0"/>
          <w:strike w:val="0"/>
        </w:rPr>
        <w:t xml:space="preserve">As of October 19, 2026, the open 2027 session contains </w:t>
      </w:r>
      <w:r>
        <w:rPr>
          <w:b/>
          <w:i w:val="0"/>
          <w:strike w:val="0"/>
        </w:rPr>
        <w:t>no</w:t>
      </w:r>
      <w:r>
        <w:rPr>
          <w:b w:val="0"/>
          <w:i w:val="0"/>
          <w:strike w:val="0"/>
        </w:rPr>
        <w:t xml:space="preserve"> prefiled bill citing § 51.1-142.2. The field is clear for introduction.</w:t>
      </w:r>
    </w:p>
    <w:p>
      <w:pPr>
        <w:jc w:val="center"/>
      </w:pPr>
      <w:r>
        <w:rPr>
          <w:color w:val="909090"/>
          <w:sz w:val="18"/>
        </w:rPr>
        <w:t>* * *</w:t>
      </w:r>
    </w:p>
    <w:p>
      <w:pPr>
        <w:pStyle w:val="Heading2"/>
      </w:pPr>
      <w:r>
        <w:rPr>
          <w:b w:val="0"/>
          <w:i w:val="0"/>
          <w:strike w:val="0"/>
        </w:rPr>
        <w:t>2. VRS Board and staff posture</w:t>
      </w:r>
    </w:p>
    <w:p>
      <w:r>
        <w:rPr>
          <w:b w:val="0"/>
          <w:i w:val="0"/>
          <w:strike w:val="0"/>
        </w:rPr>
        <w:t>VRS does not editorialize in § 30-19.1:7 statements, but its fiscal language is consistent and quotable. Expect an adverse statement.</w:t>
      </w:r>
    </w:p>
    <w:p>
      <w:pPr>
        <w:pStyle w:val="Heading3"/>
      </w:pPr>
      <w:r>
        <w:rPr>
          <w:b w:val="0"/>
          <w:i w:val="0"/>
          <w:strike w:val="0"/>
        </w:rPr>
        <w:t>2.1 On benefit enhancements that create unfunded liability</w:t>
      </w:r>
    </w:p>
    <w:p>
      <w:r>
        <w:rPr>
          <w:b w:val="0"/>
          <w:i w:val="0"/>
          <w:strike w:val="0"/>
        </w:rPr>
        <w:t xml:space="preserve">From the </w:t>
      </w:r>
      <w:r>
        <w:rPr>
          <w:b/>
          <w:i w:val="0"/>
          <w:strike w:val="0"/>
        </w:rPr>
        <w:t>SB 419 (2026)</w:t>
      </w:r>
      <w:r>
        <w:rPr>
          <w:b w:val="0"/>
          <w:i w:val="0"/>
          <w:strike w:val="0"/>
        </w:rPr>
        <w:t xml:space="preserve"> impact statement (the SPORS/VaLORS weighted-service bill):</w:t>
      </w:r>
    </w:p>
    <w:p>
      <w:pPr>
        <w:spacing w:after="80"/>
        <w:ind w:left="480"/>
      </w:pPr>
      <w:r>
        <w:rPr>
          <w:b w:val="0"/>
          <w:i w:val="0"/>
          <w:strike w:val="0"/>
          <w:sz w:val="20"/>
        </w:rPr>
        <w:t>"Due to the relatively low funded status of these plans, it would be **prudent from a</w:t>
      </w:r>
    </w:p>
    <w:p>
      <w:pPr>
        <w:spacing w:after="80"/>
        <w:ind w:left="480"/>
      </w:pPr>
      <w:r>
        <w:rPr>
          <w:b w:val="0"/>
          <w:i w:val="0"/>
          <w:strike w:val="0"/>
          <w:sz w:val="20"/>
        </w:rPr>
        <w:t>fiduciary standpoint to only enhance benefits if they can be funded upfront to avoid</w:t>
      </w:r>
    </w:p>
    <w:p>
      <w:pPr>
        <w:spacing w:after="80"/>
        <w:ind w:left="480"/>
      </w:pPr>
      <w:r>
        <w:rPr>
          <w:b w:val="0"/>
          <w:i w:val="0"/>
          <w:strike w:val="0"/>
          <w:sz w:val="20"/>
        </w:rPr>
        <w:t>creating additional unfunded liabilities**."</w:t>
      </w:r>
    </w:p>
    <w:p>
      <w:pPr>
        <w:spacing w:after="80"/>
        <w:ind w:left="480"/>
      </w:pPr>
      <w:r>
        <w:rPr>
          <w:b w:val="0"/>
          <w:i w:val="0"/>
          <w:strike w:val="0"/>
          <w:sz w:val="20"/>
        </w:rPr>
        <w:t>"**Enhancing member benefits without an immediate cash infusion to offset the increase</w:t>
      </w:r>
    </w:p>
    <w:p>
      <w:pPr>
        <w:spacing w:after="80"/>
        <w:ind w:left="480"/>
      </w:pPr>
      <w:r>
        <w:rPr>
          <w:b w:val="0"/>
          <w:i w:val="0"/>
          <w:strike w:val="0"/>
          <w:sz w:val="20"/>
        </w:rPr>
        <w:t>in liability is not an actuarially sound method of funding benefit plans.**"</w:t>
      </w:r>
    </w:p>
    <w:p>
      <w:r>
        <w:rPr>
          <w:b w:val="0"/>
          <w:i w:val="0"/>
          <w:strike w:val="0"/>
        </w:rPr>
        <w:t>VRS also flagged behavioral gaming — that recent retirees might return to work briefly and re-retire to capture the new credit, which "would add additional unfunded liabilities."</w:t>
      </w:r>
    </w:p>
    <w:p>
      <w:pPr>
        <w:pStyle w:val="Heading3"/>
      </w:pPr>
      <w:r>
        <w:rPr>
          <w:b w:val="0"/>
          <w:i w:val="0"/>
          <w:strike w:val="0"/>
        </w:rPr>
        <w:t>2.2 On member-purchase expansions — the closest analogue</w:t>
      </w:r>
    </w:p>
    <w:p>
      <w:r>
        <w:rPr>
          <w:b w:val="0"/>
          <w:i w:val="0"/>
          <w:strike w:val="0"/>
        </w:rPr>
        <w:t xml:space="preserve">The </w:t>
      </w:r>
      <w:r>
        <w:rPr>
          <w:b/>
          <w:i w:val="0"/>
          <w:strike w:val="0"/>
        </w:rPr>
        <w:t>HB 1867 (2023)</w:t>
      </w:r>
      <w:r>
        <w:rPr>
          <w:b w:val="0"/>
          <w:i w:val="0"/>
          <w:strike w:val="0"/>
        </w:rPr>
        <w:t xml:space="preserve"> impact statement is the most directly relevant document found. It addressed granting teachers up to four years of prior active duty military service. VRS stated:</w:t>
      </w:r>
    </w:p>
    <w:p>
      <w:pPr>
        <w:spacing w:after="80"/>
        <w:ind w:left="480"/>
      </w:pPr>
      <w:r>
        <w:rPr>
          <w:b w:val="0"/>
          <w:i w:val="0"/>
          <w:strike w:val="0"/>
          <w:sz w:val="20"/>
        </w:rPr>
        <w:t xml:space="preserve">"Benefit(s) impacted: </w:t>
      </w:r>
      <w:r>
        <w:rPr>
          <w:b/>
          <w:i w:val="0"/>
          <w:strike w:val="0"/>
          <w:sz w:val="20"/>
        </w:rPr>
        <w:t>Eligibility for retirement.</w:t>
      </w:r>
      <w:r>
        <w:rPr>
          <w:b w:val="0"/>
          <w:i w:val="0"/>
          <w:strike w:val="0"/>
          <w:sz w:val="20"/>
        </w:rPr>
        <w:t>"</w:t>
      </w:r>
    </w:p>
    <w:p>
      <w:pPr>
        <w:spacing w:after="80"/>
        <w:ind w:left="480"/>
      </w:pPr>
      <w:r>
        <w:rPr>
          <w:b w:val="0"/>
          <w:i w:val="0"/>
          <w:strike w:val="0"/>
          <w:sz w:val="20"/>
        </w:rPr>
        <w:t>"each person who purchases up to 48 months of active military service would create an</w:t>
      </w:r>
    </w:p>
    <w:p>
      <w:pPr>
        <w:spacing w:after="80"/>
        <w:ind w:left="480"/>
      </w:pPr>
      <w:r>
        <w:rPr>
          <w:b w:val="0"/>
          <w:i w:val="0"/>
          <w:strike w:val="0"/>
          <w:sz w:val="20"/>
        </w:rPr>
        <w:t xml:space="preserve">unfunded liability that </w:t>
      </w:r>
      <w:r>
        <w:rPr>
          <w:b/>
          <w:i w:val="0"/>
          <w:strike w:val="0"/>
          <w:sz w:val="20"/>
        </w:rPr>
        <w:t>ranges from $10,000 – $60,000</w:t>
      </w:r>
      <w:r>
        <w:rPr>
          <w:b w:val="0"/>
          <w:i w:val="0"/>
          <w:strike w:val="0"/>
          <w:sz w:val="20"/>
        </w:rPr>
        <w:t xml:space="preserve"> depending on the age and</w:t>
      </w:r>
    </w:p>
    <w:p>
      <w:pPr>
        <w:spacing w:after="80"/>
        <w:ind w:left="480"/>
      </w:pPr>
      <w:r>
        <w:rPr>
          <w:b w:val="0"/>
          <w:i w:val="0"/>
          <w:strike w:val="0"/>
          <w:sz w:val="20"/>
        </w:rPr>
        <w:t>service and compensation of the member."</w:t>
      </w:r>
    </w:p>
    <w:p>
      <w:pPr>
        <w:spacing w:after="80"/>
        <w:ind w:left="480"/>
      </w:pPr>
      <w:r>
        <w:rPr>
          <w:b w:val="0"/>
          <w:i w:val="0"/>
          <w:strike w:val="0"/>
          <w:sz w:val="20"/>
        </w:rPr>
        <w:t>"if 1,500 members (1% of the Teacher population) had this type of service, and the</w:t>
      </w:r>
    </w:p>
    <w:p>
      <w:pPr>
        <w:spacing w:after="80"/>
        <w:ind w:left="480"/>
      </w:pPr>
      <w:r>
        <w:rPr>
          <w:b w:val="0"/>
          <w:i w:val="0"/>
          <w:strike w:val="0"/>
          <w:sz w:val="20"/>
        </w:rPr>
        <w:t xml:space="preserve">average cost was $35,000, the </w:t>
      </w:r>
      <w:r>
        <w:rPr>
          <w:b/>
          <w:i w:val="0"/>
          <w:strike w:val="0"/>
          <w:sz w:val="20"/>
        </w:rPr>
        <w:t>total cost to the fund could be $50 million</w:t>
      </w:r>
      <w:r>
        <w:rPr>
          <w:b w:val="0"/>
          <w:i w:val="0"/>
          <w:strike w:val="0"/>
          <w:sz w:val="20"/>
        </w:rPr>
        <w:t>. The</w:t>
      </w:r>
    </w:p>
    <w:p>
      <w:pPr>
        <w:spacing w:after="80"/>
        <w:ind w:left="480"/>
      </w:pPr>
      <w:r>
        <w:rPr>
          <w:b w:val="0"/>
          <w:i w:val="0"/>
          <w:strike w:val="0"/>
          <w:sz w:val="20"/>
        </w:rPr>
        <w:t>current unfunded liability of the Teacher Plan is $11.8 billion."</w:t>
      </w:r>
    </w:p>
    <w:p>
      <w:pPr>
        <w:spacing w:after="80"/>
        <w:ind w:left="480"/>
      </w:pPr>
      <w:r>
        <w:rPr>
          <w:b w:val="0"/>
          <w:i w:val="0"/>
          <w:strike w:val="0"/>
          <w:sz w:val="20"/>
        </w:rPr>
        <w:t>"Granting of service in a pooled plan will effectively **spread the cost of each period</w:t>
      </w:r>
    </w:p>
    <w:p>
      <w:pPr>
        <w:spacing w:after="80"/>
        <w:ind w:left="480"/>
      </w:pPr>
      <w:r>
        <w:rPr>
          <w:b w:val="0"/>
          <w:i w:val="0"/>
          <w:strike w:val="0"/>
          <w:sz w:val="20"/>
        </w:rPr>
        <w:t>of granted service over all of the employers** in the Teacher plan."</w:t>
      </w:r>
    </w:p>
    <w:p>
      <w:r>
        <w:rPr>
          <w:b/>
          <w:i w:val="0"/>
          <w:strike w:val="0"/>
        </w:rPr>
        <w:t>Two cautions on using the $10,000–$60,000 figure.</w:t>
      </w:r>
      <w:r>
        <w:rPr>
          <w:b w:val="0"/>
          <w:i w:val="0"/>
          <w:strike w:val="0"/>
        </w:rPr>
        <w:t xml:space="preserve"> First, it measures the liability of a </w:t>
      </w:r>
      <w:r>
        <w:rPr>
          <w:b/>
          <w:i w:val="0"/>
          <w:strike w:val="0"/>
        </w:rPr>
        <w:t>no-cost grant</w:t>
      </w:r>
      <w:r>
        <w:rPr>
          <w:b w:val="0"/>
          <w:i w:val="0"/>
          <w:strike w:val="0"/>
        </w:rPr>
        <w:t xml:space="preserve"> — HB 1867 charged the member nothing. The MOO-257 proposal charges approximate normal cost, so the relevant exposure is the </w:t>
      </w:r>
      <w:r>
        <w:rPr>
          <w:b w:val="0"/>
          <w:i/>
          <w:strike w:val="0"/>
        </w:rPr>
        <w:t>shortfall between approximate normal cost and actuarial equivalent cost</w:t>
      </w:r>
      <w:r>
        <w:rPr>
          <w:b w:val="0"/>
          <w:i w:val="0"/>
          <w:strike w:val="0"/>
        </w:rPr>
        <w:t xml:space="preserve">, which is smaller and not derivable from this statement. Second, it is a 2023 figure on the Teacher plan. It is a useful published anchor and a reasonable upper bound per member, and it should be cited as such and nothing more. It does </w:t>
      </w:r>
      <w:r>
        <w:rPr>
          <w:b/>
          <w:i w:val="0"/>
          <w:strike w:val="0"/>
        </w:rPr>
        <w:t>not</w:t>
      </w:r>
      <w:r>
        <w:rPr>
          <w:b w:val="0"/>
          <w:i w:val="0"/>
          <w:strike w:val="0"/>
        </w:rPr>
        <w:t xml:space="preserve"> close memo item ACTUARY 1.</w:t>
      </w:r>
    </w:p>
    <w:p>
      <w:r>
        <w:rPr>
          <w:b w:val="0"/>
          <w:i w:val="0"/>
          <w:strike w:val="0"/>
        </w:rPr>
        <w:t>VRS also confirmed in that statement that ordinary purchased prior service flows through to the collateral benefits the MOO-257 draft tries to wall off:</w:t>
      </w:r>
    </w:p>
    <w:p>
      <w:pPr>
        <w:spacing w:after="80"/>
        <w:ind w:left="480"/>
      </w:pPr>
      <w:r>
        <w:rPr>
          <w:b w:val="0"/>
          <w:i w:val="0"/>
          <w:strike w:val="0"/>
          <w:sz w:val="20"/>
        </w:rPr>
        <w:t>"Prior service credit counts toward **vesting, eligibility for retirement and</w:t>
      </w:r>
    </w:p>
    <w:p>
      <w:pPr>
        <w:spacing w:after="80"/>
        <w:ind w:left="480"/>
      </w:pPr>
      <w:r>
        <w:rPr>
          <w:b w:val="0"/>
          <w:i w:val="0"/>
          <w:strike w:val="0"/>
          <w:sz w:val="20"/>
        </w:rPr>
        <w:t>eligibility for the health insurance credit**, if offered by the employer."</w:t>
      </w:r>
    </w:p>
    <w:p>
      <w:r>
        <w:rPr>
          <w:b w:val="0"/>
          <w:i w:val="0"/>
          <w:strike w:val="0"/>
        </w:rPr>
        <w:t>This is affirmative support for the draft's carve-out design — VRS's own description confirms that absent an express limitation, purchased service would reach the HIC threshold in § 51.1-1400 et seq. It also means VRS will read any new purchase right against that default.</w:t>
      </w:r>
    </w:p>
    <w:p>
      <w:pPr>
        <w:pStyle w:val="Heading3"/>
      </w:pPr>
      <w:r>
        <w:rPr>
          <w:b w:val="0"/>
          <w:i w:val="0"/>
          <w:strike w:val="0"/>
        </w:rPr>
        <w:t>2.3 On prospective versus retroactive application</w:t>
      </w:r>
    </w:p>
    <w:p>
      <w:r>
        <w:rPr>
          <w:b w:val="0"/>
          <w:i w:val="0"/>
          <w:strike w:val="0"/>
        </w:rPr>
        <w:t xml:space="preserve">From </w:t>
      </w:r>
      <w:r>
        <w:rPr>
          <w:b/>
          <w:i w:val="0"/>
          <w:strike w:val="0"/>
        </w:rPr>
        <w:t>SB 1396 (2025)</w:t>
      </w:r>
      <w:r>
        <w:rPr>
          <w:b w:val="0"/>
          <w:i w:val="0"/>
          <w:strike w:val="0"/>
        </w:rPr>
        <w:t>:</w:t>
      </w:r>
    </w:p>
    <w:p>
      <w:pPr>
        <w:spacing w:after="80"/>
        <w:ind w:left="480"/>
      </w:pPr>
      <w:r>
        <w:rPr>
          <w:b w:val="0"/>
          <w:i w:val="0"/>
          <w:strike w:val="0"/>
          <w:sz w:val="20"/>
        </w:rPr>
        <w:t>"</w:t>
      </w:r>
      <w:r>
        <w:rPr>
          <w:b/>
          <w:i w:val="0"/>
          <w:strike w:val="0"/>
          <w:sz w:val="20"/>
        </w:rPr>
        <w:t>Prospective application of the provisions will avoid adding unfunded liabilities</w:t>
      </w:r>
      <w:r>
        <w:rPr>
          <w:b w:val="0"/>
          <w:i w:val="0"/>
          <w:strike w:val="0"/>
          <w:sz w:val="20"/>
        </w:rPr>
        <w:t>,</w:t>
      </w:r>
    </w:p>
    <w:p>
      <w:pPr>
        <w:spacing w:after="80"/>
        <w:ind w:left="480"/>
      </w:pPr>
      <w:r>
        <w:rPr>
          <w:b w:val="0"/>
          <w:i w:val="0"/>
          <w:strike w:val="0"/>
          <w:sz w:val="20"/>
        </w:rPr>
        <w:t>but the average normal cost rate ... associated with hazardous duty members is</w:t>
      </w:r>
    </w:p>
    <w:p>
      <w:pPr>
        <w:spacing w:after="80"/>
        <w:ind w:left="480"/>
      </w:pPr>
      <w:r>
        <w:rPr>
          <w:b w:val="0"/>
          <w:i w:val="0"/>
          <w:strike w:val="0"/>
          <w:sz w:val="20"/>
        </w:rPr>
        <w:t>approximately 15% of covered payroll higher than general employees."</w:t>
      </w:r>
    </w:p>
    <w:p>
      <w:r>
        <w:rPr>
          <w:b w:val="0"/>
          <w:i w:val="0"/>
          <w:strike w:val="0"/>
        </w:rPr>
        <w:t>And on the funding-policy gate for local plans:</w:t>
      </w:r>
    </w:p>
    <w:p>
      <w:pPr>
        <w:spacing w:after="80"/>
        <w:ind w:left="480"/>
      </w:pPr>
      <w:r>
        <w:rPr>
          <w:b w:val="0"/>
          <w:i w:val="0"/>
          <w:strike w:val="0"/>
          <w:sz w:val="20"/>
        </w:rPr>
        <w:t>"The VRS funding policy requires political subdivision employer plans to be at least</w:t>
      </w:r>
    </w:p>
    <w:p>
      <w:pPr>
        <w:spacing w:after="80"/>
        <w:ind w:left="480"/>
      </w:pPr>
      <w:r>
        <w:rPr>
          <w:b/>
          <w:i w:val="0"/>
          <w:strike w:val="0"/>
          <w:sz w:val="20"/>
        </w:rPr>
        <w:t>75% funded</w:t>
      </w:r>
      <w:r>
        <w:rPr>
          <w:b w:val="0"/>
          <w:i w:val="0"/>
          <w:strike w:val="0"/>
          <w:sz w:val="20"/>
        </w:rPr>
        <w:t xml:space="preserve"> in order to elect benefit enhancements or the political subdivisions must</w:t>
      </w:r>
    </w:p>
    <w:p>
      <w:pPr>
        <w:spacing w:after="80"/>
        <w:ind w:left="480"/>
      </w:pPr>
      <w:r>
        <w:rPr>
          <w:b w:val="0"/>
          <w:i w:val="0"/>
          <w:strike w:val="0"/>
          <w:sz w:val="20"/>
        </w:rPr>
        <w:t>make a lump sum contribution to bring the funded status to at least 75% funded."</w:t>
      </w:r>
    </w:p>
    <w:p>
      <w:r>
        <w:rPr>
          <w:b w:val="0"/>
          <w:i w:val="0"/>
          <w:strike w:val="0"/>
        </w:rPr>
        <w:t xml:space="preserve">The MOO-257 draft is prospective in effect but prices access to </w:t>
      </w:r>
      <w:r>
        <w:rPr>
          <w:b w:val="0"/>
          <w:i/>
          <w:strike w:val="0"/>
        </w:rPr>
        <w:t>past</w:t>
      </w:r>
      <w:r>
        <w:rPr>
          <w:b w:val="0"/>
          <w:i w:val="0"/>
          <w:strike w:val="0"/>
        </w:rPr>
        <w:t xml:space="preserve"> military service, so expect VRS to treat it as liability-creating rather than prospective.</w:t>
      </w:r>
    </w:p>
    <w:p>
      <w:pPr>
        <w:pStyle w:val="Heading3"/>
      </w:pPr>
      <w:r>
        <w:rPr>
          <w:b w:val="0"/>
          <w:i w:val="0"/>
          <w:strike w:val="0"/>
        </w:rPr>
        <w:t>2.4 On tracking service separately from creditable service</w:t>
      </w:r>
    </w:p>
    <w:p>
      <w:r>
        <w:rPr>
          <w:b w:val="0"/>
          <w:i w:val="0"/>
          <w:strike w:val="0"/>
        </w:rPr>
        <w:t xml:space="preserve">No VRS Board statement was located that addresses separate accounting as a policy matter. The available evidence is implementation cost, and it is material: VRS priced SB 419's system changes at </w:t>
      </w:r>
      <w:r>
        <w:rPr>
          <w:b/>
          <w:i w:val="0"/>
          <w:strike w:val="0"/>
        </w:rPr>
        <w:t>approximately $374,500 in FY 2027</w:t>
      </w:r>
      <w:r>
        <w:rPr>
          <w:b w:val="0"/>
          <w:i w:val="0"/>
          <w:strike w:val="0"/>
        </w:rPr>
        <w:t xml:space="preserve">, attributing them to changes "that would need to be made to accurately reflect the inclusion of the additional service provided for in the bill," and priced HB 1867's much simpler change at </w:t>
      </w:r>
      <w:r>
        <w:rPr>
          <w:b/>
          <w:i w:val="0"/>
          <w:strike w:val="0"/>
        </w:rPr>
        <w:t>$78,000</w:t>
      </w:r>
      <w:r>
        <w:rPr>
          <w:b w:val="0"/>
          <w:i w:val="0"/>
          <w:strike w:val="0"/>
        </w:rPr>
        <w:t>.</w:t>
      </w:r>
    </w:p>
    <w:p>
      <w:r>
        <w:rPr>
          <w:b w:val="0"/>
          <w:i w:val="0"/>
          <w:strike w:val="0"/>
        </w:rPr>
        <w:t xml:space="preserve">A credit that must be tracked in a separate bucket, counted in two eligibility tests and excluded from every other calculation is closer to SB 419 than to HB 1867 in complexity. </w:t>
      </w:r>
      <w:r>
        <w:rPr>
          <w:b/>
          <w:i w:val="0"/>
          <w:strike w:val="0"/>
        </w:rPr>
        <w:t>Treat a six-figure VRS implementation appropriation as the expected ask</w:t>
      </w:r>
      <w:r>
        <w:rPr>
          <w:b w:val="0"/>
          <w:i w:val="0"/>
          <w:strike w:val="0"/>
        </w:rPr>
        <w:t>, and expect VRS to say the July 1, 2028 effective date is the binding constraint. This remains an open question for VRS staff (memo item on administrative lead time is not resolved).</w:t>
      </w:r>
    </w:p>
    <w:p>
      <w:pPr>
        <w:jc w:val="center"/>
      </w:pPr>
      <w:r>
        <w:rPr>
          <w:color w:val="909090"/>
          <w:sz w:val="18"/>
        </w:rPr>
        <w:t>* * *</w:t>
      </w:r>
    </w:p>
    <w:p>
      <w:pPr>
        <w:pStyle w:val="Heading2"/>
      </w:pPr>
      <w:r>
        <w:rPr>
          <w:b w:val="0"/>
          <w:i w:val="0"/>
          <w:strike w:val="0"/>
        </w:rPr>
        <w:t>3. Money committee history</w:t>
      </w:r>
    </w:p>
    <w:p>
      <w:r>
        <w:rPr>
          <w:b w:val="0"/>
          <w:i w:val="0"/>
          <w:strike w:val="0"/>
        </w:rPr>
        <w:t>The pattern is sharp and consistent, and it is the single most important finding for sponsor strategy.</w:t>
      </w:r>
    </w:p>
    <w:p>
      <w:r>
        <w:rPr>
          <w:b/>
          <w:i w:val="0"/>
          <w:strike w:val="0"/>
        </w:rPr>
        <w:t>Every military-service-purchase expansion that would add cost has died in committee without a floor vote:</w:t>
      </w:r>
    </w:p>
    <w:p>
      <w:pPr>
        <w:pStyle w:val="ListBullet"/>
      </w:pPr>
      <w:r>
        <w:rPr>
          <w:b w:val="0"/>
          <w:i w:val="0"/>
          <w:strike w:val="0"/>
        </w:rPr>
        <w:t>HB 103 (2006) — left in House Appropriations</w:t>
      </w:r>
    </w:p>
    <w:p>
      <w:pPr>
        <w:pStyle w:val="ListBullet"/>
      </w:pPr>
      <w:r>
        <w:rPr>
          <w:b w:val="0"/>
          <w:i w:val="0"/>
          <w:strike w:val="0"/>
        </w:rPr>
        <w:t>HB 1870 (2007) — left in House Appropriations</w:t>
      </w:r>
    </w:p>
    <w:p>
      <w:pPr>
        <w:pStyle w:val="ListBullet"/>
      </w:pPr>
      <w:r>
        <w:rPr>
          <w:b w:val="0"/>
          <w:i w:val="0"/>
          <w:strike w:val="0"/>
        </w:rPr>
        <w:t>HB 738 (2008) — left in House Appropriations</w:t>
      </w:r>
    </w:p>
    <w:p>
      <w:pPr>
        <w:pStyle w:val="ListBullet"/>
      </w:pPr>
      <w:r>
        <w:rPr>
          <w:b w:val="0"/>
          <w:i w:val="0"/>
          <w:strike w:val="0"/>
        </w:rPr>
        <w:t>HB 111 (2004) — tabled in House Appropriations, 25-Y 0-N</w:t>
      </w:r>
    </w:p>
    <w:p>
      <w:pPr>
        <w:pStyle w:val="ListBullet"/>
      </w:pPr>
      <w:r>
        <w:rPr>
          <w:b w:val="0"/>
          <w:i w:val="0"/>
          <w:strike w:val="0"/>
        </w:rPr>
        <w:t>SB 476 (2004) — no action taken by Senate Finance</w:t>
      </w:r>
    </w:p>
    <w:p>
      <w:pPr>
        <w:pStyle w:val="ListBullet"/>
      </w:pPr>
      <w:r>
        <w:rPr>
          <w:b w:val="0"/>
          <w:i w:val="0"/>
          <w:strike w:val="0"/>
        </w:rPr>
        <w:t>HB 1867 (2023) — subcommittee recommended laying on the table, 8-Y 0-N; left in Appropriations</w:t>
      </w:r>
    </w:p>
    <w:p>
      <w:r>
        <w:rPr>
          <w:b/>
          <w:i w:val="0"/>
          <w:strike w:val="0"/>
        </w:rPr>
        <w:t>Every § 51.1-142.2 military bill that passed was cost-neutral or cost-reducing, and passed overwhelmingly:</w:t>
      </w:r>
    </w:p>
    <w:p>
      <w:pPr>
        <w:pStyle w:val="ListBullet"/>
      </w:pPr>
      <w:r>
        <w:rPr>
          <w:b w:val="0"/>
          <w:i w:val="0"/>
          <w:strike w:val="0"/>
        </w:rPr>
        <w:t>HB 1890 (2015), the cost-neutralizing reform — App. 22-Y 0-N, Finance 14-Y 0-N</w:t>
      </w:r>
    </w:p>
    <w:p>
      <w:pPr>
        <w:pStyle w:val="ListBullet"/>
      </w:pPr>
      <w:r>
        <w:rPr>
          <w:b w:val="0"/>
          <w:i w:val="0"/>
          <w:strike w:val="0"/>
        </w:rPr>
        <w:t>HB 70 / SB 458 (2024), broadening qualifying branches — App. 22-Y 0-N, SFA 15-Y 0-N</w:t>
      </w:r>
    </w:p>
    <w:p>
      <w:pPr>
        <w:pStyle w:val="ListBullet"/>
      </w:pPr>
      <w:r>
        <w:rPr>
          <w:b w:val="0"/>
          <w:i w:val="0"/>
          <w:strike w:val="0"/>
        </w:rPr>
        <w:t>HB 1717 (2003), HB 2128 (2009), federal-conformity — enacted</w:t>
      </w:r>
    </w:p>
    <w:p>
      <w:r>
        <w:rPr>
          <w:b/>
          <w:i w:val="0"/>
          <w:strike w:val="0"/>
        </w:rPr>
        <w:t>On unfunded liability specifically:</w:t>
      </w:r>
      <w:r>
        <w:rPr>
          <w:b w:val="0"/>
          <w:i w:val="0"/>
          <w:strike w:val="0"/>
        </w:rPr>
        <w:t xml:space="preserve"> SB 419 (2026), carrying a VRS statement of roughly </w:t>
      </w:r>
      <w:r>
        <w:rPr>
          <w:b/>
          <w:i w:val="0"/>
          <w:strike w:val="0"/>
        </w:rPr>
        <w:t>$258 million</w:t>
      </w:r>
      <w:r>
        <w:rPr>
          <w:b w:val="0"/>
          <w:i w:val="0"/>
          <w:strike w:val="0"/>
        </w:rPr>
        <w:t xml:space="preserve"> in added liability and about </w:t>
      </w:r>
      <w:r>
        <w:rPr>
          <w:b/>
          <w:i w:val="0"/>
          <w:strike w:val="0"/>
        </w:rPr>
        <w:t>$30.4 million per year</w:t>
      </w:r>
      <w:r>
        <w:rPr>
          <w:b w:val="0"/>
          <w:i w:val="0"/>
          <w:strike w:val="0"/>
        </w:rPr>
        <w:t xml:space="preserve"> in employer contributions, was </w:t>
      </w:r>
      <w:r>
        <w:rPr>
          <w:b/>
          <w:i w:val="0"/>
          <w:strike w:val="0"/>
        </w:rPr>
        <w:t>continued to 2027 by Senate Finance and Appropriations, 14-Y 0-N</w:t>
      </w:r>
      <w:r>
        <w:rPr>
          <w:b w:val="0"/>
          <w:i w:val="0"/>
          <w:strike w:val="0"/>
        </w:rPr>
        <w:t xml:space="preserve"> — parked rather than killed, but not advanced. It is </w:t>
      </w:r>
      <w:r>
        <w:rPr>
          <w:b/>
          <w:i w:val="0"/>
          <w:strike w:val="0"/>
        </w:rPr>
        <w:t>live again in the 2027 session as SB 419 (Craig), currently in committee.</w:t>
      </w:r>
    </w:p>
    <w:p>
      <w:r>
        <w:rPr>
          <w:b/>
          <w:i w:val="0"/>
          <w:strike w:val="0"/>
        </w:rPr>
        <w:t>Offsetting appropriation.</w:t>
      </w:r>
      <w:r>
        <w:rPr>
          <w:b w:val="0"/>
          <w:i w:val="0"/>
          <w:strike w:val="0"/>
        </w:rPr>
        <w:t xml:space="preserve"> No instance was found of a money committee advancing a VRS benefit enhancement with unfunded liability </w:t>
      </w:r>
      <w:r>
        <w:rPr>
          <w:b w:val="0"/>
          <w:i/>
          <w:strike w:val="0"/>
        </w:rPr>
        <w:t>and</w:t>
      </w:r>
      <w:r>
        <w:rPr>
          <w:b w:val="0"/>
          <w:i w:val="0"/>
          <w:strike w:val="0"/>
        </w:rPr>
        <w:t xml:space="preserve"> requiring a stated offsetting appropriation as the price of passage; in the sample examined the committees simply declined to advance such bills. VRS's own position (§ 2.1) is that enhancements should be funded upfront. The practical implication is the same either way: </w:t>
      </w:r>
      <w:r>
        <w:rPr>
          <w:b/>
          <w:i w:val="0"/>
          <w:strike w:val="0"/>
        </w:rPr>
        <w:t>a sponsor should expect to need either a funding offset or a demonstration that the proposal creates no new unfunded liability.</w:t>
      </w:r>
      <w:r>
        <w:rPr>
          <w:b w:val="0"/>
          <w:i w:val="0"/>
          <w:strike w:val="0"/>
        </w:rPr>
        <w:t xml:space="preserve"> Confirming whether any offset precedent exists would require a budget-bill item review that was outside this task's scope — flagged below.</w:t>
      </w:r>
    </w:p>
    <w:p>
      <w:r>
        <w:rPr>
          <w:b/>
          <w:i w:val="0"/>
          <w:strike w:val="0"/>
        </w:rPr>
        <w:t>Strategic reading.</w:t>
      </w:r>
      <w:r>
        <w:rPr>
          <w:b w:val="0"/>
          <w:i w:val="0"/>
          <w:strike w:val="0"/>
        </w:rPr>
        <w:t xml:space="preserve"> The draft's best available posture is not "this is a modest enhancement" but "this is priced." The entire argument has to be that approximate normal cost for an eligibility-only credit is the actuarially correct price. That claim is currently unsupported and depends on memo item ACTUARY 1. Until VRS or an actuary confirms it, the bill will read to House Appropriations exactly like the six bills above.</w:t>
      </w:r>
    </w:p>
    <w:p>
      <w:r>
        <w:rPr>
          <w:b/>
          <w:i w:val="0"/>
          <w:strike w:val="0"/>
        </w:rPr>
        <w:t>Competing-bill risk.</w:t>
      </w:r>
      <w:r>
        <w:rPr>
          <w:b w:val="0"/>
          <w:i w:val="0"/>
          <w:strike w:val="0"/>
        </w:rPr>
        <w:t xml:space="preserve"> SB 419 is pending in the same committee that would hear this bill, is sponsored by a sitting senator, and already carries a $258M adverse statement. A second VRS benefit-enhancement bill in the 2027 session invites comparison on cost.</w:t>
      </w:r>
    </w:p>
    <w:p>
      <w:pPr>
        <w:jc w:val="center"/>
      </w:pPr>
      <w:r>
        <w:rPr>
          <w:color w:val="909090"/>
          <w:sz w:val="18"/>
        </w:rPr>
        <w:t>* * *</w:t>
      </w:r>
    </w:p>
    <w:p>
      <w:pPr>
        <w:pStyle w:val="Heading2"/>
      </w:pPr>
      <w:r>
        <w:rPr>
          <w:b w:val="0"/>
          <w:i w:val="0"/>
          <w:strike w:val="0"/>
        </w:rPr>
        <w:t>4. JLCVSO fit</w:t>
      </w:r>
    </w:p>
    <w:p>
      <w:r>
        <w:rPr>
          <w:b/>
          <w:i w:val="0"/>
          <w:strike w:val="0"/>
        </w:rPr>
        <w:t>Statutory basis and composition.</w:t>
      </w:r>
      <w:r>
        <w:rPr>
          <w:b w:val="0"/>
          <w:i w:val="0"/>
          <w:strike w:val="0"/>
        </w:rPr>
        <w:t xml:space="preserve"> The Council operates under Va. Code § 2.2-2681 et seq.; its powers and duties are in § 2.2-2682. It comprises 27 gubernatorial appointees representing veterans service organizations, and it prepares an annual list of legislative proposals distributed to all General Assembly members.</w:t>
      </w:r>
    </w:p>
    <w:p>
      <w:r>
        <w:rPr>
          <w:b/>
          <w:i w:val="0"/>
          <w:strike w:val="0"/>
        </w:rPr>
        <w:t>§ 2.2-2682 C — the fit objection in the statute, quoted (added October 20, 2026; stakeholder review finding S-06).</w:t>
      </w:r>
      <w:r>
        <w:rPr>
          <w:b w:val="0"/>
          <w:i w:val="0"/>
          <w:strike w:val="0"/>
        </w:rPr>
        <w:t xml:space="preserve"> This scan originally cited § 2.2-2682 for the Council's powers and duties without quoting subsection C, which is where the objection lives. Reproduced in RD986 Appendix J (p.73):</w:t>
      </w:r>
    </w:p>
    <w:p>
      <w:pPr>
        <w:spacing w:after="80"/>
        <w:ind w:left="480"/>
      </w:pPr>
      <w:r>
        <w:rPr>
          <w:b w:val="0"/>
          <w:i w:val="0"/>
          <w:strike w:val="0"/>
          <w:sz w:val="20"/>
        </w:rPr>
        <w:t>"C. The Council may apply for funds from the Veterans Services Foundation to enable it</w:t>
      </w:r>
    </w:p>
    <w:p>
      <w:pPr>
        <w:spacing w:after="80"/>
        <w:ind w:left="480"/>
      </w:pPr>
      <w:r>
        <w:rPr>
          <w:b w:val="0"/>
          <w:i w:val="0"/>
          <w:strike w:val="0"/>
          <w:sz w:val="20"/>
        </w:rPr>
        <w:t>to better carry out its objectives. **The Council shall not impose unreasonable burdens</w:t>
      </w:r>
    </w:p>
    <w:p>
      <w:pPr>
        <w:spacing w:after="80"/>
        <w:ind w:left="480"/>
      </w:pPr>
      <w:r>
        <w:rPr>
          <w:b w:val="0"/>
          <w:i w:val="0"/>
          <w:strike w:val="0"/>
          <w:sz w:val="20"/>
        </w:rPr>
        <w:t>or costs in connection with requests of agencies.**"</w:t>
      </w:r>
    </w:p>
    <w:p>
      <w:r>
        <w:rPr>
          <w:b w:val="0"/>
          <w:i w:val="0"/>
          <w:strike w:val="0"/>
        </w:rPr>
        <w:t xml:space="preserve">Read against §2.4 of this scan — which expects a </w:t>
      </w:r>
      <w:r>
        <w:rPr>
          <w:b/>
          <w:i w:val="0"/>
          <w:strike w:val="0"/>
        </w:rPr>
        <w:t>six-figure VRS implementation appropriation</w:t>
      </w:r>
      <w:r>
        <w:rPr>
          <w:b w:val="0"/>
          <w:i w:val="0"/>
          <w:strike w:val="0"/>
        </w:rPr>
        <w:t xml:space="preserve">, on the analogue of SB 419's $374,500 FY2027 system-change estimate — an opponent on the eight-member Legislative Committee has a clean statutory line: the Council is directed by statute not to impose unreasonable costs on agencies, and this item asks the Council to impose a six-figure build on VRS for a credit VRS gains nothing from administering. </w:t>
      </w:r>
      <w:r>
        <w:rPr>
          <w:b/>
          <w:i w:val="0"/>
          <w:strike w:val="0"/>
        </w:rPr>
        <w:t>Subsection A does not soften it.</w:t>
      </w:r>
      <w:r>
        <w:rPr>
          <w:b w:val="0"/>
          <w:i w:val="0"/>
          <w:strike w:val="0"/>
        </w:rPr>
        <w:t xml:space="preserve"> It authorises advice on "methods of providing support for ongoing veterans services and programs," recommendations on issues that "may potentially impact veterans," and promotion of "new efficient and effective </w:t>
      </w:r>
      <w:r>
        <w:rPr>
          <w:b/>
          <w:i w:val="0"/>
          <w:strike w:val="0"/>
        </w:rPr>
        <w:t>administrative</w:t>
      </w:r>
      <w:r>
        <w:rPr>
          <w:b w:val="0"/>
          <w:i w:val="0"/>
          <w:strike w:val="0"/>
        </w:rPr>
        <w:t xml:space="preserve"> initiatives that enhance existing veterans' services and programs." A defined-benefit pension amendment is a poor fit for every one of those verbs. </w:t>
      </w:r>
      <w:r>
        <w:rPr>
          <w:b/>
          <w:i w:val="0"/>
          <w:strike w:val="0"/>
        </w:rPr>
        <w:t>This is the strongest available version of the fit objection in §4, and it is in the statute this scan already cited.</w:t>
      </w:r>
      <w:r>
        <w:rPr>
          <w:b w:val="0"/>
          <w:i w:val="0"/>
          <w:strike w:val="0"/>
        </w:rPr>
        <w:t xml:space="preserve"> The answer to give, and the Chairman's-letter fallback if the Council will not carry an agency-cost item, are at </w:t>
      </w:r>
      <w:r>
        <w:rPr>
          <w:rFonts w:ascii="Consolas" w:hAnsi="Consolas"/>
          <w:b w:val="0"/>
          <w:i w:val="0"/>
          <w:strike w:val="0"/>
          <w:color w:val="303030"/>
          <w:sz w:val="19"/>
        </w:rPr>
        <w:t>13-council-engagement-answers.docx</w:t>
      </w:r>
      <w:r>
        <w:rPr>
          <w:b w:val="0"/>
          <w:i w:val="0"/>
          <w:strike w:val="0"/>
        </w:rPr>
        <w:t xml:space="preserve"> §3.</w:t>
      </w:r>
    </w:p>
    <w:p>
      <w:r>
        <w:rPr>
          <w:b/>
          <w:i w:val="0"/>
          <w:strike w:val="0"/>
        </w:rPr>
        <w:t>The Council's current adopted agenda contains no retirement or pension item.</w:t>
      </w:r>
      <w:r>
        <w:rPr>
          <w:b w:val="0"/>
          <w:i w:val="0"/>
          <w:strike w:val="0"/>
        </w:rPr>
        <w:t xml:space="preserve"> Per the DVS Commissioner's 2025 Annual Report (RD986), the JLC's priority proposals for the 2025–2026 legislative session are:</w:t>
      </w:r>
    </w:p>
    <w:p>
      <w:pPr>
        <w:pStyle w:val="ListNumber"/>
      </w:pPr>
      <w:r>
        <w:rPr>
          <w:b w:val="0"/>
          <w:i w:val="0"/>
          <w:strike w:val="0"/>
        </w:rPr>
        <w:t>Prohibit nonaccredited companies from exploiting veterans seeking to obtain or modify benefit claims</w:t>
      </w:r>
    </w:p>
    <w:p>
      <w:pPr>
        <w:pStyle w:val="ListNumber"/>
      </w:pPr>
      <w:r>
        <w:rPr>
          <w:b w:val="0"/>
          <w:i w:val="0"/>
          <w:strike w:val="0"/>
        </w:rPr>
        <w:t>Ensure access to Vital Record death certificates for the DVS Suicide Prevention Program</w:t>
      </w:r>
    </w:p>
    <w:p>
      <w:pPr>
        <w:pStyle w:val="ListNumber"/>
      </w:pPr>
      <w:r>
        <w:rPr>
          <w:b w:val="0"/>
          <w:i w:val="0"/>
          <w:strike w:val="0"/>
        </w:rPr>
        <w:t>Allocate funds for a book stipend for veterans attending Virginia colleges and universities</w:t>
      </w:r>
    </w:p>
    <w:p>
      <w:pPr>
        <w:pStyle w:val="ListNumber"/>
      </w:pPr>
      <w:r>
        <w:rPr>
          <w:b w:val="0"/>
          <w:i w:val="0"/>
          <w:strike w:val="0"/>
        </w:rPr>
        <w:t>Exempt VSOs from use-of-gaming-proceeds requirements</w:t>
      </w:r>
    </w:p>
    <w:p>
      <w:pPr>
        <w:pStyle w:val="ListNumber"/>
      </w:pPr>
      <w:r>
        <w:rPr>
          <w:b w:val="0"/>
          <w:i w:val="0"/>
          <w:strike w:val="0"/>
        </w:rPr>
        <w:t>Include USPHS and NOAA Commissioned Corps in state income tax subtraction provisions</w:t>
      </w:r>
    </w:p>
    <w:p>
      <w:r>
        <w:rPr>
          <w:b w:val="0"/>
          <w:i w:val="0"/>
          <w:strike w:val="0"/>
        </w:rPr>
        <w:t>The 2025 session priorities were in the same families — Women Veterans Day, veteran verification in jails and prisons, National Guard State Tuition Assistance upfront payment, and Suffolk State Veterans Cemetery funding. Searching the entire RD986 report for "retirement" returns three hits, none of which concerns a pension benefit.</w:t>
      </w:r>
    </w:p>
    <w:p>
      <w:r>
        <w:rPr>
          <w:b/>
          <w:i w:val="0"/>
          <w:strike w:val="0"/>
        </w:rPr>
        <w:t>Answer to the question posed: a VRS retirement-eligibility item does not fit the Council's established agenda.</w:t>
      </w:r>
      <w:r>
        <w:rPr>
          <w:b w:val="0"/>
          <w:i w:val="0"/>
          <w:strike w:val="0"/>
        </w:rPr>
        <w:t xml:space="preserve"> The JLC's demonstrated legislative profile is benefits access, education, consumer protection, recognition, tax subtraction, and cemetery and facility funding. Every adopted item is low-cost, administrative, or modest-appropriation. None asks the General Assembly to change a defined benefit pension plan, and none has required a § 30-19.1:7 impact statement.</w:t>
      </w:r>
    </w:p>
    <w:p>
      <w:r>
        <w:rPr>
          <w:b w:val="0"/>
          <w:i w:val="0"/>
          <w:strike w:val="0"/>
        </w:rPr>
        <w:t xml:space="preserve">This is not a reason to abandon the proposal, but it changes the sequencing. The item would be </w:t>
      </w:r>
      <w:r>
        <w:rPr>
          <w:b/>
          <w:i w:val="0"/>
          <w:strike w:val="0"/>
        </w:rPr>
        <w:t>new territory for the Council</w:t>
      </w:r>
      <w:r>
        <w:rPr>
          <w:b w:val="0"/>
          <w:i w:val="0"/>
          <w:strike w:val="0"/>
        </w:rPr>
        <w:t>, which means it needs an internal champion before it needs a patron.</w:t>
      </w:r>
    </w:p>
    <w:p>
      <w:r>
        <w:rPr>
          <w:b/>
          <w:i w:val="0"/>
          <w:strike w:val="0"/>
        </w:rPr>
        <w:t>Likely champions.</w:t>
      </w:r>
      <w:r>
        <w:rPr>
          <w:b w:val="0"/>
          <w:i w:val="0"/>
          <w:strike w:val="0"/>
        </w:rPr>
        <w:t xml:space="preserve"> Among the member organizations listed as of December 1, 2025, the ones whose constituencies are concentrated in career public employees with prior enlisted or officer active duty service are the natural sponsors: the </w:t>
      </w:r>
      <w:r>
        <w:rPr>
          <w:b/>
          <w:i w:val="0"/>
          <w:strike w:val="0"/>
        </w:rPr>
        <w:t>Military Officers Association of America</w:t>
      </w:r>
      <w:r>
        <w:rPr>
          <w:b w:val="0"/>
          <w:i w:val="0"/>
          <w:strike w:val="0"/>
        </w:rPr>
        <w:t xml:space="preserve"> (John Down), the </w:t>
      </w:r>
      <w:r>
        <w:rPr>
          <w:b/>
          <w:i w:val="0"/>
          <w:strike w:val="0"/>
        </w:rPr>
        <w:t>Association of the U.S. Army</w:t>
      </w:r>
      <w:r>
        <w:rPr>
          <w:b w:val="0"/>
          <w:i w:val="0"/>
          <w:strike w:val="0"/>
        </w:rPr>
        <w:t xml:space="preserve"> (Glenn Yarborough), the </w:t>
      </w:r>
      <w:r>
        <w:rPr>
          <w:b/>
          <w:i w:val="0"/>
          <w:strike w:val="0"/>
        </w:rPr>
        <w:t>Marine Corps League</w:t>
      </w:r>
      <w:r>
        <w:rPr>
          <w:b w:val="0"/>
          <w:i w:val="0"/>
          <w:strike w:val="0"/>
        </w:rPr>
        <w:t xml:space="preserve"> (Timothy Taylor), the </w:t>
      </w:r>
      <w:r>
        <w:rPr>
          <w:b/>
          <w:i w:val="0"/>
          <w:strike w:val="0"/>
        </w:rPr>
        <w:t>Air Force Sergeants Association</w:t>
      </w:r>
      <w:r>
        <w:rPr>
          <w:b w:val="0"/>
          <w:i w:val="0"/>
          <w:strike w:val="0"/>
        </w:rPr>
        <w:t xml:space="preserve"> (Richard Mansfield), and the </w:t>
      </w:r>
      <w:r>
        <w:rPr>
          <w:b/>
          <w:i w:val="0"/>
          <w:strike w:val="0"/>
        </w:rPr>
        <w:t>American Legion</w:t>
      </w:r>
      <w:r>
        <w:rPr>
          <w:b w:val="0"/>
          <w:i w:val="0"/>
          <w:strike w:val="0"/>
        </w:rPr>
        <w:t xml:space="preserve"> (William Aramony, who is also JLC Chair and sits ex officio on the Board of Veterans Services). AFSA and MCL membership skews toward enlisted retirees and separatees who are most likely to be mid-career Virginia public employees with four years of purchasable service.</w:t>
      </w:r>
    </w:p>
    <w:p>
      <w:r>
        <w:rPr>
          <w:b/>
          <w:i w:val="0"/>
          <w:strike w:val="0"/>
        </w:rPr>
        <w:t>Likely resistance.</w:t>
      </w:r>
      <w:r>
        <w:rPr>
          <w:b w:val="0"/>
          <w:i w:val="0"/>
          <w:strike w:val="0"/>
        </w:rPr>
        <w:t xml:space="preserve"> No member organization has a recorded position on VRS matters, so this is inference and is labeled as such. The predictable internal objection is </w:t>
      </w:r>
      <w:r>
        <w:rPr>
          <w:b/>
          <w:i w:val="0"/>
          <w:strike w:val="0"/>
        </w:rPr>
        <w:t>agenda crowding</w:t>
      </w:r>
      <w:r>
        <w:rPr>
          <w:b w:val="0"/>
          <w:i w:val="0"/>
          <w:strike w:val="0"/>
        </w:rPr>
        <w:t>: the Council advances roughly five or six items a year, and a bill carrying a VRS impact statement and a probable appropriation would consume disproportionate political capital against VMSDEP, which the Board of Veterans Services has repeatedly identified as its sustainability priority. Organizations focused on service-connected disability and survivor populations — Disabled American Veterans, Military Order of the Purple Heart — would see little member benefit, since the proposal reaches only vested VRS members in covered employment.</w:t>
      </w:r>
    </w:p>
    <w:p>
      <w:r>
        <w:rPr>
          <w:b/>
          <w:i w:val="0"/>
          <w:strike w:val="0"/>
        </w:rPr>
        <w:t>Caveat.</w:t>
      </w:r>
      <w:r>
        <w:rPr>
          <w:b w:val="0"/>
          <w:i w:val="0"/>
          <w:strike w:val="0"/>
        </w:rPr>
        <w:t xml:space="preserve"> The JLC's adopted </w:t>
      </w:r>
      <w:r>
        <w:rPr>
          <w:b/>
          <w:i w:val="0"/>
          <w:strike w:val="0"/>
        </w:rPr>
        <w:t>2027</w:t>
      </w:r>
      <w:r>
        <w:rPr>
          <w:b w:val="0"/>
          <w:i w:val="0"/>
          <w:strike w:val="0"/>
        </w:rPr>
        <w:t xml:space="preserve"> package was not publicly available at the retrieval date. The 2026 initiative list was corroborated in search results but the DVS page hosting it returns HTTP 403 to automated retrieval (Akamai bot block), so the authoritative source used here is RD986. The 2027 package should be confirmed directly with DVS or the Council before the brief asserts anything about fit.</w:t>
      </w:r>
    </w:p>
    <w:p>
      <w:pPr>
        <w:jc w:val="center"/>
      </w:pPr>
      <w:r>
        <w:rPr>
          <w:color w:val="909090"/>
          <w:sz w:val="18"/>
        </w:rPr>
        <w:t>* * *</w:t>
      </w:r>
    </w:p>
    <w:p>
      <w:pPr>
        <w:pStyle w:val="Heading2"/>
      </w:pPr>
      <w:r>
        <w:rPr>
          <w:b w:val="0"/>
          <w:i w:val="0"/>
          <w:strike w:val="0"/>
        </w:rPr>
        <w:t>4A. Venue and patron — the follow-up this scan did not do</w:t>
      </w:r>
    </w:p>
    <w:p>
      <w:r>
        <w:rPr>
          <w:b w:val="0"/>
          <w:i/>
          <w:strike w:val="0"/>
        </w:rPr>
        <w:t xml:space="preserve">Added October 20, 2026. Stakeholder review findings </w:t>
      </w:r>
      <w:r>
        <w:rPr>
          <w:b w:val="0"/>
          <w:i/>
          <w:strike w:val="0"/>
        </w:rPr>
        <w:t>S-07</w:t>
      </w:r>
      <w:r>
        <w:rPr>
          <w:b w:val="0"/>
          <w:i/>
          <w:strike w:val="0"/>
        </w:rPr>
        <w:t xml:space="preserve"> and </w:t>
      </w:r>
      <w:r>
        <w:rPr>
          <w:b w:val="0"/>
          <w:i/>
          <w:strike w:val="0"/>
        </w:rPr>
        <w:t>S-08</w:t>
      </w:r>
      <w:r>
        <w:rPr>
          <w:b w:val="0"/>
          <w:i/>
          <w:strike w:val="0"/>
        </w:rPr>
        <w:t xml:space="preserve"> established that this scan assembled the right table in §1.1 and §1.2 and never crossed it against current committee membership. That is done here. The full shortlist with qualifications, and the disciplines that go with it, are at `13-council-engagement-answers.docx` §4.</w:t>
      </w:r>
    </w:p>
    <w:p>
      <w:r>
        <w:rPr>
          <w:b/>
          <w:i w:val="0"/>
          <w:strike w:val="0"/>
        </w:rPr>
        <w:t>The decision point is a subcommittee, and this scan's own closest analogue died in one.</w:t>
      </w:r>
      <w:r>
        <w:rPr>
          <w:b w:val="0"/>
          <w:i w:val="0"/>
          <w:strike w:val="0"/>
        </w:rPr>
        <w:t xml:space="preserve"> In the House the bill goes to the </w:t>
      </w:r>
      <w:r>
        <w:rPr>
          <w:b/>
          <w:i w:val="0"/>
          <w:strike w:val="0"/>
        </w:rPr>
        <w:t>Committee on Appropriations</w:t>
      </w:r>
      <w:r>
        <w:rPr>
          <w:b w:val="0"/>
          <w:i w:val="0"/>
          <w:strike w:val="0"/>
        </w:rPr>
        <w:t xml:space="preserve"> and from there to its </w:t>
      </w:r>
      <w:r>
        <w:rPr>
          <w:b/>
          <w:i w:val="0"/>
          <w:strike w:val="0"/>
        </w:rPr>
        <w:t>Compensation and Retirement Subcommittee</w:t>
      </w:r>
      <w:r>
        <w:rPr>
          <w:b w:val="0"/>
          <w:i w:val="0"/>
          <w:strike w:val="0"/>
        </w:rPr>
        <w:t xml:space="preserve">, whose stated remit is "State Employee Compensation Retirement Worker's Compensation State Health Insurance Plan" and which "advise[s] the Committee on matters related to public employee compensation, benefits and retirement." As of the 2026 session: chair </w:t>
      </w:r>
      <w:r>
        <w:rPr>
          <w:b/>
          <w:i w:val="0"/>
          <w:strike w:val="0"/>
        </w:rPr>
        <w:t>Alex Askew (95th)</w:t>
      </w:r>
      <w:r>
        <w:rPr>
          <w:b w:val="0"/>
          <w:i w:val="0"/>
          <w:strike w:val="0"/>
        </w:rPr>
        <w:t xml:space="preserve">; members Askew, C. E. Cliff Hayes (91st), Rodney Willett (58th), Kathy Tran (18th), Shelly Simonds (70th), M. Keith Hodges (68th), Scott Wyatt (60th). It met four times in the 2026 session and handled HB 204, HB 205, HB 987 and HB 1107, all VRS bills. </w:t>
      </w:r>
      <w:r>
        <w:rPr>
          <w:b/>
          <w:i w:val="0"/>
          <w:strike w:val="0"/>
        </w:rPr>
        <w:t>HB 1867 (2023)</w:t>
      </w:r>
      <w:r>
        <w:rPr>
          <w:b w:val="0"/>
          <w:i w:val="0"/>
          <w:strike w:val="0"/>
        </w:rPr>
        <w:t xml:space="preserve"> — the closest analogue in §3 of this scan — was recommended for the table there </w:t>
      </w:r>
      <w:r>
        <w:rPr>
          <w:b/>
          <w:i w:val="0"/>
          <w:strike w:val="0"/>
        </w:rPr>
        <w:t>8-Y 0-N</w:t>
      </w:r>
      <w:r>
        <w:rPr>
          <w:b w:val="0"/>
          <w:i w:val="0"/>
          <w:strike w:val="0"/>
        </w:rPr>
        <w:t xml:space="preserve"> without a recorded floor vote. In the Senate the bill goes to </w:t>
      </w:r>
      <w:r>
        <w:rPr>
          <w:b/>
          <w:i w:val="0"/>
          <w:strike w:val="0"/>
        </w:rPr>
        <w:t>Finance and Appropriations</w:t>
      </w:r>
      <w:r>
        <w:rPr>
          <w:b w:val="0"/>
          <w:i w:val="0"/>
          <w:strike w:val="0"/>
        </w:rPr>
        <w:t>, which continued SB 419 to 2027 by 14-Y 0-N and will hear SB 419 again.</w:t>
      </w:r>
    </w:p>
    <w:p>
      <w:r>
        <w:rPr>
          <w:b/>
          <w:i w:val="0"/>
          <w:strike w:val="0"/>
        </w:rPr>
        <w:t>Crossing §1.1 and §1.2 against that roster produces one name.</w:t>
      </w:r>
      <w:r>
        <w:rPr>
          <w:b w:val="0"/>
          <w:i w:val="0"/>
          <w:strike w:val="0"/>
        </w:rPr>
        <w:t xml:space="preserve"> Only three bills in LIS history contain the phrase "approximate normal cost" (§1.2), the pricing mechanism this bill reopens. Two of the three — </w:t>
      </w:r>
      <w:r>
        <w:rPr>
          <w:b/>
          <w:i w:val="0"/>
          <w:strike w:val="0"/>
        </w:rPr>
        <w:t>HB 1830 (2025)</w:t>
      </w:r>
      <w:r>
        <w:rPr>
          <w:b w:val="0"/>
          <w:i w:val="0"/>
          <w:strike w:val="0"/>
        </w:rPr>
        <w:t xml:space="preserve">, which passed and was vetoed, and </w:t>
      </w:r>
      <w:r>
        <w:rPr>
          <w:b/>
          <w:i w:val="0"/>
          <w:strike w:val="0"/>
        </w:rPr>
        <w:t>HB 139 (2026)</w:t>
      </w:r>
      <w:r>
        <w:rPr>
          <w:b w:val="0"/>
          <w:i w:val="0"/>
          <w:strike w:val="0"/>
        </w:rPr>
        <w:t xml:space="preserve">, Chapter 563 — were patroned by </w:t>
      </w:r>
      <w:r>
        <w:rPr>
          <w:b/>
          <w:i w:val="0"/>
          <w:strike w:val="0"/>
        </w:rPr>
        <w:t>Delegate Shelly Simonds (70th, Newport News)</w:t>
      </w:r>
      <w:r>
        <w:rPr>
          <w:b w:val="0"/>
          <w:i w:val="0"/>
          <w:strike w:val="0"/>
        </w:rPr>
        <w:t xml:space="preserve">, who </w:t>
      </w:r>
      <w:r>
        <w:rPr>
          <w:b/>
          <w:i w:val="0"/>
          <w:strike w:val="0"/>
        </w:rPr>
        <w:t>sits on the Compensation and Retirement Subcommittee</w:t>
      </w:r>
      <w:r>
        <w:rPr>
          <w:b w:val="0"/>
          <w:i w:val="0"/>
          <w:strike w:val="0"/>
        </w:rPr>
        <w:t>. Her district covers Newport News, with Newport News Shipbuilding, and Fort Eustis and Langley nearby. She is, on the record this scan itself assembled, the only sitting legislator with both the pricing-mechanism history and a seat at the decision point.</w:t>
      </w:r>
    </w:p>
    <w:p>
      <w:r>
        <w:rPr>
          <w:b/>
          <w:i w:val="0"/>
          <w:strike w:val="0"/>
        </w:rPr>
        <w:t>Three qualifications, none of them optional.</w:t>
      </w:r>
      <w:r>
        <w:rPr>
          <w:b w:val="0"/>
          <w:i w:val="0"/>
          <w:strike w:val="0"/>
        </w:rPr>
        <w:t xml:space="preserve"> (i) A patron whose prior approximate-normal-cost bill was </w:t>
      </w:r>
      <w:r>
        <w:rPr>
          <w:b/>
          <w:i w:val="0"/>
          <w:strike w:val="0"/>
        </w:rPr>
        <w:t>vetoed</w:t>
      </w:r>
      <w:r>
        <w:rPr>
          <w:b w:val="0"/>
          <w:i w:val="0"/>
          <w:strike w:val="0"/>
        </w:rPr>
        <w:t xml:space="preserve"> is not an unalloyed asset, and HB 139's subject (employee-association educational leave) is unrelated to veterans — the relevance is to the mechanism and the venue, not the policy. (ii) The patronage facts rest on </w:t>
      </w:r>
      <w:r>
        <w:rPr>
          <w:b/>
          <w:i w:val="0"/>
          <w:strike w:val="0"/>
        </w:rPr>
        <w:t>this scan's own direct LIS retrieval</w:t>
      </w:r>
      <w:r>
        <w:rPr>
          <w:b w:val="0"/>
          <w:i w:val="0"/>
          <w:strike w:val="0"/>
        </w:rPr>
        <w:t xml:space="preserve">, which the independent stakeholder reviewer could not re-verify; confirm both bills in LIS before the name is used in a conversation. (iii) The roster above is the </w:t>
      </w:r>
      <w:r>
        <w:rPr>
          <w:b/>
          <w:i w:val="0"/>
          <w:strike w:val="0"/>
        </w:rPr>
        <w:t>2026 session</w:t>
      </w:r>
      <w:r>
        <w:rPr>
          <w:b w:val="0"/>
          <w:i w:val="0"/>
          <w:strike w:val="0"/>
        </w:rPr>
        <w:t xml:space="preserve">, and the bill is drafted for 2028 — </w:t>
      </w:r>
      <w:r>
        <w:rPr>
          <w:b/>
          <w:i w:val="0"/>
          <w:strike w:val="0"/>
        </w:rPr>
        <w:t>re-confirm committee assignments before anyone is approached.</w:t>
      </w:r>
      <w:r>
        <w:rPr>
          <w:b w:val="0"/>
          <w:i w:val="0"/>
          <w:strike w:val="0"/>
        </w:rPr>
        <w:t xml:space="preserve"> No one has been contacted, and the approach is the Policy Director's to make or decline.</w:t>
      </w:r>
    </w:p>
    <w:p>
      <w:pPr>
        <w:jc w:val="center"/>
      </w:pPr>
      <w:r>
        <w:rPr>
          <w:color w:val="909090"/>
          <w:sz w:val="18"/>
        </w:rPr>
        <w:t>* * *</w:t>
      </w:r>
    </w:p>
    <w:p>
      <w:pPr>
        <w:pStyle w:val="Heading2"/>
      </w:pPr>
      <w:r>
        <w:rPr>
          <w:b w:val="0"/>
          <w:i w:val="0"/>
          <w:strike w:val="0"/>
        </w:rPr>
        <w:t>5. Comparative scan</w:t>
      </w:r>
    </w:p>
    <w:p>
      <w:pPr>
        <w:pStyle w:val="Heading3"/>
      </w:pPr>
      <w:r>
        <w:rPr>
          <w:b w:val="0"/>
          <w:i w:val="0"/>
          <w:strike w:val="0"/>
        </w:rPr>
        <w:t>5.1 Texas — an exact precedent</w:t>
      </w:r>
    </w:p>
    <w:p>
      <w:r>
        <w:rPr>
          <w:b/>
          <w:i w:val="0"/>
          <w:strike w:val="0"/>
        </w:rPr>
        <w:t>Texas County and District Retirement System (TCDRS)</w:t>
      </w:r>
      <w:r>
        <w:rPr>
          <w:b w:val="0"/>
          <w:i w:val="0"/>
          <w:strike w:val="0"/>
        </w:rPr>
        <w:t xml:space="preserve"> grants military service credit for retirement eligibility only. This is a direct, current, citable match to the MOO-257 concept.</w:t>
      </w:r>
    </w:p>
    <w:p>
      <w:r>
        <w:rPr>
          <w:b/>
          <w:i w:val="0"/>
          <w:strike w:val="0"/>
        </w:rPr>
        <w:t>34 Tex. Admin. Code § 105.3(a)(1)</w:t>
      </w:r>
      <w:r>
        <w:rPr>
          <w:b w:val="0"/>
          <w:i w:val="0"/>
          <w:strike w:val="0"/>
        </w:rPr>
        <w:t xml:space="preserve"> (amended effective January 8, 2026, 51 TexReg 158):</w:t>
      </w:r>
    </w:p>
    <w:p>
      <w:pPr>
        <w:spacing w:after="80"/>
        <w:ind w:left="480"/>
      </w:pPr>
      <w:r>
        <w:rPr>
          <w:b w:val="0"/>
          <w:i w:val="0"/>
          <w:strike w:val="0"/>
          <w:sz w:val="20"/>
        </w:rPr>
        <w:t>"The term 'credited service' means membership service **for determining retirement</w:t>
      </w:r>
    </w:p>
    <w:p>
      <w:pPr>
        <w:spacing w:after="80"/>
        <w:ind w:left="480"/>
      </w:pPr>
      <w:r>
        <w:rPr>
          <w:b w:val="0"/>
          <w:i w:val="0"/>
          <w:strike w:val="0"/>
          <w:sz w:val="20"/>
        </w:rPr>
        <w:t>eligibility only</w:t>
      </w:r>
      <w:r>
        <w:rPr>
          <w:b/>
          <w:i w:val="0"/>
          <w:strike w:val="0"/>
          <w:sz w:val="20"/>
        </w:rPr>
        <w:t xml:space="preserve">. Member contributions and monetary credits are </w:t>
      </w:r>
      <w:r>
        <w:rPr>
          <w:b w:val="0"/>
          <w:i w:val="0"/>
          <w:strike w:val="0"/>
          <w:sz w:val="20"/>
        </w:rPr>
        <w:t>not required or</w:t>
      </w:r>
    </w:p>
    <w:p>
      <w:pPr>
        <w:spacing w:after="80"/>
        <w:ind w:left="480"/>
      </w:pPr>
      <w:r>
        <w:rPr>
          <w:b w:val="0"/>
          <w:i w:val="0"/>
          <w:strike w:val="0"/>
          <w:sz w:val="20"/>
        </w:rPr>
        <w:t>permitted** with respect to credited service for qualified military service."</w:t>
      </w:r>
    </w:p>
    <w:p>
      <w:r>
        <w:rPr>
          <w:b w:val="0"/>
          <w:i w:val="0"/>
          <w:strike w:val="0"/>
        </w:rPr>
        <w:t xml:space="preserve">The enabling statute, </w:t>
      </w:r>
      <w:r>
        <w:rPr>
          <w:b/>
          <w:i w:val="0"/>
          <w:strike w:val="0"/>
        </w:rPr>
        <w:t>Tex. Gov't Code § 843.502(c)</w:t>
      </w:r>
      <w:r>
        <w:rPr>
          <w:b w:val="0"/>
          <w:i w:val="0"/>
          <w:strike w:val="0"/>
        </w:rPr>
        <w:t>, gates it the same way the MOO-257 draft does:</w:t>
      </w:r>
    </w:p>
    <w:p>
      <w:pPr>
        <w:spacing w:after="80"/>
        <w:ind w:left="480"/>
      </w:pPr>
      <w:r>
        <w:rPr>
          <w:b w:val="0"/>
          <w:i w:val="0"/>
          <w:strike w:val="0"/>
          <w:sz w:val="20"/>
        </w:rPr>
        <w:t>"A member eligible to establish credited service under this subsection is one who is</w:t>
      </w:r>
    </w:p>
    <w:p>
      <w:pPr>
        <w:spacing w:after="80"/>
        <w:ind w:left="480"/>
      </w:pPr>
      <w:r>
        <w:rPr>
          <w:b/>
          <w:i w:val="0"/>
          <w:strike w:val="0"/>
          <w:sz w:val="20"/>
        </w:rPr>
        <w:t>vested</w:t>
      </w:r>
      <w:r>
        <w:rPr>
          <w:b w:val="0"/>
          <w:i w:val="0"/>
          <w:strike w:val="0"/>
          <w:sz w:val="20"/>
        </w:rPr>
        <w:t>, based on credited service only in this system and **without regard to</w:t>
      </w:r>
    </w:p>
    <w:p>
      <w:pPr>
        <w:spacing w:after="80"/>
        <w:ind w:left="480"/>
      </w:pPr>
      <w:r>
        <w:rPr>
          <w:b w:val="0"/>
          <w:i w:val="0"/>
          <w:strike w:val="0"/>
          <w:sz w:val="20"/>
        </w:rPr>
        <w:t>service that may be established under this subsection**, in a service retirement</w:t>
      </w:r>
    </w:p>
    <w:p>
      <w:pPr>
        <w:spacing w:after="80"/>
        <w:ind w:left="480"/>
      </w:pPr>
      <w:r>
        <w:rPr>
          <w:b w:val="0"/>
          <w:i w:val="0"/>
          <w:strike w:val="0"/>
          <w:sz w:val="20"/>
        </w:rPr>
        <w:t>annuity that may begin at the age of 60."</w:t>
      </w:r>
    </w:p>
    <w:p>
      <w:r>
        <w:rPr>
          <w:b w:val="0"/>
          <w:i w:val="0"/>
          <w:strike w:val="0"/>
        </w:rPr>
        <w:t>The cap is 60 months (§ 105.3(b)); MOO-257 proposes 48. The structural parallels are close: a vested-member gate, the purchased service expressly excluded from the test that qualifies the member to use it, a months-for-months ratio, and a hard cap.</w:t>
      </w:r>
    </w:p>
    <w:p>
      <w:r>
        <w:rPr>
          <w:b/>
          <w:i w:val="0"/>
          <w:strike w:val="0"/>
        </w:rPr>
        <w:t>One divergence matters a great deal.</w:t>
      </w:r>
      <w:r>
        <w:rPr>
          <w:b w:val="0"/>
          <w:i w:val="0"/>
          <w:strike w:val="0"/>
        </w:rPr>
        <w:t xml:space="preserve"> Texas makes the credit </w:t>
      </w:r>
      <w:r>
        <w:rPr>
          <w:b/>
          <w:i w:val="0"/>
          <w:strike w:val="0"/>
        </w:rPr>
        <w:t>free</w:t>
      </w:r>
      <w:r>
        <w:rPr>
          <w:b w:val="0"/>
          <w:i w:val="0"/>
          <w:strike w:val="0"/>
        </w:rPr>
        <w:t xml:space="preserve"> and affirmatively forbids contributions for it — because the credit does not increase the annuity, Texas concluded there is nothing to pay for. The MOO-257 draft charges approximate normal cost, a rate calibrated to benefit accrual, for a credit that by design produces no accrual. </w:t>
      </w:r>
      <w:r>
        <w:rPr>
          <w:b/>
          <w:i w:val="0"/>
          <w:strike w:val="0"/>
        </w:rPr>
        <w:t>That tension should be resolved before introduction.</w:t>
      </w:r>
      <w:r>
        <w:rPr>
          <w:b w:val="0"/>
          <w:i w:val="0"/>
          <w:strike w:val="0"/>
        </w:rPr>
        <w:t xml:space="preserve"> It cuts both ways: a reviewer may argue approximate normal cost overcharges the member for a narrower benefit, or that it is the wrong instrument entirely and the real price is the actuarial value of earlier commencement. Either way the pricing rationale needs to be stated in the bill's supporting materials, not assumed. This is a genuine drafting question for MOO-257 and is the most useful single finding in this section.</w:t>
      </w:r>
    </w:p>
    <w:p>
      <w:r>
        <w:rPr>
          <w:b w:val="0"/>
          <w:i w:val="0"/>
          <w:strike w:val="0"/>
        </w:rPr>
        <w:t xml:space="preserve">Texas also supplies </w:t>
      </w:r>
      <w:r>
        <w:rPr>
          <w:b/>
          <w:i w:val="0"/>
          <w:strike w:val="0"/>
        </w:rPr>
        <w:t>express eligibility-only drafting language</w:t>
      </w:r>
      <w:r>
        <w:rPr>
          <w:b w:val="0"/>
          <w:i w:val="0"/>
          <w:strike w:val="0"/>
        </w:rPr>
        <w:t xml:space="preserve"> that Virginia could adapt. </w:t>
      </w:r>
      <w:r>
        <w:rPr>
          <w:b/>
          <w:i w:val="0"/>
          <w:strike w:val="0"/>
        </w:rPr>
        <w:t>Tex. Gov't Code § 843.505</w:t>
      </w:r>
      <w:r>
        <w:rPr>
          <w:b w:val="0"/>
          <w:i w:val="0"/>
          <w:strike w:val="0"/>
        </w:rPr>
        <w:t>:</w:t>
      </w:r>
    </w:p>
    <w:p>
      <w:pPr>
        <w:spacing w:after="80"/>
        <w:ind w:left="480"/>
      </w:pPr>
      <w:r>
        <w:rPr>
          <w:b w:val="0"/>
          <w:i w:val="0"/>
          <w:strike w:val="0"/>
          <w:sz w:val="20"/>
        </w:rPr>
        <w:t>"... on application by a member and **for the sole purpose of determining eligibility</w:t>
      </w:r>
    </w:p>
    <w:p>
      <w:pPr>
        <w:spacing w:after="80"/>
        <w:ind w:left="480"/>
      </w:pPr>
      <w:r>
        <w:rPr>
          <w:b w:val="0"/>
          <w:i w:val="0"/>
          <w:strike w:val="0"/>
          <w:sz w:val="20"/>
        </w:rPr>
        <w:t>for retirement from this system**, to recognize service performed under another system</w:t>
      </w:r>
    </w:p>
    <w:p>
      <w:pPr>
        <w:spacing w:after="80"/>
        <w:ind w:left="480"/>
      </w:pPr>
      <w:r>
        <w:rPr>
          <w:b w:val="0"/>
          <w:i w:val="0"/>
          <w:strike w:val="0"/>
          <w:sz w:val="20"/>
        </w:rPr>
        <w:t>participating under Chapter 803 ..."</w:t>
      </w:r>
    </w:p>
    <w:p>
      <w:pPr>
        <w:pStyle w:val="Heading3"/>
      </w:pPr>
      <w:r>
        <w:rPr>
          <w:b w:val="0"/>
          <w:i w:val="0"/>
          <w:strike w:val="0"/>
        </w:rPr>
        <w:t>5.2 Kentucky — related but not a match</w:t>
      </w:r>
    </w:p>
    <w:p>
      <w:r>
        <w:rPr>
          <w:b/>
          <w:i w:val="0"/>
          <w:strike w:val="0"/>
        </w:rPr>
        <w:t>KRS 61.552(6)</w:t>
      </w:r>
      <w:r>
        <w:rPr>
          <w:b w:val="0"/>
          <w:i w:val="0"/>
          <w:strike w:val="0"/>
        </w:rPr>
        <w:t xml:space="preserve"> restricts purchased non-qualified service ("airtime"):</w:t>
      </w:r>
    </w:p>
    <w:p>
      <w:pPr>
        <w:spacing w:after="80"/>
        <w:ind w:left="480"/>
      </w:pPr>
      <w:r>
        <w:rPr>
          <w:b w:val="0"/>
          <w:i w:val="0"/>
          <w:strike w:val="0"/>
          <w:sz w:val="20"/>
        </w:rPr>
        <w:t>"The service purchased under this paragraph **shall not be used in determining a</w:t>
      </w:r>
    </w:p>
    <w:p>
      <w:pPr>
        <w:spacing w:after="80"/>
        <w:ind w:left="480"/>
      </w:pPr>
      <w:r>
        <w:rPr>
          <w:b w:val="0"/>
          <w:i w:val="0"/>
          <w:strike w:val="0"/>
          <w:sz w:val="20"/>
        </w:rPr>
        <w:t>retirement allowance until the member has accrued at least two hundred forty (240)</w:t>
      </w:r>
    </w:p>
    <w:p>
      <w:pPr>
        <w:spacing w:after="80"/>
        <w:ind w:left="480"/>
      </w:pPr>
      <w:r>
        <w:rPr>
          <w:b w:val="0"/>
          <w:i w:val="0"/>
          <w:strike w:val="0"/>
          <w:sz w:val="20"/>
        </w:rPr>
        <w:t>months of service, excluding service purchased under this subsection**."</w:t>
      </w:r>
    </w:p>
    <w:p>
      <w:r>
        <w:rPr>
          <w:b w:val="0"/>
          <w:i w:val="0"/>
          <w:strike w:val="0"/>
        </w:rPr>
        <w:t xml:space="preserve">This is the </w:t>
      </w:r>
      <w:r>
        <w:rPr>
          <w:b/>
          <w:i w:val="0"/>
          <w:strike w:val="0"/>
        </w:rPr>
        <w:t>mirror image</w:t>
      </w:r>
      <w:r>
        <w:rPr>
          <w:b w:val="0"/>
          <w:i w:val="0"/>
          <w:strike w:val="0"/>
        </w:rPr>
        <w:t xml:space="preserve"> of the MOO-257 proposal, and should not be cited as support. Kentucky permits the purchase but withholds its benefit effect until a service threshold is met by other service, and excludes the purchased service from that threshold. It is evidence that limited-purpose service credit is a drafting pattern legislatures do use, and it is </w:t>
      </w:r>
      <w:r>
        <w:rPr>
          <w:b/>
          <w:i w:val="0"/>
          <w:strike w:val="0"/>
        </w:rPr>
        <w:t>not</w:t>
      </w:r>
      <w:r>
        <w:rPr>
          <w:b w:val="0"/>
          <w:i w:val="0"/>
          <w:strike w:val="0"/>
        </w:rPr>
        <w:t xml:space="preserve"> military-specific — KRS 61.552(2)(d) handles military purchases separately, without this restriction.</w:t>
      </w:r>
    </w:p>
    <w:p>
      <w:pPr>
        <w:pStyle w:val="Heading3"/>
      </w:pPr>
      <w:r>
        <w:rPr>
          <w:b w:val="0"/>
          <w:i w:val="0"/>
          <w:strike w:val="0"/>
        </w:rPr>
        <w:t>5.3 Federal — structural analogue</w:t>
      </w:r>
    </w:p>
    <w:p>
      <w:r>
        <w:rPr>
          <w:b w:val="0"/>
          <w:i w:val="0"/>
          <w:strike w:val="0"/>
        </w:rPr>
        <w:t xml:space="preserve">Under </w:t>
      </w:r>
      <w:r>
        <w:rPr>
          <w:b/>
          <w:i w:val="0"/>
          <w:strike w:val="0"/>
        </w:rPr>
        <w:t>FERS</w:t>
      </w:r>
      <w:r>
        <w:rPr>
          <w:b w:val="0"/>
          <w:i w:val="0"/>
          <w:strike w:val="0"/>
        </w:rPr>
        <w:t xml:space="preserve">, a member who took a refund of retirement deductions receives credit for that service in determining </w:t>
      </w:r>
      <w:r>
        <w:rPr>
          <w:b/>
          <w:i w:val="0"/>
          <w:strike w:val="0"/>
        </w:rPr>
        <w:t>eligibility</w:t>
      </w:r>
      <w:r>
        <w:rPr>
          <w:b w:val="0"/>
          <w:i w:val="0"/>
          <w:strike w:val="0"/>
        </w:rPr>
        <w:t xml:space="preserve"> to retire but not in </w:t>
      </w:r>
      <w:r>
        <w:rPr>
          <w:b/>
          <w:i w:val="0"/>
          <w:strike w:val="0"/>
        </w:rPr>
        <w:t>computing</w:t>
      </w:r>
      <w:r>
        <w:rPr>
          <w:b w:val="0"/>
          <w:i w:val="0"/>
          <w:strike w:val="0"/>
        </w:rPr>
        <w:t xml:space="preserve"> the benefit (OPM, Creditable Service / FERS Information). This confirms that the eligibility/accrual split is administrable in a large defined benefit system, though the occasion is refunded civilian service rather than military service.</w:t>
      </w:r>
    </w:p>
    <w:p>
      <w:pPr>
        <w:pStyle w:val="Heading3"/>
      </w:pPr>
      <w:r>
        <w:rPr>
          <w:b w:val="0"/>
          <w:i w:val="0"/>
          <w:strike w:val="0"/>
        </w:rPr>
        <w:t>5.4 Scope limit</w:t>
      </w:r>
    </w:p>
    <w:p>
      <w:r>
        <w:rPr>
          <w:b w:val="0"/>
          <w:i w:val="0"/>
          <w:strike w:val="0"/>
        </w:rPr>
        <w:t xml:space="preserve">Texas is the only affirmative match identified. This scan was targeted rather than a fifty-state survey, so the honest statement for the brief is that </w:t>
      </w:r>
      <w:r>
        <w:rPr>
          <w:b/>
          <w:i w:val="0"/>
          <w:strike w:val="0"/>
        </w:rPr>
        <w:t>a comparable eligibility-only military service credit exists in at least one other state system (TCDRS)</w:t>
      </w:r>
      <w:r>
        <w:rPr>
          <w:b w:val="0"/>
          <w:i w:val="0"/>
          <w:strike w:val="0"/>
        </w:rPr>
        <w:t>, not that Texas is unique in having one. A full survey would be the NASRA service-purchase compendium plus fifty statutory checks.</w:t>
      </w:r>
    </w:p>
    <w:p>
      <w:pPr>
        <w:jc w:val="center"/>
      </w:pPr>
      <w:r>
        <w:rPr>
          <w:color w:val="909090"/>
          <w:sz w:val="18"/>
        </w:rPr>
        <w:t>* * *</w:t>
      </w:r>
    </w:p>
    <w:p>
      <w:pPr>
        <w:pStyle w:val="Heading2"/>
      </w:pPr>
      <w:r>
        <w:rPr>
          <w:b w:val="0"/>
          <w:i w:val="0"/>
          <w:strike w:val="0"/>
        </w:rPr>
        <w:t>6. Open questions for VRS actuaries or legislative counsel</w:t>
      </w:r>
    </w:p>
    <w:p>
      <w:r>
        <w:rPr>
          <w:b w:val="0"/>
          <w:i w:val="0"/>
          <w:strike w:val="0"/>
        </w:rPr>
        <w:t>Carried forward or newly raised by this scan:</w:t>
      </w:r>
    </w:p>
    <w:p>
      <w:pPr>
        <w:pStyle w:val="ListNumber"/>
      </w:pPr>
      <w:r>
        <w:rPr>
          <w:b/>
          <w:i w:val="0"/>
          <w:strike w:val="0"/>
        </w:rPr>
        <w:t>ACTUARY 1 remains open.</w:t>
      </w:r>
      <w:r>
        <w:rPr>
          <w:b w:val="0"/>
          <w:i w:val="0"/>
          <w:strike w:val="0"/>
        </w:rPr>
        <w:t xml:space="preserve"> The HB 1867 figure ($10,000–$60,000 per member for 48</w:t>
      </w:r>
    </w:p>
    <w:p>
      <w:r>
        <w:rPr>
          <w:b w:val="0"/>
          <w:i w:val="0"/>
          <w:strike w:val="0"/>
        </w:rPr>
        <w:t>months, no-cost grant) is an upper-bound anchor only. The proposal's actual exposure is the approximate-normal-cost-to-actuarial-equivalent-cost shortfall plus the value of accelerated commencement. Only VRS can model it.</w:t>
      </w:r>
    </w:p>
    <w:p>
      <w:pPr>
        <w:pStyle w:val="ListNumber"/>
      </w:pPr>
      <w:r>
        <w:rPr>
          <w:b/>
          <w:i w:val="0"/>
          <w:strike w:val="0"/>
        </w:rPr>
        <w:t>Pricing instrument.</w:t>
      </w:r>
      <w:r>
        <w:rPr>
          <w:b w:val="0"/>
          <w:i w:val="0"/>
          <w:strike w:val="0"/>
        </w:rPr>
        <w:t xml:space="preserve"> Is approximate normal cost the correct price for a credit that</w:t>
      </w:r>
    </w:p>
    <w:p>
      <w:r>
        <w:rPr>
          <w:b w:val="0"/>
          <w:i w:val="0"/>
          <w:strike w:val="0"/>
        </w:rPr>
        <w:t xml:space="preserve">produces no accrual? Texas charges nothing for the equivalent credit. This needs an actuarial answer and a stated rationale. </w:t>
      </w:r>
      <w:r>
        <w:rPr>
          <w:b w:val="0"/>
          <w:i/>
          <w:strike w:val="0"/>
        </w:rPr>
        <w:t>(New — raised by § 5.1.)</w:t>
      </w:r>
    </w:p>
    <w:p>
      <w:pPr>
        <w:pStyle w:val="ListNumber"/>
      </w:pPr>
      <w:r>
        <w:rPr>
          <w:b/>
          <w:i w:val="0"/>
          <w:strike w:val="0"/>
        </w:rPr>
        <w:t>Cost-neutrality framing against 2015 c. 508.</w:t>
      </w:r>
      <w:r>
        <w:rPr>
          <w:b w:val="0"/>
          <w:i w:val="0"/>
          <w:strike w:val="0"/>
        </w:rPr>
        <w:t xml:space="preserve"> The patron will be asked why the</w:t>
      </w:r>
    </w:p>
    <w:p>
      <w:r>
        <w:rPr>
          <w:b w:val="0"/>
          <w:i w:val="0"/>
          <w:strike w:val="0"/>
        </w:rPr>
        <w:t xml:space="preserve">General Assembly should partially reverse a reform it adopted unanimously for cost-neutrality. A prepared answer is required. </w:t>
      </w:r>
      <w:r>
        <w:rPr>
          <w:b w:val="0"/>
          <w:i/>
          <w:strike w:val="0"/>
        </w:rPr>
        <w:t>(New — raised by § 1.2.)</w:t>
      </w:r>
    </w:p>
    <w:p>
      <w:pPr>
        <w:pStyle w:val="ListNumber"/>
      </w:pPr>
      <w:r>
        <w:rPr>
          <w:b/>
          <w:i w:val="0"/>
          <w:strike w:val="0"/>
        </w:rPr>
        <w:t>Administrative lead time and appropriation.</w:t>
      </w:r>
      <w:r>
        <w:rPr>
          <w:b w:val="0"/>
          <w:i w:val="0"/>
          <w:strike w:val="0"/>
        </w:rPr>
        <w:t xml:space="preserve"> Expect a six-figure VRS</w:t>
      </w:r>
    </w:p>
    <w:p>
      <w:r>
        <w:rPr>
          <w:b w:val="0"/>
          <w:i w:val="0"/>
          <w:strike w:val="0"/>
        </w:rPr>
        <w:t xml:space="preserve">implementation ask. </w:t>
      </w:r>
      <w:r>
        <w:rPr>
          <w:b/>
          <w:i w:val="0"/>
          <w:strike w:val="0"/>
        </w:rPr>
        <w:t>Version 1.4 of the bill moves the effective date from July 1, 2028 to July 1, 2029</w:t>
      </w:r>
      <w:r>
        <w:rPr>
          <w:b w:val="0"/>
          <w:i w:val="0"/>
          <w:strike w:val="0"/>
        </w:rPr>
        <w:t xml:space="preserve"> (DECISION 14, resolving the § 51.1-155 sunset collision), which as a by-product converts a nominal four-month lead time on a 2028-session bill into a full year. That date should still be validated against VRS's separate-accounting build estimate. The six-figure ask is also what makes </w:t>
      </w:r>
      <w:r>
        <w:rPr>
          <w:b/>
          <w:i w:val="0"/>
          <w:strike w:val="0"/>
        </w:rPr>
        <w:t>§ 2.2-2682 C</w:t>
      </w:r>
      <w:r>
        <w:rPr>
          <w:b w:val="0"/>
          <w:i w:val="0"/>
          <w:strike w:val="0"/>
        </w:rPr>
        <w:t xml:space="preserve"> available as an objection inside the Council — see §4 above.</w:t>
      </w:r>
    </w:p>
    <w:p>
      <w:pPr>
        <w:pStyle w:val="ListNumber"/>
      </w:pPr>
      <w:r>
        <w:rPr>
          <w:b/>
          <w:i w:val="0"/>
          <w:strike w:val="0"/>
        </w:rPr>
        <w:t>JLCVSO 2027 package.</w:t>
      </w:r>
      <w:r>
        <w:rPr>
          <w:b w:val="0"/>
          <w:i w:val="0"/>
          <w:strike w:val="0"/>
        </w:rPr>
        <w:t xml:space="preserve"> Confirm contents and whether the Council will carry a pension</w:t>
      </w:r>
    </w:p>
    <w:p>
      <w:r>
        <w:rPr>
          <w:b w:val="0"/>
          <w:i w:val="0"/>
          <w:strike w:val="0"/>
        </w:rPr>
        <w:t>item at all, directly with DVS or the Council.</w:t>
      </w:r>
    </w:p>
    <w:p>
      <w:pPr>
        <w:pStyle w:val="ListNumber"/>
      </w:pPr>
      <w:r>
        <w:rPr>
          <w:b/>
          <w:i w:val="0"/>
          <w:strike w:val="0"/>
        </w:rPr>
        <w:t>Offsetting-appropriation precedent.</w:t>
      </w:r>
      <w:r>
        <w:rPr>
          <w:b w:val="0"/>
          <w:i w:val="0"/>
          <w:strike w:val="0"/>
        </w:rPr>
        <w:t xml:space="preserve"> Whether any money committee has advanced a VRS</w:t>
      </w:r>
    </w:p>
    <w:p>
      <w:r>
        <w:rPr>
          <w:b w:val="0"/>
          <w:i w:val="0"/>
          <w:strike w:val="0"/>
        </w:rPr>
        <w:t>enhancement with unfunded liability conditioned on an offset requires a budget-bill item review not performed here.</w:t>
      </w:r>
    </w:p>
    <w:p>
      <w:pPr>
        <w:pStyle w:val="ListNumber"/>
      </w:pPr>
      <w:r>
        <w:rPr>
          <w:b/>
          <w:i w:val="0"/>
          <w:strike w:val="0"/>
        </w:rPr>
        <w:t>Competing-bill deconfliction.</w:t>
      </w:r>
      <w:r>
        <w:rPr>
          <w:b w:val="0"/>
          <w:i w:val="0"/>
          <w:strike w:val="0"/>
        </w:rPr>
        <w:t xml:space="preserve"> SB 419 (2027) is pending in Senate Finance and</w:t>
      </w:r>
    </w:p>
    <w:p>
      <w:r>
        <w:rPr>
          <w:b w:val="0"/>
          <w:i w:val="0"/>
          <w:strike w:val="0"/>
        </w:rPr>
        <w:t>Appropriations with a $258M adverse statement. Sequencing should be discussed with the patron.</w:t>
      </w:r>
    </w:p>
    <w:p>
      <w:pPr>
        <w:pStyle w:val="ListNumber"/>
      </w:pPr>
      <w:r>
        <w:rPr>
          <w:b/>
          <w:i w:val="0"/>
          <w:strike w:val="0"/>
        </w:rPr>
        <w:t>IRC § 415(n)</w:t>
      </w:r>
      <w:r>
        <w:rPr>
          <w:b w:val="0"/>
          <w:i w:val="0"/>
          <w:strike w:val="0"/>
        </w:rPr>
        <w:t xml:space="preserve"> treatment of an eligibility-only purchase remains unresolved</w:t>
      </w:r>
    </w:p>
    <w:p>
      <w:r>
        <w:rPr>
          <w:b w:val="0"/>
          <w:i w:val="0"/>
          <w:strike w:val="0"/>
        </w:rPr>
        <w:t>(memo COUNSEL 3) — and § 5.1's pricing question sharpens it, because what the member is buying is harder to characterize when it produces no accrual.</w:t>
      </w:r>
    </w:p>
    <w:p>
      <w:pPr>
        <w:jc w:val="center"/>
      </w:pPr>
      <w:r>
        <w:rPr>
          <w:color w:val="909090"/>
          <w:sz w:val="18"/>
        </w:rPr>
        <w:t>* * *</w:t>
      </w:r>
    </w:p>
    <w:p>
      <w:pPr>
        <w:pStyle w:val="Heading2"/>
      </w:pPr>
      <w:r>
        <w:rPr>
          <w:b w:val="0"/>
          <w:i w:val="0"/>
          <w:strike w:val="0"/>
        </w:rPr>
        <w:t>7. Source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strike w:val="0"/>
              </w:rPr>
              <w:t>ID</w:t>
            </w:r>
          </w:p>
        </w:tc>
        <w:tc>
          <w:tcPr>
            <w:tcW w:type="dxa" w:w="2160"/>
          </w:tcPr>
          <w:p>
            <w:r>
              <w:rPr>
                <w:b/>
                <w:i w:val="0"/>
                <w:strike w:val="0"/>
              </w:rPr>
              <w:t>Source</w:t>
            </w:r>
          </w:p>
        </w:tc>
        <w:tc>
          <w:tcPr>
            <w:tcW w:type="dxa" w:w="2160"/>
          </w:tcPr>
          <w:p>
            <w:r>
              <w:rPr>
                <w:b/>
                <w:i w:val="0"/>
                <w:strike w:val="0"/>
              </w:rPr>
              <w:t>URL</w:t>
            </w:r>
          </w:p>
        </w:tc>
        <w:tc>
          <w:tcPr>
            <w:tcW w:type="dxa" w:w="2160"/>
          </w:tcPr>
          <w:p>
            <w:r>
              <w:rPr>
                <w:b/>
                <w:i w:val="0"/>
                <w:strike w:val="0"/>
              </w:rPr>
              <w:t>Retrieved</w:t>
            </w:r>
          </w:p>
        </w:tc>
      </w:tr>
      <w:tr>
        <w:tc>
          <w:tcPr>
            <w:tcW w:type="dxa" w:w="2160"/>
          </w:tcPr>
          <w:p>
            <w:r>
              <w:rPr>
                <w:b w:val="0"/>
                <w:i w:val="0"/>
                <w:strike w:val="0"/>
              </w:rPr>
              <w:t>P-01</w:t>
            </w:r>
          </w:p>
        </w:tc>
        <w:tc>
          <w:tcPr>
            <w:tcW w:type="dxa" w:w="2160"/>
          </w:tcPr>
          <w:p>
            <w:r>
              <w:rPr>
                <w:b w:val="0"/>
                <w:i w:val="0"/>
                <w:strike w:val="0"/>
              </w:rPr>
              <w:t>LIS, 2015 Acts of Assembly c. 508 (HB 1890) chaptered text</w:t>
            </w:r>
          </w:p>
        </w:tc>
        <w:tc>
          <w:tcPr>
            <w:tcW w:type="dxa" w:w="2160"/>
          </w:tcPr>
          <w:p>
            <w:r>
              <w:rPr>
                <w:b w:val="0"/>
                <w:i w:val="0"/>
                <w:strike w:val="0"/>
              </w:rPr>
              <w:t>https://legacylis.virginia.gov/cgi-bin/legp604.exe?151+ful+CHAP0508</w:t>
            </w:r>
          </w:p>
        </w:tc>
        <w:tc>
          <w:tcPr>
            <w:tcW w:type="dxa" w:w="2160"/>
          </w:tcPr>
          <w:p>
            <w:r>
              <w:rPr>
                <w:b w:val="0"/>
                <w:i w:val="0"/>
                <w:strike w:val="0"/>
              </w:rPr>
              <w:t>2026-10-19</w:t>
            </w:r>
          </w:p>
        </w:tc>
      </w:tr>
      <w:tr>
        <w:tc>
          <w:tcPr>
            <w:tcW w:type="dxa" w:w="2160"/>
          </w:tcPr>
          <w:p>
            <w:r>
              <w:rPr>
                <w:b w:val="0"/>
                <w:i w:val="0"/>
                <w:strike w:val="0"/>
              </w:rPr>
              <w:t>P-02</w:t>
            </w:r>
          </w:p>
        </w:tc>
        <w:tc>
          <w:tcPr>
            <w:tcW w:type="dxa" w:w="2160"/>
          </w:tcPr>
          <w:p>
            <w:r>
              <w:rPr>
                <w:b w:val="0"/>
                <w:i w:val="0"/>
                <w:strike w:val="0"/>
              </w:rPr>
              <w:t>LIS bill records and event histories, sessions 19941–20271</w:t>
            </w:r>
          </w:p>
        </w:tc>
        <w:tc>
          <w:tcPr>
            <w:tcW w:type="dxa" w:w="2160"/>
          </w:tcPr>
          <w:p>
            <w:r>
              <w:rPr>
                <w:b w:val="0"/>
                <w:i w:val="0"/>
                <w:strike w:val="0"/>
              </w:rPr>
              <w:t>https://lis.virginia.gov/ (AdvancedLegislationSearch, LegislationEvent)</w:t>
            </w:r>
          </w:p>
        </w:tc>
        <w:tc>
          <w:tcPr>
            <w:tcW w:type="dxa" w:w="2160"/>
          </w:tcPr>
          <w:p>
            <w:r>
              <w:rPr>
                <w:b w:val="0"/>
                <w:i w:val="0"/>
                <w:strike w:val="0"/>
              </w:rPr>
              <w:t>2026-10-19</w:t>
            </w:r>
          </w:p>
        </w:tc>
      </w:tr>
      <w:tr>
        <w:tc>
          <w:tcPr>
            <w:tcW w:type="dxa" w:w="2160"/>
          </w:tcPr>
          <w:p>
            <w:r>
              <w:rPr>
                <w:b w:val="0"/>
                <w:i w:val="0"/>
                <w:strike w:val="0"/>
              </w:rPr>
              <w:t>P-03</w:t>
            </w:r>
          </w:p>
        </w:tc>
        <w:tc>
          <w:tcPr>
            <w:tcW w:type="dxa" w:w="2160"/>
          </w:tcPr>
          <w:p>
            <w:r>
              <w:rPr>
                <w:b w:val="0"/>
                <w:i w:val="0"/>
                <w:strike w:val="0"/>
              </w:rPr>
              <w:t>VRS 2023 Fiscal Impact Statement, HB 1867 (HB1867F158.PDF)</w:t>
            </w:r>
          </w:p>
        </w:tc>
        <w:tc>
          <w:tcPr>
            <w:tcW w:type="dxa" w:w="2160"/>
          </w:tcPr>
          <w:p>
            <w:r>
              <w:rPr>
                <w:b w:val="0"/>
                <w:i w:val="0"/>
                <w:strike w:val="0"/>
              </w:rPr>
              <w:t>https://legacylis.virginia.gov/cgi-bin/legp604.exe?231+oth+HB1867F158+PDF</w:t>
            </w:r>
          </w:p>
        </w:tc>
        <w:tc>
          <w:tcPr>
            <w:tcW w:type="dxa" w:w="2160"/>
          </w:tcPr>
          <w:p>
            <w:r>
              <w:rPr>
                <w:b w:val="0"/>
                <w:i w:val="0"/>
                <w:strike w:val="0"/>
              </w:rPr>
              <w:t>2026-10-19</w:t>
            </w:r>
          </w:p>
        </w:tc>
      </w:tr>
      <w:tr>
        <w:tc>
          <w:tcPr>
            <w:tcW w:type="dxa" w:w="2160"/>
          </w:tcPr>
          <w:p>
            <w:r>
              <w:rPr>
                <w:b w:val="0"/>
                <w:i w:val="0"/>
                <w:strike w:val="0"/>
              </w:rPr>
              <w:t>P-04</w:t>
            </w:r>
          </w:p>
        </w:tc>
        <w:tc>
          <w:tcPr>
            <w:tcW w:type="dxa" w:w="2160"/>
          </w:tcPr>
          <w:p>
            <w:r>
              <w:rPr>
                <w:b w:val="0"/>
                <w:i w:val="0"/>
                <w:strike w:val="0"/>
              </w:rPr>
              <w:t>VRS 2026 Fiscal Impact Statement, SB 419</w:t>
            </w:r>
          </w:p>
        </w:tc>
        <w:tc>
          <w:tcPr>
            <w:tcW w:type="dxa" w:w="2160"/>
          </w:tcPr>
          <w:p>
            <w:r>
              <w:rPr>
                <w:b w:val="0"/>
                <w:i w:val="0"/>
                <w:strike w:val="0"/>
              </w:rPr>
              <w:t>https://lis.blob.core.windows.net/files/1098992.PDF</w:t>
            </w:r>
          </w:p>
        </w:tc>
        <w:tc>
          <w:tcPr>
            <w:tcW w:type="dxa" w:w="2160"/>
          </w:tcPr>
          <w:p>
            <w:r>
              <w:rPr>
                <w:b w:val="0"/>
                <w:i w:val="0"/>
                <w:strike w:val="0"/>
              </w:rPr>
              <w:t>2026-10-19</w:t>
            </w:r>
          </w:p>
        </w:tc>
      </w:tr>
      <w:tr>
        <w:tc>
          <w:tcPr>
            <w:tcW w:type="dxa" w:w="2160"/>
          </w:tcPr>
          <w:p>
            <w:r>
              <w:rPr>
                <w:b w:val="0"/>
                <w:i w:val="0"/>
                <w:strike w:val="0"/>
              </w:rPr>
              <w:t>P-05</w:t>
            </w:r>
          </w:p>
        </w:tc>
        <w:tc>
          <w:tcPr>
            <w:tcW w:type="dxa" w:w="2160"/>
          </w:tcPr>
          <w:p>
            <w:r>
              <w:rPr>
                <w:b w:val="0"/>
                <w:i w:val="0"/>
                <w:strike w:val="0"/>
              </w:rPr>
              <w:t>VRS 2025 State Fiscal Impact Statement, SB 1396</w:t>
            </w:r>
          </w:p>
        </w:tc>
        <w:tc>
          <w:tcPr>
            <w:tcW w:type="dxa" w:w="2160"/>
          </w:tcPr>
          <w:p>
            <w:r>
              <w:rPr>
                <w:b w:val="0"/>
                <w:i w:val="0"/>
                <w:strike w:val="0"/>
              </w:rPr>
              <w:t>https://lis.blob.core.windows.net/files/1020775.PDF</w:t>
            </w:r>
          </w:p>
        </w:tc>
        <w:tc>
          <w:tcPr>
            <w:tcW w:type="dxa" w:w="2160"/>
          </w:tcPr>
          <w:p>
            <w:r>
              <w:rPr>
                <w:b w:val="0"/>
                <w:i w:val="0"/>
                <w:strike w:val="0"/>
              </w:rPr>
              <w:t>2026-10-19</w:t>
            </w:r>
          </w:p>
        </w:tc>
      </w:tr>
      <w:tr>
        <w:tc>
          <w:tcPr>
            <w:tcW w:type="dxa" w:w="2160"/>
          </w:tcPr>
          <w:p>
            <w:r>
              <w:rPr>
                <w:b w:val="0"/>
                <w:i w:val="0"/>
                <w:strike w:val="0"/>
              </w:rPr>
              <w:t>P-06</w:t>
            </w:r>
          </w:p>
        </w:tc>
        <w:tc>
          <w:tcPr>
            <w:tcW w:type="dxa" w:w="2160"/>
          </w:tcPr>
          <w:p>
            <w:r>
              <w:rPr>
                <w:b w:val="0"/>
                <w:i w:val="0"/>
                <w:strike w:val="0"/>
              </w:rPr>
              <w:t>DVS Commissioner's 2025 Annual Report (RD986), incl. JLC appendix and § 2.2-2682</w:t>
            </w:r>
          </w:p>
        </w:tc>
        <w:tc>
          <w:tcPr>
            <w:tcW w:type="dxa" w:w="2160"/>
          </w:tcPr>
          <w:p>
            <w:r>
              <w:rPr>
                <w:b w:val="0"/>
                <w:i w:val="0"/>
                <w:strike w:val="0"/>
              </w:rPr>
              <w:t>https://rga.lis.virginia.gov/Published/2025/RD986/PDF</w:t>
            </w:r>
          </w:p>
        </w:tc>
        <w:tc>
          <w:tcPr>
            <w:tcW w:type="dxa" w:w="2160"/>
          </w:tcPr>
          <w:p>
            <w:r>
              <w:rPr>
                <w:b w:val="0"/>
                <w:i w:val="0"/>
                <w:strike w:val="0"/>
              </w:rPr>
              <w:t>2026-10-19</w:t>
            </w:r>
          </w:p>
        </w:tc>
      </w:tr>
      <w:tr>
        <w:tc>
          <w:tcPr>
            <w:tcW w:type="dxa" w:w="2160"/>
          </w:tcPr>
          <w:p>
            <w:r>
              <w:rPr>
                <w:b w:val="0"/>
                <w:i w:val="0"/>
                <w:strike w:val="0"/>
              </w:rPr>
              <w:t>P-07</w:t>
            </w:r>
          </w:p>
        </w:tc>
        <w:tc>
          <w:tcPr>
            <w:tcW w:type="dxa" w:w="2160"/>
          </w:tcPr>
          <w:p>
            <w:r>
              <w:rPr>
                <w:b w:val="0"/>
                <w:i w:val="0"/>
                <w:strike w:val="0"/>
              </w:rPr>
              <w:t>Code of Virginia, Art. 28, Ch. 26, Title 2.2 (JLCVSO)</w:t>
            </w:r>
          </w:p>
        </w:tc>
        <w:tc>
          <w:tcPr>
            <w:tcW w:type="dxa" w:w="2160"/>
          </w:tcPr>
          <w:p>
            <w:r>
              <w:rPr>
                <w:b w:val="0"/>
                <w:i w:val="0"/>
                <w:strike w:val="0"/>
              </w:rPr>
              <w:t>https://law.lis.virginia.gov/vacodefull/title2.2/chapter26/article28/</w:t>
            </w:r>
          </w:p>
        </w:tc>
        <w:tc>
          <w:tcPr>
            <w:tcW w:type="dxa" w:w="2160"/>
          </w:tcPr>
          <w:p>
            <w:r>
              <w:rPr>
                <w:b w:val="0"/>
                <w:i w:val="0"/>
                <w:strike w:val="0"/>
              </w:rPr>
              <w:t>2026-10-19</w:t>
            </w:r>
          </w:p>
        </w:tc>
      </w:tr>
      <w:tr>
        <w:tc>
          <w:tcPr>
            <w:tcW w:type="dxa" w:w="2160"/>
          </w:tcPr>
          <w:p>
            <w:r>
              <w:rPr>
                <w:b w:val="0"/>
                <w:i w:val="0"/>
                <w:strike w:val="0"/>
              </w:rPr>
              <w:t>P-08</w:t>
            </w:r>
          </w:p>
        </w:tc>
        <w:tc>
          <w:tcPr>
            <w:tcW w:type="dxa" w:w="2160"/>
          </w:tcPr>
          <w:p>
            <w:r>
              <w:rPr>
                <w:b w:val="0"/>
                <w:i w:val="0"/>
                <w:strike w:val="0"/>
              </w:rPr>
              <w:t>TCDRS Act 2025 (Tex. Gov't Code §§ 843.502, 843.505)</w:t>
            </w:r>
          </w:p>
        </w:tc>
        <w:tc>
          <w:tcPr>
            <w:tcW w:type="dxa" w:w="2160"/>
          </w:tcPr>
          <w:p>
            <w:r>
              <w:rPr>
                <w:b w:val="0"/>
                <w:i w:val="0"/>
                <w:strike w:val="0"/>
              </w:rPr>
              <w:t>https://www.tcdrs.org/globalassets/policy-documents/tcdrs-act-2025.pdf</w:t>
            </w:r>
          </w:p>
        </w:tc>
        <w:tc>
          <w:tcPr>
            <w:tcW w:type="dxa" w:w="2160"/>
          </w:tcPr>
          <w:p>
            <w:r>
              <w:rPr>
                <w:b w:val="0"/>
                <w:i w:val="0"/>
                <w:strike w:val="0"/>
              </w:rPr>
              <w:t>2026-10-19</w:t>
            </w:r>
          </w:p>
        </w:tc>
      </w:tr>
      <w:tr>
        <w:tc>
          <w:tcPr>
            <w:tcW w:type="dxa" w:w="2160"/>
          </w:tcPr>
          <w:p>
            <w:r>
              <w:rPr>
                <w:b w:val="0"/>
                <w:i w:val="0"/>
                <w:strike w:val="0"/>
              </w:rPr>
              <w:t>P-09</w:t>
            </w:r>
          </w:p>
        </w:tc>
        <w:tc>
          <w:tcPr>
            <w:tcW w:type="dxa" w:w="2160"/>
          </w:tcPr>
          <w:p>
            <w:r>
              <w:rPr>
                <w:b w:val="0"/>
                <w:i w:val="0"/>
                <w:strike w:val="0"/>
              </w:rPr>
              <w:t>TCDRS Administrative Code 2026 (34 Tex. Admin. Code § 105.3)</w:t>
            </w:r>
          </w:p>
        </w:tc>
        <w:tc>
          <w:tcPr>
            <w:tcW w:type="dxa" w:w="2160"/>
          </w:tcPr>
          <w:p>
            <w:r>
              <w:rPr>
                <w:b w:val="0"/>
                <w:i w:val="0"/>
                <w:strike w:val="0"/>
              </w:rPr>
              <w:t>https://www.tcdrs.org/globalassets/policy-documents/tcdrs-administrative-code-2026.pdf</w:t>
            </w:r>
          </w:p>
        </w:tc>
        <w:tc>
          <w:tcPr>
            <w:tcW w:type="dxa" w:w="2160"/>
          </w:tcPr>
          <w:p>
            <w:r>
              <w:rPr>
                <w:b w:val="0"/>
                <w:i w:val="0"/>
                <w:strike w:val="0"/>
              </w:rPr>
              <w:t>2026-10-19</w:t>
            </w:r>
          </w:p>
        </w:tc>
      </w:tr>
      <w:tr>
        <w:tc>
          <w:tcPr>
            <w:tcW w:type="dxa" w:w="2160"/>
          </w:tcPr>
          <w:p>
            <w:r>
              <w:rPr>
                <w:b w:val="0"/>
                <w:i w:val="0"/>
                <w:strike w:val="0"/>
              </w:rPr>
              <w:t>P-10</w:t>
            </w:r>
          </w:p>
        </w:tc>
        <w:tc>
          <w:tcPr>
            <w:tcW w:type="dxa" w:w="2160"/>
          </w:tcPr>
          <w:p>
            <w:r>
              <w:rPr>
                <w:b w:val="0"/>
                <w:i w:val="0"/>
                <w:strike w:val="0"/>
              </w:rPr>
              <w:t>KRS 61.552</w:t>
            </w:r>
          </w:p>
        </w:tc>
        <w:tc>
          <w:tcPr>
            <w:tcW w:type="dxa" w:w="2160"/>
          </w:tcPr>
          <w:p>
            <w:r>
              <w:rPr>
                <w:b w:val="0"/>
                <w:i w:val="0"/>
                <w:strike w:val="0"/>
              </w:rPr>
              <w:t>https://apps.legislature.ky.gov/law/statutes/statute.aspx?id=54852</w:t>
            </w:r>
          </w:p>
        </w:tc>
        <w:tc>
          <w:tcPr>
            <w:tcW w:type="dxa" w:w="2160"/>
          </w:tcPr>
          <w:p>
            <w:r>
              <w:rPr>
                <w:b w:val="0"/>
                <w:i w:val="0"/>
                <w:strike w:val="0"/>
              </w:rPr>
              <w:t>2026-10-19</w:t>
            </w:r>
          </w:p>
        </w:tc>
      </w:tr>
      <w:tr>
        <w:tc>
          <w:tcPr>
            <w:tcW w:type="dxa" w:w="2160"/>
          </w:tcPr>
          <w:p>
            <w:r>
              <w:rPr>
                <w:b w:val="0"/>
                <w:i w:val="0"/>
                <w:strike w:val="0"/>
              </w:rPr>
              <w:t>P-11</w:t>
            </w:r>
          </w:p>
        </w:tc>
        <w:tc>
          <w:tcPr>
            <w:tcW w:type="dxa" w:w="2160"/>
          </w:tcPr>
          <w:p>
            <w:r>
              <w:rPr>
                <w:b w:val="0"/>
                <w:i w:val="0"/>
                <w:strike w:val="0"/>
              </w:rPr>
              <w:t>OPM, FERS Creditable Service</w:t>
            </w:r>
          </w:p>
        </w:tc>
        <w:tc>
          <w:tcPr>
            <w:tcW w:type="dxa" w:w="2160"/>
          </w:tcPr>
          <w:p>
            <w:r>
              <w:rPr>
                <w:b w:val="0"/>
                <w:i w:val="0"/>
                <w:strike w:val="0"/>
              </w:rPr>
              <w:t>https://www.opm.gov/retirement-center/fers-information/creditable-service/</w:t>
            </w:r>
          </w:p>
        </w:tc>
        <w:tc>
          <w:tcPr>
            <w:tcW w:type="dxa" w:w="2160"/>
          </w:tcPr>
          <w:p>
            <w:r>
              <w:rPr>
                <w:b w:val="0"/>
                <w:i w:val="0"/>
                <w:strike w:val="0"/>
              </w:rPr>
              <w:t>2026-10-19</w:t>
            </w:r>
          </w:p>
        </w:tc>
      </w:tr>
      <w:tr>
        <w:tc>
          <w:tcPr>
            <w:tcW w:type="dxa" w:w="2160"/>
          </w:tcPr>
          <w:p>
            <w:r>
              <w:rPr>
                <w:b w:val="0"/>
                <w:i w:val="0"/>
                <w:strike w:val="0"/>
              </w:rPr>
              <w:t>P-12</w:t>
            </w:r>
          </w:p>
        </w:tc>
        <w:tc>
          <w:tcPr>
            <w:tcW w:type="dxa" w:w="2160"/>
          </w:tcPr>
          <w:p>
            <w:r>
              <w:rPr>
                <w:b w:val="0"/>
                <w:i w:val="0"/>
                <w:strike w:val="0"/>
              </w:rPr>
              <w:t>Code of Virginia, 2026 updates, Title 51.1</w:t>
            </w:r>
          </w:p>
        </w:tc>
        <w:tc>
          <w:tcPr>
            <w:tcW w:type="dxa" w:w="2160"/>
          </w:tcPr>
          <w:p>
            <w:r>
              <w:rPr>
                <w:b w:val="0"/>
                <w:i w:val="0"/>
                <w:strike w:val="0"/>
              </w:rPr>
              <w:t>https://law.lis.virginia.gov/vacodeupdates/title51.1/</w:t>
            </w:r>
          </w:p>
        </w:tc>
        <w:tc>
          <w:tcPr>
            <w:tcW w:type="dxa" w:w="2160"/>
          </w:tcPr>
          <w:p>
            <w:r>
              <w:rPr>
                <w:b w:val="0"/>
                <w:i w:val="0"/>
                <w:strike w:val="0"/>
              </w:rPr>
              <w:t>2026-10-19</w:t>
            </w:r>
          </w:p>
        </w:tc>
      </w:tr>
    </w:tbl>
    <w:p/>
    <w:p>
      <w:r>
        <w:rPr>
          <w:b/>
          <w:i w:val="0"/>
          <w:strike w:val="0"/>
        </w:rPr>
        <w:t>Inaccessible source:</w:t>
      </w:r>
      <w:r>
        <w:rPr>
          <w:b w:val="0"/>
          <w:i w:val="0"/>
          <w:strike w:val="0"/>
        </w:rPr>
        <w:t xml:space="preserve"> the DVS JLCVSO program page (</w:t>
      </w:r>
      <w:r>
        <w:rPr>
          <w:rFonts w:ascii="Consolas" w:hAnsi="Consolas"/>
          <w:b w:val="0"/>
          <w:i w:val="0"/>
          <w:strike w:val="0"/>
          <w:color w:val="303030"/>
          <w:sz w:val="19"/>
        </w:rPr>
        <w:t>dvs.virginia.gov/about-us/boards-foundations/joint-leadership-council-of-veterans-service-organizations</w:t>
      </w:r>
      <w:r>
        <w:rPr>
          <w:b w:val="0"/>
          <w:i w:val="0"/>
          <w:strike w:val="0"/>
        </w:rPr>
        <w:t>) returns HTTP 403 to automated retrieval. JLCVSO composition, duties, membership roster and current agenda were taken from RD986 (P-06) and § 2.2-2682 (P-07) instead.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Policy Development Team</dc:creator>
  <cp:keywords/>
  <dc:description>generated by python-docx</dc:description>
  <cp:lastModifiedBy>Policy Development Team</cp:lastModifiedBy>
  <cp:revision>1</cp:revision>
  <dcterms:created xsi:type="dcterms:W3CDTF">2013-12-23T23:15:00Z</dcterms:created>
  <dcterms:modified xsi:type="dcterms:W3CDTF">2013-12-23T23:15:00Z</dcterms:modified>
  <cp:category/>
</cp:coreProperties>
</file>