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Issue:</w:t>
      </w:r>
      <w:r>
        <w:rPr>
          <w:b w:val="0"/>
          <w:i w:val="0"/>
          <w:strike w:val="0"/>
        </w:rPr>
        <w:t xml:space="preserve"> MOO-259 (parent: MOO-257) </w:t>
      </w:r>
      <w:r>
        <w:rPr>
          <w:b/>
          <w:i w:val="0"/>
          <w:strike w:val="0"/>
        </w:rPr>
        <w:t>Model version:</w:t>
      </w:r>
      <w:r>
        <w:rPr>
          <w:b w:val="0"/>
          <w:i w:val="0"/>
          <w:strike w:val="0"/>
        </w:rPr>
        <w:t xml:space="preserve"> 1.0 — </w:t>
      </w:r>
      <w:r>
        <w:rPr>
          <w:b/>
          <w:i w:val="0"/>
          <w:strike w:val="0"/>
        </w:rPr>
        <w:t>complete for bill version 1.1; a refresh against the bill as introduced is required before external use</w:t>
      </w:r>
      <w:r>
        <w:rPr>
          <w:b w:val="0"/>
          <w:i w:val="0"/>
          <w:strike w:val="0"/>
        </w:rPr>
        <w:t xml:space="preserve"> | </w:t>
      </w:r>
      <w:r>
        <w:rPr>
          <w:b/>
          <w:i w:val="0"/>
          <w:strike w:val="0"/>
        </w:rPr>
        <w:t>Date:</w:t>
      </w:r>
      <w:r>
        <w:rPr>
          <w:b w:val="0"/>
          <w:i w:val="0"/>
          <w:strike w:val="0"/>
        </w:rPr>
        <w:t xml:space="preserve"> October 19, 2026 | </w:t>
      </w:r>
      <w:r>
        <w:rPr>
          <w:b/>
          <w:i w:val="0"/>
          <w:strike w:val="0"/>
        </w:rPr>
        <w:t>Package version:</w:t>
      </w:r>
      <w:r>
        <w:rPr>
          <w:b w:val="0"/>
          <w:i w:val="0"/>
          <w:strike w:val="0"/>
        </w:rPr>
        <w:t xml:space="preserve"> 1.3 — External-Review Cleanup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spacing w:after="80"/>
        <w:ind w:left="480"/>
      </w:pPr>
      <w:r>
        <w:rPr>
          <w:b/>
          <w:i w:val="0"/>
          <w:strike w:val="0"/>
          <w:sz w:val="20"/>
        </w:rPr>
        <w:t>Scope note added October 20, 2026 — this model prices bill version 1.1, and the bill is now at version 1.2.</w:t>
      </w:r>
      <w:r>
        <w:rPr>
          <w:b w:val="0"/>
          <w:i w:val="0"/>
          <w:strike w:val="0"/>
          <w:sz w:val="20"/>
        </w:rPr>
        <w:t xml:space="preserve"> Two policy decisions taken on October 20 change the population and the strategy set, and </w:t>
      </w:r>
      <w:r>
        <w:rPr>
          <w:b/>
          <w:i w:val="0"/>
          <w:strike w:val="0"/>
          <w:sz w:val="20"/>
        </w:rPr>
        <w:t>both run in the favorable direction</w:t>
      </w:r>
      <w:r>
        <w:rPr>
          <w:b w:val="0"/>
          <w:i w:val="0"/>
          <w:strike w:val="0"/>
          <w:sz w:val="20"/>
        </w:rPr>
        <w:t>, so no figure in this memorandum is an understatement on their account:</w:t>
      </w:r>
    </w:p>
    <w:p>
      <w:pPr>
        <w:spacing w:after="80"/>
        <w:ind w:left="480"/>
      </w:pPr>
      <w:r>
        <w:rPr>
          <w:b w:val="0"/>
          <w:i w:val="0"/>
          <w:strike w:val="0"/>
          <w:sz w:val="20"/>
        </w:rPr>
        <w:t xml:space="preserve">1. </w:t>
      </w:r>
      <w:r>
        <w:rPr>
          <w:b/>
          <w:i w:val="0"/>
          <w:strike w:val="0"/>
          <w:sz w:val="20"/>
        </w:rPr>
        <w:t>DECISION 8 closed the deferred-member path.</w:t>
      </w:r>
      <w:r>
        <w:rPr>
          <w:b w:val="0"/>
          <w:i w:val="0"/>
          <w:strike w:val="0"/>
          <w:sz w:val="20"/>
        </w:rPr>
        <w:t xml:space="preserve"> New § 51.1-142.4 E 3 and the conforming amendment to § 51.1-153 C require member-in-service status at retirement. This model priced </w:t>
      </w:r>
      <w:r>
        <w:rPr>
          <w:b/>
          <w:i w:val="0"/>
          <w:strike w:val="0"/>
          <w:sz w:val="20"/>
        </w:rPr>
        <w:t>four</w:t>
      </w:r>
      <w:r>
        <w:rPr>
          <w:b w:val="0"/>
          <w:i w:val="0"/>
          <w:strike w:val="0"/>
          <w:sz w:val="20"/>
        </w:rPr>
        <w:t xml:space="preserve"> years of acceleration and never priced the fifteen-year deferred case, which was the single largest known gap in it. That gap is now closed in the bill rather than in the model.</w:t>
      </w:r>
    </w:p>
    <w:p>
      <w:pPr>
        <w:spacing w:after="80"/>
        <w:ind w:left="480"/>
      </w:pPr>
      <w:r>
        <w:rPr>
          <w:b w:val="0"/>
          <w:i w:val="0"/>
          <w:strike w:val="0"/>
          <w:sz w:val="20"/>
        </w:rPr>
        <w:t xml:space="preserve">2. </w:t>
      </w:r>
      <w:r>
        <w:rPr>
          <w:b/>
          <w:i w:val="0"/>
          <w:strike w:val="0"/>
          <w:sz w:val="20"/>
        </w:rPr>
        <w:t>Clause B 1(iv) excluded qualifying § 51.1-153 B 4 public-safety employees who first entered the VRS-administered retirement system on or after the January 1, 2014 Hybrid transition.</w:t>
      </w:r>
      <w:r>
        <w:rPr>
          <w:b w:val="0"/>
          <w:i w:val="0"/>
          <w:strike w:val="0"/>
          <w:sz w:val="20"/>
        </w:rPr>
        <w:t xml:space="preserve"> The population counts here include that group, so the modeled population is now </w:t>
      </w:r>
      <w:r>
        <w:rPr>
          <w:b/>
          <w:i w:val="0"/>
          <w:strike w:val="0"/>
          <w:sz w:val="20"/>
        </w:rPr>
        <w:t>too large</w:t>
      </w:r>
      <w:r>
        <w:rPr>
          <w:b w:val="0"/>
          <w:i w:val="0"/>
          <w:strike w:val="0"/>
          <w:sz w:val="20"/>
        </w:rPr>
        <w:t xml:space="preserve"> rather than too small.</w:t>
      </w:r>
    </w:p>
    <w:p>
      <w:pPr>
        <w:spacing w:after="80"/>
        <w:ind w:left="480"/>
      </w:pPr>
      <w:r>
        <w:rPr>
          <w:b/>
          <w:i w:val="0"/>
          <w:strike w:val="0"/>
          <w:sz w:val="20"/>
        </w:rPr>
        <w:t>DECISION 9 accepted the health insurance credit and COLA commencement cost rather than curing it. HIC and COLA follow the retirement date, so preventing earlier commencement would require separate statutory changes outside the bridge</w:t>
      </w:r>
      <w:r>
        <w:rPr>
          <w:b w:val="0"/>
          <w:i w:val="0"/>
          <w:strike w:val="0"/>
          <w:sz w:val="20"/>
        </w:rPr>
        <w:t xml:space="preserve"> — to Chapter 14 and to § 51.1-166 — and the proposal deliberately accepts and discloses that earlier commencement rather than adding separate delay provisions. That exposure remains outside every contribution-rate figure in this memorandum, because both run on separately funded trusts; the per-member health insurance credit order of magnitude (≈ $5,300) is estimated in § 10 and </w:t>
      </w:r>
      <w:r>
        <w:rPr>
          <w:b/>
          <w:i w:val="0"/>
          <w:strike w:val="0"/>
          <w:sz w:val="20"/>
        </w:rPr>
        <w:t>the COLA exposure is not quantified at all.</w:t>
      </w:r>
      <w:r>
        <w:rPr>
          <w:b w:val="0"/>
          <w:i w:val="0"/>
          <w:strike w:val="0"/>
          <w:sz w:val="20"/>
        </w:rPr>
        <w:t xml:space="preserve"> It is the one acknowledged gap in the fiscal case and should be raised before a committee finds it. Enactment clause 3(vi) directs the Board to report both, stated separately by trust.</w:t>
      </w:r>
    </w:p>
    <w:p>
      <w:pPr>
        <w:spacing w:after="80"/>
        <w:ind w:left="480"/>
      </w:pPr>
      <w:r>
        <w:rPr>
          <w:b/>
          <w:i w:val="0"/>
          <w:strike w:val="0"/>
          <w:sz w:val="20"/>
        </w:rPr>
        <w:t>The model should be re-run against version 1.2 before introduction</w:t>
      </w:r>
      <w:r>
        <w:rPr>
          <w:b w:val="0"/>
          <w:i w:val="0"/>
          <w:strike w:val="0"/>
          <w:sz w:val="20"/>
        </w:rPr>
        <w:t>, so that what the money committees see describes the bill actually filed.</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at 11.1% cost recovery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(WTE) scenario. Charging an actuarially equivalent price for that acceleration would require roughly </w:t>
      </w:r>
      <w:r>
        <w:rPr>
          <w:b/>
          <w:i w:val="0"/>
          <w:strike w:val="0"/>
        </w:rPr>
        <w:t>112.8% of salary per year purchased</w:t>
      </w:r>
      <w:r>
        <w:rPr>
          <w:b w:val="0"/>
          <w:i w:val="0"/>
          <w:strike w:val="0"/>
        </w:rPr>
        <w:t xml:space="preserve">, against the </w:t>
      </w:r>
      <w:r>
        <w:rPr>
          <w:b/>
          <w:i w:val="0"/>
          <w:strike w:val="0"/>
        </w:rPr>
        <w:t>12.50%</w:t>
      </w:r>
      <w:r>
        <w:rPr>
          <w:b w:val="0"/>
          <w:i w:val="0"/>
          <w:strike w:val="0"/>
        </w:rPr>
        <w:t xml:space="preserv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w:t>
      </w:r>
      <w:r>
        <w:rPr>
          <w:b/>
          <w:i w:val="0"/>
          <w:strike w:val="0"/>
        </w:rPr>
        <w:t>That is the modeled retirement-plan employer contribution impact, and it excludes the separately funded health insurance credit and COLA effects, including unquantified COLA exposure.</w:t>
      </w:r>
      <w:r>
        <w:rPr>
          <w:b w:val="0"/>
          <w:i w:val="0"/>
          <w:strike w:val="0"/>
        </w:rPr>
        <w:t xml:space="preserve"> Across every sensitivity tested </w:t>
      </w:r>
      <w:r>
        <w:rPr>
          <w:b/>
          <w:i w:val="0"/>
          <w:strike w:val="0"/>
        </w:rPr>
        <w:t>one at a time</w:t>
      </w:r>
      <w:r>
        <w:rPr>
          <w:b w:val="0"/>
          <w:i w:val="0"/>
          <w:strike w:val="0"/>
        </w:rPr>
        <w:t xml:space="preserve"> — including the adverse case in which the subsidy measure is applied to every purchaser at high take-up — no plan exceeds </w:t>
      </w:r>
      <w:r>
        <w:rPr>
          <w:b/>
          <w:i w:val="0"/>
          <w:strike w:val="0"/>
        </w:rPr>
        <w:t>0.84 basis points</w:t>
      </w:r>
      <w:r>
        <w:rPr>
          <w:b w:val="0"/>
          <w:i w:val="0"/>
          <w:strike w:val="0"/>
        </w:rPr>
        <w:t xml:space="preserve">. </w:t>
      </w:r>
      <w:r>
        <w:rPr>
          <w:b/>
          <w:i w:val="0"/>
          <w:strike w:val="0"/>
        </w:rPr>
        <w:t>The sensitivity design is one-at-a-time; a compound adverse case reaches 1.16 bp aggregate and is disclosed in section 7.</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 which the figure is not —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 xml:space="preserve">Approximate normal cost (§ 51.1-142.4 D): for </w:t>
            </w:r>
            <w:r>
              <w:rPr>
                <w:b/>
                <w:i w:val="0"/>
                <w:strike w:val="0"/>
              </w:rPr>
              <w:t>ordinary non-hazardous</w:t>
            </w:r>
            <w:r>
              <w:rPr>
                <w:b w:val="0"/>
                <w:i w:val="0"/>
                <w:strike w:val="0"/>
              </w:rPr>
              <w:t xml:space="preserve"> members, 12.50% Plan 1, 10.74% Plan 2, 6.68% hybrid, per year, on the higher of creditable compensation and AFC (SRC-08). The rate applicable to eligible pre-2014 § 51.1-153 B 4 public-safety members </w:t>
            </w:r>
            <w:r>
              <w:rPr>
                <w:b/>
                <w:i w:val="0"/>
                <w:strike w:val="0"/>
              </w:rPr>
              <w:t>requires VRS confirmation</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group life, disability, death-in-service, Workforce Transition Act severance conversion</w:t>
            </w:r>
          </w:p>
        </w:tc>
        <w:tc>
          <w:tcPr>
            <w:tcW w:type="dxa" w:w="2880"/>
          </w:tcPr>
          <w:p>
            <w:r>
              <w:rPr>
                <w:b w:val="0"/>
                <w:i w:val="0"/>
                <w:strike w:val="0"/>
              </w:rPr>
              <w:t>Keyed to creditable service or to the unreduced-eligibility date</w:t>
            </w:r>
          </w:p>
        </w:tc>
        <w:tc>
          <w:tcPr>
            <w:tcW w:type="dxa" w:w="2880"/>
          </w:tcPr>
          <w:p>
            <w:r>
              <w:rPr>
                <w:b w:val="0"/>
                <w:i w:val="0"/>
                <w:strike w:val="0"/>
              </w:rPr>
              <w:t>Expressly excluded or frozen (§ 51.1-142.4 F; conforming amendments to §§ 51.1-162, 51.1-165.01, 51.1-166 and § 2.2-3204 A, C)</w:t>
            </w:r>
          </w:p>
        </w:tc>
      </w:tr>
      <w:tr>
        <w:tc>
          <w:tcPr>
            <w:tcW w:type="dxa" w:w="2880"/>
          </w:tcPr>
          <w:p>
            <w:r>
              <w:rPr>
                <w:b w:val="0"/>
                <w:i w:val="0"/>
                <w:strike w:val="0"/>
              </w:rPr>
              <w:t xml:space="preserve">Health insurance credit and post-retirement supplement </w:t>
            </w:r>
            <w:r>
              <w:rPr>
                <w:b/>
                <w:i w:val="0"/>
                <w:strike w:val="0"/>
              </w:rPr>
              <w:t>commencement</w:t>
            </w:r>
          </w:p>
        </w:tc>
        <w:tc>
          <w:tcPr>
            <w:tcW w:type="dxa" w:w="2880"/>
          </w:tcPr>
          <w:p>
            <w:r>
              <w:rPr>
                <w:b w:val="0"/>
                <w:i w:val="0"/>
                <w:strike w:val="0"/>
              </w:rPr>
              <w:t xml:space="preserve">Keyed to the </w:t>
            </w:r>
            <w:r>
              <w:rPr>
                <w:b/>
                <w:i w:val="0"/>
                <w:strike w:val="0"/>
              </w:rPr>
              <w:t>date of retirement</w:t>
            </w:r>
          </w:p>
        </w:tc>
        <w:tc>
          <w:tcPr>
            <w:tcW w:type="dxa" w:w="2880"/>
          </w:tcPr>
          <w:p>
            <w:r>
              <w:rPr>
                <w:b/>
                <w:i w:val="0"/>
                <w:strike w:val="0"/>
              </w:rPr>
              <w:t>Not reached by the bill.</w:t>
            </w:r>
            <w:r>
              <w:rPr>
                <w:b w:val="0"/>
                <w:i w:val="0"/>
                <w:strike w:val="0"/>
              </w:rPr>
              <w:t xml:space="preserve"> Both begin up to four years earlier.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The § 51.1-166 D 4 amendment does not cure it (see § 10 below), and the § 51.1-142.4 F 8 bar reaches eligibility and amount but not duration. Costs sit on separately funded trusts and are </w:t>
            </w:r>
            <w:r>
              <w:rPr>
                <w:b/>
                <w:i w:val="0"/>
                <w:strike w:val="0"/>
              </w:rPr>
              <w:t>outside</w:t>
            </w:r>
            <w:r>
              <w:rPr>
                <w:b w:val="0"/>
                <w:i w:val="0"/>
                <w:strike w:val="0"/>
              </w:rPr>
              <w:t xml:space="preserve"> the 0.19 bp figure, which is the modeled retirement-plan employer contribution impact only. </w:t>
            </w:r>
            <w:r>
              <w:rPr>
                <w:b/>
                <w:i w:val="0"/>
                <w:strike w:val="0"/>
              </w:rPr>
              <w:t>Resolved by DECISION 9 (October 20, 2026): the proposal deliberately accepts and discloses the earlier commencement rather than adding separate delay provisions</w:t>
            </w:r>
            <w:r>
              <w:rPr>
                <w:b w:val="0"/>
                <w:i w:val="0"/>
                <w:strike w:val="0"/>
              </w:rPr>
              <w:t xml:space="preserve">, with enactment clause 3(vi) requiring the Board to report both by trust. The </w:t>
            </w:r>
            <w:r>
              <w:rPr>
                <w:b/>
                <w:i w:val="0"/>
                <w:strike w:val="0"/>
              </w:rPr>
              <w:t>COLA exposure is unquantified</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ordinary non-hazardous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xml:space="preserve">. This model was built when the bill took effect July 1, 2028, so FY2029 is its first year of operation. </w:t>
      </w:r>
      <w:r>
        <w:rPr>
          <w:b/>
          <w:i w:val="0"/>
          <w:strike w:val="0"/>
        </w:rPr>
        <w:t>Version 1.4 of the bill moves the effective date to July 1, 2029 (DECISION 14), so the projection window shifts by one year to FY2030–FY2039 in the refresh.</w:t>
      </w:r>
      <w:r>
        <w:rPr>
          <w:b w:val="0"/>
          <w:i w:val="0"/>
          <w:strike w:val="0"/>
        </w:rPr>
        <w:t xml:space="preserve"> The shift moves no rate; it is a relabelling of the window, and it is one of the items the refresh against the bill as introduced must carry.</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r>
        <w:tc>
          <w:tcPr>
            <w:tcW w:type="dxa" w:w="1728"/>
          </w:tcPr>
          <w:p>
            <w:r>
              <w:rPr>
                <w:b/>
                <w:i w:val="0"/>
                <w:strike w:val="0"/>
              </w:rPr>
              <w:t>COMPOUND ADVERSE</w:t>
            </w:r>
            <w:r>
              <w:rPr>
                <w:b w:val="0"/>
                <w:i w:val="0"/>
                <w:strike w:val="0"/>
              </w:rPr>
              <w:t xml:space="preserve"> — </w:t>
            </w:r>
            <w:r>
              <w:rPr>
                <w:b w:val="0"/>
                <w:i/>
                <w:strike w:val="0"/>
              </w:rPr>
              <w:t>not one-at-a-time</w:t>
            </w:r>
          </w:p>
        </w:tc>
        <w:tc>
          <w:tcPr>
            <w:tcW w:type="dxa" w:w="1728"/>
          </w:tcPr>
          <w:p>
            <w:r>
              <w:rPr>
                <w:b/>
                <w:i w:val="0"/>
                <w:strike w:val="0"/>
              </w:rPr>
              <w:t>high population funnel + φ = 0.25 + 30% take-up, together</w:t>
            </w:r>
          </w:p>
        </w:tc>
        <w:tc>
          <w:tcPr>
            <w:tcW w:type="dxa" w:w="1728"/>
          </w:tcPr>
          <w:p>
            <w:r>
              <w:rPr>
                <w:b/>
                <w:i w:val="0"/>
                <w:strike w:val="0"/>
              </w:rPr>
              <w:t>$43.79M</w:t>
            </w:r>
          </w:p>
        </w:tc>
        <w:tc>
          <w:tcPr>
            <w:tcW w:type="dxa" w:w="1728"/>
          </w:tcPr>
          <w:p>
            <w:r>
              <w:rPr>
                <w:b/>
                <w:i w:val="0"/>
                <w:strike w:val="0"/>
              </w:rPr>
              <w:t>1.16 bp</w:t>
            </w:r>
          </w:p>
        </w:tc>
        <w:tc>
          <w:tcPr>
            <w:tcW w:type="dxa" w:w="1728"/>
          </w:tcPr>
          <w:p>
            <w:r>
              <w:rPr>
                <w:b/>
                <w:i w:val="0"/>
                <w:strike w:val="0"/>
              </w:rPr>
              <w:t>+0.97</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r>
        <w:rPr>
          <w:b/>
          <w:i w:val="0"/>
          <w:strike w:val="0"/>
        </w:rPr>
        <w:t>This table is strictly one-at-a-time, and version 1.4 of the package says so wherever the range is quoted — counsel review finding M-13.</w:t>
      </w:r>
      <w:r>
        <w:rPr>
          <w:b w:val="0"/>
          <w:i w:val="0"/>
          <w:strike w:val="0"/>
        </w:rPr>
        <w:t xml:space="preserve"> Every row above varies a single driver against the central case. The design has an untested independence assumption inside it, and the model's own logic says the assumption errs in the favourable direction. </w:t>
      </w:r>
      <w:r>
        <w:rPr>
          <w:b/>
          <w:i w:val="0"/>
          <w:strike w:val="0"/>
        </w:rPr>
        <w:t>Take-up (ASM-19) and the behavioural mix φ (ASM-22) are inversely correlated</w:t>
      </w:r>
      <w:r>
        <w:rPr>
          <w:b w:val="0"/>
          <w:i w:val="0"/>
          <w:strike w:val="0"/>
        </w:rPr>
        <w:t xml:space="preserve">: this model shows that a member who would have worked on to unreduced eligibility </w:t>
      </w:r>
      <w:r>
        <w:rPr>
          <w:b w:val="0"/>
          <w:i/>
          <w:strike w:val="0"/>
        </w:rPr>
        <w:t>overpays</w:t>
      </w:r>
      <w:r>
        <w:rPr>
          <w:b w:val="0"/>
          <w:i w:val="0"/>
          <w:strike w:val="0"/>
        </w:rPr>
        <w:t xml:space="preserve">, so a high take-up rate necessarily implies a purchaser pool weighted toward members who were leaving anyway — that is, toward </w:t>
      </w:r>
      <w:r>
        <w:rPr>
          <w:b/>
          <w:i w:val="0"/>
          <w:strike w:val="0"/>
        </w:rPr>
        <w:t>low</w:t>
      </w:r>
      <w:r>
        <w:rPr>
          <w:b w:val="0"/>
          <w:i w:val="0"/>
          <w:strike w:val="0"/>
        </w:rPr>
        <w:t xml:space="preserve"> φ. Varying them separately therefore suppresses the adverse tail by construction.</w:t>
      </w:r>
    </w:p>
    <w:p>
      <w:r>
        <w:rPr>
          <w:b/>
          <w:i w:val="0"/>
          <w:strike w:val="0"/>
        </w:rPr>
        <w:t>The compound adverse case.</w:t>
      </w:r>
      <w:r>
        <w:rPr>
          <w:b w:val="0"/>
          <w:i w:val="0"/>
          <w:strike w:val="0"/>
        </w:rPr>
        <w:t xml:space="preserve"> Running this model's own code with the </w:t>
      </w:r>
      <w:r>
        <w:rPr>
          <w:b/>
          <w:i w:val="0"/>
          <w:strike w:val="0"/>
        </w:rPr>
        <w:t>high population funnel, φ = 0.25 and 30% take-up</w:t>
      </w:r>
      <w:r>
        <w:rPr>
          <w:b w:val="0"/>
          <w:i w:val="0"/>
          <w:strike w:val="0"/>
        </w:rPr>
        <w:t xml:space="preserve"> gives </w:t>
      </w:r>
      <w:r>
        <w:rPr>
          <w:b/>
          <w:i w:val="0"/>
          <w:strike w:val="0"/>
        </w:rPr>
        <w:t>$43.79M of net liability increase and 1.16 bp aggregate</w:t>
      </w:r>
      <w:r>
        <w:rPr>
          <w:b w:val="0"/>
          <w:i w:val="0"/>
          <w:strike w:val="0"/>
        </w:rPr>
        <w:t xml:space="preserve">, against the central case of $7.15M / 0.19 bp and the one-at-a-time maximum of 0.44 bp. </w:t>
      </w:r>
      <w:r>
        <w:rPr>
          <w:b/>
          <w:i w:val="0"/>
          <w:strike w:val="0"/>
        </w:rPr>
        <w:t>At 1.16 bp a plan's rate does change to the nearest basis point</w:t>
      </w:r>
      <w:r>
        <w:rPr>
          <w:b w:val="0"/>
          <w:i w:val="0"/>
          <w:strike w:val="0"/>
        </w:rPr>
        <w:t>, so this case falsifies the sentence the package quotes most often.</w:t>
      </w:r>
    </w:p>
    <w:p>
      <w:r>
        <w:rPr>
          <w:b/>
          <w:i w:val="0"/>
          <w:strike w:val="0"/>
        </w:rPr>
        <w:t>By plan, the compound case breaks the single-plan claim too.</w:t>
      </w:r>
      <w:r>
        <w:rPr>
          <w:b w:val="0"/>
          <w:i w:val="0"/>
          <w:strike w:val="0"/>
        </w:rPr>
        <w:t xml:space="preserve"> 1.38 bp state, 1.19 bp teacher, 0.92 bp political subdivisions, against the one-at-a-time single-plan maximum of 0.84 bp quoted throughout this package. The sentence "no single plan exceeds 0.84 basis points" is therefore true of single-driver scenarios and </w:t>
      </w:r>
      <w:r>
        <w:rPr>
          <w:b/>
          <w:i w:val="0"/>
          <w:strike w:val="0"/>
        </w:rPr>
        <w:t>false</w:t>
      </w:r>
      <w:r>
        <w:rPr>
          <w:b w:val="0"/>
          <w:i w:val="0"/>
          <w:strike w:val="0"/>
        </w:rPr>
        <w:t xml:space="preserve"> of the compound case, and must carry that qualifier.</w:t>
      </w:r>
    </w:p>
    <w:p>
      <w:r>
        <w:rPr>
          <w:b/>
          <w:i w:val="0"/>
          <w:strike w:val="0"/>
        </w:rPr>
        <w:t>How to use it, and how not to.</w:t>
      </w:r>
      <w:r>
        <w:rPr>
          <w:b w:val="0"/>
          <w:i w:val="0"/>
          <w:strike w:val="0"/>
        </w:rPr>
        <w:t xml:space="preserve"> It is </w:t>
      </w:r>
      <w:r>
        <w:rPr>
          <w:b/>
          <w:i w:val="0"/>
          <w:strike w:val="0"/>
        </w:rPr>
        <w:t>not</w:t>
      </w:r>
      <w:r>
        <w:rPr>
          <w:b w:val="0"/>
          <w:i w:val="0"/>
          <w:strike w:val="0"/>
        </w:rPr>
        <w:t xml:space="preserve"> a prediction: it stacks three adverse variants and no evidence says they co-occur. It </w:t>
      </w:r>
      <w:r>
        <w:rPr>
          <w:b/>
          <w:i w:val="0"/>
          <w:strike w:val="0"/>
        </w:rPr>
        <w:t>is</w:t>
      </w:r>
      <w:r>
        <w:rPr>
          <w:b w:val="0"/>
          <w:i w:val="0"/>
          <w:strike w:val="0"/>
        </w:rPr>
        <w:t xml:space="preserve"> the adverse tail a money committee is entitled to, and a committee analyst who notices that this table is one-at-a-time will construct the case unaided and less carefully. Give the number, labelled as a compound adverse scenario, alongside the 0.19 bp central case. </w:t>
      </w:r>
      <w:r>
        <w:rPr>
          <w:b/>
          <w:i w:val="0"/>
          <w:strike w:val="0"/>
        </w:rPr>
        <w:t>Status:</w:t>
      </w:r>
      <w:r>
        <w:rPr>
          <w:b w:val="0"/>
          <w:i w:val="0"/>
          <w:strike w:val="0"/>
        </w:rPr>
        <w:t xml:space="preserve"> the scenario is now a </w:t>
      </w:r>
      <w:r>
        <w:rPr>
          <w:b/>
          <w:i w:val="0"/>
          <w:strike w:val="0"/>
        </w:rPr>
        <w:t>published row of T5</w:t>
      </w:r>
      <w:r>
        <w:rPr>
          <w:b w:val="0"/>
          <w:i w:val="0"/>
          <w:strike w:val="0"/>
        </w:rPr>
        <w:t xml:space="preserve"> in </w:t>
      </w:r>
      <w:r>
        <w:rPr>
          <w:rFonts w:ascii="Consolas" w:hAnsi="Consolas"/>
          <w:b w:val="0"/>
          <w:i w:val="0"/>
          <w:strike w:val="0"/>
          <w:color w:val="303030"/>
          <w:sz w:val="19"/>
        </w:rPr>
        <w:t>fiscal-model/out/T5-sensitivity.csv</w:t>
      </w:r>
      <w:r>
        <w:rPr>
          <w:b w:val="0"/>
          <w:i w:val="0"/>
          <w:strike w:val="0"/>
        </w:rPr>
        <w:t xml:space="preserve">, added to </w:t>
      </w:r>
      <w:r>
        <w:rPr>
          <w:rFonts w:ascii="Consolas" w:hAnsi="Consolas"/>
          <w:b w:val="0"/>
          <w:i w:val="0"/>
          <w:strike w:val="0"/>
          <w:color w:val="303030"/>
          <w:sz w:val="19"/>
        </w:rPr>
        <w:t>run_model.py</w:t>
      </w:r>
      <w:r>
        <w:rPr>
          <w:b w:val="0"/>
          <w:i w:val="0"/>
          <w:strike w:val="0"/>
        </w:rPr>
        <w:t xml:space="preserve"> on October 20, 2026 and reproduced by re-running the model; it is no longer prose only. </w:t>
      </w:r>
      <w:r>
        <w:rPr>
          <w:b/>
          <w:i w:val="0"/>
          <w:strike w:val="0"/>
        </w:rPr>
        <w:t>What the refresh against the bill as introduced must still carry</w:t>
      </w:r>
      <w:r>
        <w:rPr>
          <w:b w:val="0"/>
          <w:i w:val="0"/>
          <w:strike w:val="0"/>
        </w:rPr>
        <w:t xml:space="preserve"> is separate and larger: clauses B 1(iv) and B 1(v), subdivision E 3, and the FY2030–FY2039 window shift under DECISION 14. Until that lands, </w:t>
      </w:r>
      <w:r>
        <w:rPr>
          <w:b/>
          <w:i w:val="0"/>
          <w:strike w:val="0"/>
        </w:rPr>
        <w:t>every statement of the 0.05–0.44 bp range in this package reads "on one-at-a-time excursions."</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2029 effective date set by version 1.4 of the bill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That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Across every sensitivity tested </w:t>
      </w:r>
      <w:r>
        <w:rPr>
          <w:b/>
          <w:i w:val="0"/>
          <w:strike w:val="0"/>
        </w:rPr>
        <w:t>on one-at-a-time excursions</w:t>
      </w:r>
      <w:r>
        <w:rPr>
          <w:b w:val="0"/>
          <w:i w:val="0"/>
          <w:strike w:val="0"/>
        </w:rPr>
        <w:t xml:space="preserve">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in any </w:t>
      </w:r>
      <w:r>
        <w:rPr>
          <w:b/>
          <w:i w:val="0"/>
          <w:strike w:val="0"/>
        </w:rPr>
        <w:t>single-driver</w:t>
      </w:r>
      <w:r>
        <w:rPr>
          <w:b w:val="0"/>
          <w:i w:val="0"/>
          <w:strike w:val="0"/>
        </w:rPr>
        <w:t xml:space="preserve"> scenario. </w:t>
      </w:r>
      <w:r>
        <w:rPr>
          <w:b/>
          <w:i w:val="0"/>
          <w:strike w:val="0"/>
        </w:rPr>
        <w:t>To the nearest basis point, no plan's employer contribution rate changes on any single-driver scenario.</w:t>
      </w:r>
      <w:r>
        <w:rPr>
          <w:b w:val="0"/>
          <w:i w:val="0"/>
          <w:strike w:val="0"/>
        </w:rPr>
        <w:t xml:space="preserve"> </w:t>
      </w:r>
      <w:r>
        <w:rPr>
          <w:b/>
          <w:i w:val="0"/>
          <w:strike w:val="0"/>
        </w:rPr>
        <w:t>The qualifier is load-bearing and must travel with the figure (counsel review finding M-13):</w:t>
      </w:r>
      <w:r>
        <w:rPr>
          <w:b w:val="0"/>
          <w:i w:val="0"/>
          <w:strike w:val="0"/>
        </w:rPr>
        <w:t xml:space="preserve"> the sensitivity design is one-at-a-time, take-up and φ are inversely correlated by this model's own logic, and a </w:t>
      </w:r>
      <w:r>
        <w:rPr>
          <w:b/>
          <w:i w:val="0"/>
          <w:strike w:val="0"/>
        </w:rPr>
        <w:t>compound adverse case</w:t>
      </w:r>
      <w:r>
        <w:rPr>
          <w:b w:val="0"/>
          <w:i w:val="0"/>
          <w:strike w:val="0"/>
        </w:rPr>
        <w:t xml:space="preserve"> combining the high population funnel, φ = 0.25 and 30% take-up yields </w:t>
      </w:r>
      <w:r>
        <w:rPr>
          <w:b/>
          <w:i w:val="0"/>
          <w:strike w:val="0"/>
        </w:rPr>
        <w:t>1.16 bp and $43.79M</w:t>
      </w:r>
      <w:r>
        <w:rPr>
          <w:b w:val="0"/>
          <w:i w:val="0"/>
          <w:strike w:val="0"/>
        </w:rPr>
        <w:t xml:space="preserve"> — outside the single-driver range, and the figure a money committee should be given as the adverse tail. See section 7.</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