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Council Engagement — the answers to say out loud</w:t>
      </w:r>
    </w:p>
    <w:p>
      <w:r>
        <w:rPr>
          <w:b/>
          <w:i w:val="0"/>
          <w:strike w:val="0"/>
        </w:rPr>
        <w:t>Prepared for:</w:t>
      </w:r>
      <w:r>
        <w:rPr>
          <w:b w:val="0"/>
          <w:i w:val="0"/>
          <w:strike w:val="0"/>
        </w:rPr>
        <w:t xml:space="preserve"> Joint Leadership Council of Veterans Service Organizations (JLCVSO)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Package version:</w:t>
      </w:r>
      <w:r>
        <w:rPr>
          <w:b w:val="0"/>
          <w:i w:val="0"/>
          <w:strike w:val="0"/>
        </w:rPr>
        <w:t xml:space="preserve"> 1.5 — Review Closeout | </w:t>
      </w:r>
      <w:r>
        <w:rPr>
          <w:b/>
          <w:i w:val="0"/>
          <w:strike w:val="0"/>
        </w:rPr>
        <w:t>Date:</w:t>
      </w:r>
      <w:r>
        <w:rPr>
          <w:b w:val="0"/>
          <w:i w:val="0"/>
          <w:strike w:val="0"/>
        </w:rPr>
        <w:t xml:space="preserve"> October 20, 2026 | </w:t>
      </w:r>
      <w:r>
        <w:rPr>
          <w:b/>
          <w:i w:val="0"/>
          <w:strike w:val="0"/>
        </w:rPr>
        <w:t>Sources:</w:t>
      </w:r>
      <w:r>
        <w:rPr>
          <w:b w:val="0"/>
          <w:i w:val="0"/>
          <w:strike w:val="0"/>
        </w:rPr>
        <w:t xml:space="preserve"> as cited; the stakeholder record is </w:t>
      </w:r>
      <w:r>
        <w:rPr>
          <w:rFonts w:ascii="Consolas" w:hAnsi="Consolas"/>
          <w:b w:val="0"/>
          <w:i w:val="0"/>
          <w:strike w:val="0"/>
          <w:color w:val="303030"/>
          <w:sz w:val="19"/>
        </w:rPr>
        <w:t>11-stakeholder-review.docx</w:t>
      </w:r>
      <w:r>
        <w:rPr>
          <w:b w:val="0"/>
          <w:i w:val="0"/>
          <w:strike w:val="0"/>
        </w:rPr>
        <w:t xml:space="preserve"> (MOO-266) and the precedent record is </w:t>
      </w:r>
      <w:r>
        <w:rPr>
          <w:rFonts w:ascii="Consolas" w:hAnsi="Consolas"/>
          <w:b w:val="0"/>
          <w:i w:val="0"/>
          <w:strike w:val="0"/>
          <w:color w:val="303030"/>
          <w:sz w:val="19"/>
        </w:rPr>
        <w:t>07-precedent-and-stakeholder-scan.docx</w:t>
      </w:r>
      <w:r>
        <w:rPr>
          <w:b w:val="0"/>
          <w:i w:val="0"/>
          <w:strike w:val="0"/>
        </w:rPr>
        <w:t xml:space="preserve"> (MOO-261)</w:t>
      </w:r>
    </w:p>
    <w:p>
      <w:pPr>
        <w:jc w:val="center"/>
      </w:pPr>
      <w:r>
        <w:rPr>
          <w:color w:val="909090"/>
          <w:sz w:val="18"/>
        </w:rPr>
        <w:t>* * *</w:t>
      </w:r>
    </w:p>
    <w:p>
      <w:pPr>
        <w:pStyle w:val="Heading2"/>
      </w:pPr>
      <w:r>
        <w:rPr>
          <w:b w:val="0"/>
          <w:i w:val="0"/>
          <w:strike w:val="0"/>
        </w:rPr>
        <w:t>What this document is, and why it is separate from the briefs</w:t>
      </w:r>
    </w:p>
    <w:p>
      <w:r>
        <w:rPr>
          <w:b w:val="0"/>
          <w:i w:val="0"/>
          <w:strike w:val="0"/>
        </w:rPr>
        <w:t xml:space="preserve">The independent stakeholder review in MOO-266 produced findings that are not drafting problems and cannot be fixed in the bill. They are things that will be </w:t>
      </w:r>
      <w:r>
        <w:rPr>
          <w:b/>
          <w:i w:val="0"/>
          <w:strike w:val="0"/>
        </w:rPr>
        <w:t>said in the room</w:t>
      </w:r>
      <w:r>
        <w:rPr>
          <w:b w:val="0"/>
          <w:i w:val="0"/>
          <w:strike w:val="0"/>
        </w:rPr>
        <w:t xml:space="preserve"> — at the JLC Legislative Committee, at the Board of Veterans Services, by a DVS counsellor to an excluded veteran, or by a subcommittee member who has read the funnel. For each one the review's point was the same: the package discloses the fact honestly somewhere, and </w:t>
      </w:r>
      <w:r>
        <w:rPr>
          <w:b/>
          <w:i w:val="0"/>
          <w:strike w:val="0"/>
        </w:rPr>
        <w:t>nowhere gives the proposer a sentence to say</w:t>
      </w:r>
      <w:r>
        <w:rPr>
          <w:b w:val="0"/>
          <w:i w:val="0"/>
          <w:strike w:val="0"/>
        </w:rPr>
        <w:t>.</w:t>
      </w:r>
    </w:p>
    <w:p>
      <w:r>
        <w:rPr>
          <w:b w:val="0"/>
          <w:i w:val="0"/>
          <w:strike w:val="0"/>
        </w:rPr>
        <w:t>This document supplies those sentences. It is not a brief and it is not for distribution to legislators. It is for whoever carries the proposal into the Council.</w:t>
      </w:r>
    </w:p>
    <w:p>
      <w:r>
        <w:rPr>
          <w:b/>
          <w:i w:val="0"/>
          <w:strike w:val="0"/>
        </w:rPr>
        <w:t>Why these are not in `03` and `04`.</w:t>
      </w:r>
      <w:r>
        <w:rPr>
          <w:b w:val="0"/>
          <w:i w:val="0"/>
          <w:strike w:val="0"/>
        </w:rPr>
        <w:t xml:space="preserve"> Both briefs are named for a page count, which makes length a correctness property rather than a matter of taste, and both are </w:t>
      </w:r>
      <w:r>
        <w:rPr>
          <w:b/>
          <w:i w:val="0"/>
          <w:strike w:val="0"/>
        </w:rPr>
        <w:t>already at 95.0% fill of their budgets with under one point of slack</w:t>
      </w:r>
      <w:r>
        <w:rPr>
          <w:b w:val="0"/>
          <w:i w:val="0"/>
          <w:strike w:val="0"/>
        </w:rPr>
        <w:t xml:space="preserve"> (</w:t>
      </w:r>
      <w:r>
        <w:rPr>
          <w:rFonts w:ascii="Consolas" w:hAnsi="Consolas"/>
          <w:b w:val="0"/>
          <w:i w:val="0"/>
          <w:strike w:val="0"/>
          <w:color w:val="303030"/>
          <w:sz w:val="19"/>
        </w:rPr>
        <w:t>pagecheck.py</w:t>
      </w:r>
      <w:r>
        <w:rPr>
          <w:b w:val="0"/>
          <w:i w:val="0"/>
          <w:strike w:val="0"/>
        </w:rPr>
        <w:t xml:space="preserve">, October 20, 2026). Seven additions could not go in without cutting approved content. Cutting an approved brief to make room for talking points would be the wrong trade: the briefs are the written case and these are the spoken one. </w:t>
      </w:r>
      <w:r>
        <w:rPr>
          <w:b/>
          <w:i w:val="0"/>
          <w:strike w:val="0"/>
        </w:rPr>
        <w:t>Six of the seven items below carry a short bracketed line marked `[FOR 03]` or `[FOR 04]`</w:t>
      </w:r>
      <w:r>
        <w:rPr>
          <w:b w:val="0"/>
          <w:i w:val="0"/>
          <w:strike w:val="0"/>
        </w:rPr>
        <w:t xml:space="preserve"> — a one- or two-sentence version to fold into the next brief revision if and when the Council asks for a longer brief or something else comes out.</w:t>
      </w:r>
    </w:p>
    <w:p>
      <w:r>
        <w:rPr>
          <w:b/>
          <w:i w:val="0"/>
          <w:strike w:val="0"/>
        </w:rPr>
        <w:t>One discipline that applies to everything here.</w:t>
      </w:r>
      <w:r>
        <w:rPr>
          <w:b w:val="0"/>
          <w:i w:val="0"/>
          <w:strike w:val="0"/>
        </w:rPr>
        <w:t xml:space="preserve"> Do not argue any of these. Say the adverse fact first, in your own voice, and then say what follows from it. Every one of these findings is something an opponent can say about the proposal; the only thing that turns it into a liability is hearing it from them first.</w:t>
      </w:r>
    </w:p>
    <w:p>
      <w:pPr>
        <w:jc w:val="center"/>
      </w:pPr>
      <w:r>
        <w:rPr>
          <w:color w:val="909090"/>
          <w:sz w:val="18"/>
        </w:rPr>
        <w:t>* * *</w:t>
      </w:r>
    </w:p>
    <w:p>
      <w:pPr>
        <w:pStyle w:val="Heading2"/>
      </w:pPr>
      <w:r>
        <w:rPr>
          <w:b w:val="0"/>
          <w:i w:val="0"/>
          <w:strike w:val="0"/>
        </w:rPr>
        <w:t xml:space="preserve">1. Say first that the Council's own leaders cannot use this bill — </w:t>
      </w:r>
      <w:r>
        <w:rPr>
          <w:b/>
          <w:i w:val="0"/>
          <w:strike w:val="0"/>
        </w:rPr>
        <w:t>S-04</w:t>
      </w:r>
    </w:p>
    <w:p>
      <w:r>
        <w:rPr>
          <w:b/>
          <w:i w:val="0"/>
          <w:strike w:val="0"/>
        </w:rPr>
        <w:t>The fact.</w:t>
      </w:r>
      <w:r>
        <w:rPr>
          <w:b w:val="0"/>
          <w:i w:val="0"/>
          <w:strike w:val="0"/>
        </w:rPr>
        <w:t xml:space="preserve"> The bodies that would have to carry this bill are substantially populated by the class the bill's retired-pay bar excludes. The Commonwealth's own report describes the </w:t>
      </w:r>
      <w:r>
        <w:rPr>
          <w:b/>
          <w:i w:val="0"/>
          <w:strike w:val="0"/>
        </w:rPr>
        <w:t>Board of Veterans Services</w:t>
      </w:r>
      <w:r>
        <w:rPr>
          <w:b w:val="0"/>
          <w:i w:val="0"/>
          <w:strike w:val="0"/>
        </w:rPr>
        <w:t xml:space="preserve"> membership as of December 1, 2025 (RD986 p.72): eight listed members are identified </w:t>
      </w:r>
      <w:r>
        <w:rPr>
          <w:b/>
          <w:i w:val="0"/>
          <w:strike w:val="0"/>
        </w:rPr>
        <w:t>in their public capacity</w:t>
      </w:r>
      <w:r>
        <w:rPr>
          <w:b w:val="0"/>
          <w:i w:val="0"/>
          <w:strike w:val="0"/>
        </w:rPr>
        <w:t xml:space="preserve"> as retired career officers — Claudia Flores (Commander, U.S. Navy (Retired)), Malcom Frost (Retired Major General, U.S. Army), Vanessa Gattis (Colonel, U.S. Army (Retired)), Vincent L. Griffith (RADM USN Ret), Joyce Henderson, Vice Chair (Retired Lieutenant Colonel, U.S. Army), Terence E. McKnight (Rear Admiral, U.S. Navy (Retired)), Wendell Warner (Retired Colonel, U.S. Army) and Chuck Zingler, ex officio (U.S. Navy Retired Captain). JLC Chair Bill Aramony sits on that Board ex officio. On the JLC side, </w:t>
      </w:r>
      <w:r>
        <w:rPr>
          <w:b/>
          <w:i w:val="0"/>
          <w:strike w:val="0"/>
        </w:rPr>
        <w:t>MOAA holds one of the eight seats on the Legislative Committee</w:t>
      </w:r>
      <w:r>
        <w:rPr>
          <w:b w:val="0"/>
          <w:i w:val="0"/>
          <w:strike w:val="0"/>
        </w:rPr>
        <w:t xml:space="preserve"> (John Down), and MOAA's membership is open to retired commissioned and warrant officers.</w:t>
      </w:r>
    </w:p>
    <w:p>
      <w:r>
        <w:rPr>
          <w:b/>
          <w:i w:val="0"/>
          <w:strike w:val="0"/>
        </w:rPr>
        <w:t>Why it is true, and it is not a drafting accident.</w:t>
      </w:r>
      <w:r>
        <w:rPr>
          <w:b w:val="0"/>
          <w:i w:val="0"/>
          <w:strike w:val="0"/>
        </w:rPr>
        <w:t xml:space="preserve"> § 51.1-142.2 B bars the purchase of service "included in the calculation of any retirement allowance received or to be received by the member from this or another retirement system," and § 51.1-142.4 H 5 inherits that bar verbatim under </w:t>
      </w:r>
      <w:r>
        <w:rPr>
          <w:b/>
          <w:i w:val="0"/>
          <w:strike w:val="0"/>
        </w:rPr>
        <w:t>DECISION 3</w:t>
      </w:r>
      <w:r>
        <w:rPr>
          <w:b w:val="0"/>
          <w:i w:val="0"/>
          <w:strike w:val="0"/>
        </w:rPr>
        <w:t>. A twenty-year active-component retiree's retired pay is computed on all twenty years, so none of it is purchasable. The Council considered an express exception and rejected it, because an exception raises a genuine double-counting objection and a much larger fiscal number.</w:t>
      </w:r>
    </w:p>
    <w:p>
      <w:r>
        <w:rPr>
          <w:b/>
          <w:i w:val="0"/>
          <w:strike w:val="0"/>
        </w:rPr>
        <w:t>What to say.</w:t>
      </w:r>
    </w:p>
    <w:p>
      <w:pPr>
        <w:spacing w:after="80"/>
        <w:ind w:left="480"/>
      </w:pPr>
      <w:r>
        <w:rPr>
          <w:b w:val="0"/>
          <w:i w:val="0"/>
          <w:strike w:val="0"/>
          <w:sz w:val="20"/>
        </w:rPr>
        <w:t xml:space="preserve">Several of this Council's leaders, and most of the Board of Veterans Services, are career retirees this bill cannot help. I want to say that before anyone else does. The bridge is aimed at a different veteran — the one who served, separated </w:t>
      </w:r>
      <w:r>
        <w:rPr>
          <w:b/>
          <w:i w:val="0"/>
          <w:strike w:val="0"/>
          <w:sz w:val="20"/>
        </w:rPr>
        <w:t>without</w:t>
      </w:r>
      <w:r>
        <w:rPr>
          <w:b w:val="0"/>
          <w:i w:val="0"/>
          <w:strike w:val="0"/>
          <w:sz w:val="20"/>
        </w:rPr>
        <w:t xml:space="preserve"> retirement-eligible service, and then spent a public-sector career that leaves her three years short of an unreduced retirement. Asking this Council to carry a bill its own leadership cannot use is a real ask, and I am making it as one.</w:t>
      </w:r>
    </w:p>
    <w:p>
      <w:r>
        <w:rPr>
          <w:b/>
          <w:i w:val="0"/>
          <w:strike w:val="0"/>
        </w:rPr>
        <w:t>Why this is a presentation problem and not a viability problem.</w:t>
      </w:r>
      <w:r>
        <w:rPr>
          <w:b w:val="0"/>
          <w:i w:val="0"/>
          <w:strike w:val="0"/>
        </w:rPr>
        <w:t xml:space="preserve"> See </w:t>
      </w:r>
      <w:r>
        <w:rPr>
          <w:b/>
          <w:i w:val="0"/>
          <w:strike w:val="0"/>
        </w:rPr>
        <w:t>S-22</w:t>
      </w:r>
      <w:r>
        <w:rPr>
          <w:b w:val="0"/>
          <w:i w:val="0"/>
          <w:strike w:val="0"/>
        </w:rPr>
        <w:t xml:space="preserve"> in </w:t>
      </w:r>
      <w:r>
        <w:rPr>
          <w:rFonts w:ascii="Consolas" w:hAnsi="Consolas"/>
          <w:b w:val="0"/>
          <w:i w:val="0"/>
          <w:strike w:val="0"/>
          <w:color w:val="303030"/>
          <w:sz w:val="19"/>
        </w:rPr>
        <w:t>11-stakeholder-review.docx</w:t>
      </w:r>
      <w:r>
        <w:rPr>
          <w:b w:val="0"/>
          <w:i w:val="0"/>
          <w:strike w:val="0"/>
        </w:rPr>
        <w:t>: the retired-pay bar is not categorically disqualifying in this forum, because the Council routinely carries proposals that benefit populations its leadership is not in. What is disqualifying is being seen to have hidden it.</w:t>
      </w:r>
    </w:p>
    <w:p>
      <w:pPr>
        <w:spacing w:after="80"/>
        <w:ind w:left="480"/>
      </w:pPr>
      <w:r>
        <w:rPr>
          <w:rFonts w:ascii="Consolas" w:hAnsi="Consolas"/>
          <w:b w:val="0"/>
          <w:i w:val="0"/>
          <w:strike w:val="0"/>
          <w:color w:val="303030"/>
          <w:sz w:val="20"/>
        </w:rPr>
        <w:t>[FOR 03]</w:t>
      </w:r>
      <w:r>
        <w:rPr>
          <w:b w:val="0"/>
          <w:i w:val="0"/>
          <w:strike w:val="0"/>
          <w:sz w:val="20"/>
        </w:rPr>
        <w:t xml:space="preserve"> — add to the "Career military retirees" paragraph: </w:t>
      </w:r>
      <w:r>
        <w:rPr>
          <w:b w:val="0"/>
          <w:i/>
          <w:strike w:val="0"/>
          <w:sz w:val="20"/>
        </w:rPr>
        <w:t>Say this in the room, first and not defensively: several of the Council's and the Board's own leaders are career retirees this bill cannot help.</w:t>
      </w:r>
    </w:p>
    <w:p>
      <w:pPr>
        <w:jc w:val="center"/>
      </w:pPr>
      <w:r>
        <w:rPr>
          <w:color w:val="909090"/>
          <w:sz w:val="18"/>
        </w:rPr>
        <w:t>* * *</w:t>
      </w:r>
    </w:p>
    <w:p>
      <w:pPr>
        <w:pStyle w:val="Heading2"/>
      </w:pPr>
      <w:r>
        <w:rPr>
          <w:b w:val="0"/>
          <w:i w:val="0"/>
          <w:strike w:val="0"/>
        </w:rPr>
        <w:t xml:space="preserve">2. The DVS Commissioner's adoption test is adverse, and the answer is to concede it — </w:t>
      </w:r>
      <w:r>
        <w:rPr>
          <w:b/>
          <w:i w:val="0"/>
          <w:strike w:val="0"/>
        </w:rPr>
        <w:t>S-05</w:t>
      </w:r>
    </w:p>
    <w:p>
      <w:r>
        <w:rPr>
          <w:b/>
          <w:i w:val="0"/>
          <w:strike w:val="0"/>
        </w:rPr>
        <w:t>The fact, quotable and on the record.</w:t>
      </w:r>
      <w:r>
        <w:rPr>
          <w:b w:val="0"/>
          <w:i w:val="0"/>
          <w:strike w:val="0"/>
        </w:rPr>
        <w:t xml:space="preserve"> The JLC Legislative Committee minutes of </w:t>
      </w:r>
      <w:r>
        <w:rPr>
          <w:b/>
          <w:i w:val="0"/>
          <w:strike w:val="0"/>
        </w:rPr>
        <w:t>April 23, 2025</w:t>
      </w:r>
      <w:r>
        <w:rPr>
          <w:b w:val="0"/>
          <w:i w:val="0"/>
          <w:strike w:val="0"/>
        </w:rPr>
        <w:t xml:space="preserve"> record the adoption test twice. Legislative Chair Yarborough "reminded members to try to link their ideas back to the DVS strategic plan and work together." And: "Commissioner Zingler then provided remarks, reminding committee members to tie initiatives back to the Virginia Veterans strategic plan. He emphasized the importance of </w:t>
      </w:r>
      <w:r>
        <w:rPr>
          <w:b/>
          <w:i w:val="0"/>
          <w:strike w:val="0"/>
        </w:rPr>
        <w:t>investing in transitioning service members whose needs are very different than older retirees</w:t>
      </w:r>
      <w:r>
        <w:rPr>
          <w:b w:val="0"/>
          <w:i w:val="0"/>
          <w:strike w:val="0"/>
        </w:rPr>
        <w:t>." The agenda packet for that meeting carried "DVS Strategic Plan Goals" as a standing item.</w:t>
      </w:r>
    </w:p>
    <w:p>
      <w:r>
        <w:rPr>
          <w:b/>
          <w:i w:val="0"/>
          <w:strike w:val="0"/>
        </w:rPr>
        <w:t>Why this is sharper than MOO-261 thought.</w:t>
      </w:r>
      <w:r>
        <w:rPr>
          <w:b w:val="0"/>
          <w:i w:val="0"/>
          <w:strike w:val="0"/>
        </w:rPr>
        <w:t xml:space="preserve"> MOO-261 §4 inferred a fit problem. This is not an inference — it is a documented adoption criterion, stated by the Commissioner, and the criterion runs against this proposal on both halves. The bridge has </w:t>
      </w:r>
      <w:r>
        <w:rPr>
          <w:b/>
          <w:i w:val="0"/>
          <w:strike w:val="0"/>
        </w:rPr>
        <w:t>no DVS strategic-plan hook</w:t>
      </w:r>
      <w:r>
        <w:rPr>
          <w:b w:val="0"/>
          <w:i w:val="0"/>
          <w:strike w:val="0"/>
        </w:rPr>
        <w:t xml:space="preserve">: DVS does not administer VRS, gains nothing from the bill, and is not a stakeholder in its implementation. And the beneficiary is the </w:t>
      </w:r>
      <w:r>
        <w:rPr>
          <w:b/>
          <w:i w:val="0"/>
          <w:strike w:val="0"/>
        </w:rPr>
        <w:t>opposite</w:t>
      </w:r>
      <w:r>
        <w:rPr>
          <w:b w:val="0"/>
          <w:i w:val="0"/>
          <w:strike w:val="0"/>
        </w:rPr>
        <w:t xml:space="preserve"> of a transitioning service member — by construction a vested member within four years of an unreduced threshold, in a benefit structure closed to new entrants since January 1, 2014.</w:t>
      </w:r>
    </w:p>
    <w:p>
      <w:r>
        <w:rPr>
          <w:b/>
          <w:i w:val="0"/>
          <w:strike w:val="0"/>
        </w:rPr>
        <w:t>The answer is not to claim a hook that does not exist.</w:t>
      </w:r>
      <w:r>
        <w:rPr>
          <w:b w:val="0"/>
          <w:i w:val="0"/>
          <w:strike w:val="0"/>
        </w:rPr>
        <w:t xml:space="preserve"> Any attempt to present the bridge as serving transitioning service members will be contradicted by the first person who reads the eligibility conditions, and it would be contradicted in the room by the Commissioner.</w:t>
      </w:r>
    </w:p>
    <w:p>
      <w:r>
        <w:rPr>
          <w:b/>
          <w:i w:val="0"/>
          <w:strike w:val="0"/>
        </w:rPr>
        <w:t>What to say.</w:t>
      </w:r>
    </w:p>
    <w:p>
      <w:pPr>
        <w:spacing w:after="80"/>
        <w:ind w:left="480"/>
      </w:pPr>
      <w:r>
        <w:rPr>
          <w:b w:val="0"/>
          <w:i w:val="0"/>
          <w:strike w:val="0"/>
          <w:sz w:val="20"/>
        </w:rPr>
        <w:t xml:space="preserve">This proposal does not serve transitioning service members, and I am not going to tell you it does. Its claim on the Council is different and narrower. It corrects a </w:t>
      </w:r>
      <w:r>
        <w:rPr>
          <w:b/>
          <w:i w:val="0"/>
          <w:strike w:val="0"/>
          <w:sz w:val="20"/>
        </w:rPr>
        <w:t>pricing cliff in a right the Commonwealth has already granted</w:t>
      </w:r>
      <w:r>
        <w:rPr>
          <w:b w:val="0"/>
          <w:i w:val="0"/>
          <w:strike w:val="0"/>
          <w:sz w:val="20"/>
        </w:rPr>
        <w:t xml:space="preserve"> — the four-year military service purchase in § 51.1-142.2, which a veteran may already buy, and whose price simply becomes unaffordable twenty-four months after hire. It does so for a population that is closed and substantially shrinking, at a modelled cost under one basis point. It asks the Council for sponsorship of a correction, not for a new program, and it does not compete for dollars with anything on the strategic plan.</w:t>
      </w:r>
    </w:p>
    <w:p>
      <w:r>
        <w:rPr>
          <w:b/>
          <w:i w:val="0"/>
          <w:strike w:val="0"/>
        </w:rPr>
        <w:t>One thing to have ready if the Commissioner presses.</w:t>
      </w:r>
      <w:r>
        <w:rPr>
          <w:b w:val="0"/>
          <w:i w:val="0"/>
          <w:strike w:val="0"/>
        </w:rPr>
        <w:t xml:space="preserve"> The strategic-plan point cuts the other way on </w:t>
      </w:r>
      <w:r>
        <w:rPr>
          <w:b/>
          <w:i w:val="0"/>
          <w:strike w:val="0"/>
        </w:rPr>
        <w:t>timing</w:t>
      </w:r>
      <w:r>
        <w:rPr>
          <w:b w:val="0"/>
          <w:i w:val="0"/>
          <w:strike w:val="0"/>
        </w:rPr>
        <w:t>: the beneficiary cohort is closing, so the window in which this correction is worth making is finite. That is an argument for doing it now, not an argument that it is a priority.</w:t>
      </w:r>
    </w:p>
    <w:p>
      <w:pPr>
        <w:spacing w:after="80"/>
        <w:ind w:left="480"/>
      </w:pPr>
      <w:r>
        <w:rPr>
          <w:rFonts w:ascii="Consolas" w:hAnsi="Consolas"/>
          <w:b w:val="0"/>
          <w:i w:val="0"/>
          <w:strike w:val="0"/>
          <w:color w:val="303030"/>
          <w:sz w:val="20"/>
        </w:rPr>
        <w:t>[FOR 04]</w:t>
      </w:r>
      <w:r>
        <w:rPr>
          <w:b w:val="0"/>
          <w:i w:val="0"/>
          <w:strike w:val="0"/>
          <w:sz w:val="20"/>
        </w:rPr>
        <w:t xml:space="preserve"> — add to §5: </w:t>
      </w:r>
      <w:r>
        <w:rPr>
          <w:b w:val="0"/>
          <w:i/>
          <w:strike w:val="0"/>
          <w:sz w:val="20"/>
        </w:rPr>
        <w:t>The Council's adoption test, and the answer to it.</w:t>
      </w:r>
      <w:r>
        <w:rPr>
          <w:b w:val="0"/>
          <w:i w:val="0"/>
          <w:strike w:val="0"/>
          <w:sz w:val="20"/>
        </w:rPr>
        <w:t xml:space="preserve"> (Full text at </w:t>
      </w:r>
      <w:r>
        <w:rPr>
          <w:rFonts w:ascii="Consolas" w:hAnsi="Consolas"/>
          <w:b w:val="0"/>
          <w:i w:val="0"/>
          <w:strike w:val="0"/>
          <w:color w:val="303030"/>
          <w:sz w:val="20"/>
        </w:rPr>
        <w:t>11-stakeholder-review.docx</w:t>
      </w:r>
      <w:r>
        <w:rPr>
          <w:b w:val="0"/>
          <w:i w:val="0"/>
          <w:strike w:val="0"/>
          <w:sz w:val="20"/>
        </w:rPr>
        <w:t xml:space="preserve"> S-05.)</w:t>
      </w:r>
    </w:p>
    <w:p>
      <w:pPr>
        <w:jc w:val="center"/>
      </w:pPr>
      <w:r>
        <w:rPr>
          <w:color w:val="909090"/>
          <w:sz w:val="18"/>
        </w:rPr>
        <w:t>* * *</w:t>
      </w:r>
    </w:p>
    <w:p>
      <w:pPr>
        <w:pStyle w:val="Heading2"/>
      </w:pPr>
      <w:r>
        <w:rPr>
          <w:b w:val="0"/>
          <w:i w:val="0"/>
          <w:strike w:val="0"/>
        </w:rPr>
        <w:t xml:space="preserve">3. § 2.2-2682 C is a statutory objection available inside the Council — </w:t>
      </w:r>
      <w:r>
        <w:rPr>
          <w:b/>
          <w:i w:val="0"/>
          <w:strike w:val="0"/>
        </w:rPr>
        <w:t>S-06</w:t>
      </w:r>
    </w:p>
    <w:p>
      <w:r>
        <w:rPr>
          <w:b/>
          <w:i w:val="0"/>
          <w:strike w:val="0"/>
        </w:rPr>
        <w:t>The provision, which MOO-261 cited but did not quote.</w:t>
      </w:r>
      <w:r>
        <w:rPr>
          <w:b w:val="0"/>
          <w:i w:val="0"/>
          <w:strike w:val="0"/>
        </w:rPr>
        <w:t xml:space="preserve"> Va. Code </w:t>
      </w:r>
      <w:r>
        <w:rPr>
          <w:b/>
          <w:i w:val="0"/>
          <w:strike w:val="0"/>
        </w:rPr>
        <w:t>§ 2.2-2682 C</w:t>
      </w:r>
      <w:r>
        <w:rPr>
          <w:b w:val="0"/>
          <w:i w:val="0"/>
          <w:strike w:val="0"/>
        </w:rPr>
        <w:t>, reproduced in RD986 Appendix J (p.73):</w:t>
      </w:r>
    </w:p>
    <w:p>
      <w:pPr>
        <w:spacing w:after="80"/>
        <w:ind w:left="480"/>
      </w:pPr>
      <w:r>
        <w:rPr>
          <w:b w:val="0"/>
          <w:i w:val="0"/>
          <w:strike w:val="0"/>
          <w:sz w:val="20"/>
        </w:rPr>
        <w:t xml:space="preserve">"C. The Council may apply for funds from the Veterans Services Foundation to enable it to better carry out its objectives. </w:t>
      </w:r>
      <w:r>
        <w:rPr>
          <w:b/>
          <w:i w:val="0"/>
          <w:strike w:val="0"/>
          <w:sz w:val="20"/>
        </w:rPr>
        <w:t>The Council shall not impose unreasonable burdens or costs in connection with requests of agencies.</w:t>
      </w:r>
      <w:r>
        <w:rPr>
          <w:b w:val="0"/>
          <w:i w:val="0"/>
          <w:strike w:val="0"/>
          <w:sz w:val="20"/>
        </w:rPr>
        <w:t>"</w:t>
      </w:r>
    </w:p>
    <w:p>
      <w:r>
        <w:rPr>
          <w:b/>
          <w:i w:val="0"/>
          <w:strike w:val="0"/>
        </w:rPr>
        <w:t>Why it bites here.</w:t>
      </w:r>
      <w:r>
        <w:rPr>
          <w:b w:val="0"/>
          <w:i w:val="0"/>
          <w:strike w:val="0"/>
        </w:rPr>
        <w:t xml:space="preserve"> MOO-261 §2.4 expects a </w:t>
      </w:r>
      <w:r>
        <w:rPr>
          <w:b/>
          <w:i w:val="0"/>
          <w:strike w:val="0"/>
        </w:rPr>
        <w:t>six-figure VRS implementation appropriation</w:t>
      </w:r>
      <w:r>
        <w:rPr>
          <w:b w:val="0"/>
          <w:i w:val="0"/>
          <w:strike w:val="0"/>
        </w:rPr>
        <w:t xml:space="preserve">, on the analogue of SB 419's $374,500 FY2027 system-change estimate, because § 51.1-142.4 I requires VRS to carry a second, parallel service ledger that is excluded from every downstream calculation. An opponent on the eight-member Legislative Committee therefore has a clean statutory line: </w:t>
      </w:r>
      <w:r>
        <w:rPr>
          <w:b w:val="0"/>
          <w:i/>
          <w:strike w:val="0"/>
        </w:rPr>
        <w:t>the Council is directed by statute not to impose unreasonable costs on agencies, and this item asks the Council to impose a six-figure build on VRS for a credit VRS gains nothing from administering.</w:t>
      </w:r>
    </w:p>
    <w:p>
      <w:r>
        <w:rPr>
          <w:b/>
          <w:i w:val="0"/>
          <w:strike w:val="0"/>
        </w:rPr>
        <w:t>And subsection A does not help.</w:t>
      </w:r>
      <w:r>
        <w:rPr>
          <w:b w:val="0"/>
          <w:i w:val="0"/>
          <w:strike w:val="0"/>
        </w:rPr>
        <w:t xml:space="preserve"> It authorises the Council to advise on "methods of providing support for ongoing veterans services and programs," to recommend issues that "may potentially impact veterans," and to promote "new efficient and effective </w:t>
      </w:r>
      <w:r>
        <w:rPr>
          <w:b/>
          <w:i w:val="0"/>
          <w:strike w:val="0"/>
        </w:rPr>
        <w:t>administrative</w:t>
      </w:r>
      <w:r>
        <w:rPr>
          <w:b w:val="0"/>
          <w:i w:val="0"/>
          <w:strike w:val="0"/>
        </w:rPr>
        <w:t xml:space="preserve"> initiatives that enhance existing veterans' services and programs." A defined-benefit pension amendment is a poor fit for every one of those verbs. This is the strongest available version of MOO-261's fit objection, and it is in the statute MOO-261 already cited.</w:t>
      </w:r>
    </w:p>
    <w:p>
      <w:r>
        <w:rPr>
          <w:b/>
          <w:i w:val="0"/>
          <w:strike w:val="0"/>
        </w:rPr>
        <w:t>What to say.</w:t>
      </w:r>
    </w:p>
    <w:p>
      <w:pPr>
        <w:spacing w:after="80"/>
        <w:ind w:left="480"/>
      </w:pPr>
      <w:r>
        <w:rPr>
          <w:b w:val="0"/>
          <w:i w:val="0"/>
          <w:strike w:val="0"/>
          <w:sz w:val="20"/>
        </w:rPr>
        <w:t xml:space="preserve">Someone will raise § 2.2-2682 C, and they should. Three answers. First, the cost is a </w:t>
      </w:r>
      <w:r>
        <w:rPr>
          <w:b/>
          <w:i w:val="0"/>
          <w:strike w:val="0"/>
          <w:sz w:val="20"/>
        </w:rPr>
        <w:t>one-time system build</w:t>
      </w:r>
      <w:r>
        <w:rPr>
          <w:b w:val="0"/>
          <w:i w:val="0"/>
          <w:strike w:val="0"/>
          <w:sz w:val="20"/>
        </w:rPr>
        <w:t xml:space="preserve">, not a recurring burden — VRS builds a separate ledger once and then runs it. Second, the bill </w:t>
      </w:r>
      <w:r>
        <w:rPr>
          <w:b/>
          <w:i w:val="0"/>
          <w:strike w:val="0"/>
          <w:sz w:val="20"/>
        </w:rPr>
        <w:t>requires the Board to put a number on it before the credit exists</w:t>
      </w:r>
      <w:r>
        <w:rPr>
          <w:b w:val="0"/>
          <w:i w:val="0"/>
          <w:strike w:val="0"/>
          <w:sz w:val="20"/>
        </w:rPr>
        <w:t xml:space="preserve">: enactment clause 3 directs a report to the money-committee chairmen by December 1, 2028, including the administrative changes necessary, and the credit does not become available until July 1, 2029. Third, and this is the part the Council controls: </w:t>
      </w:r>
      <w:r>
        <w:rPr>
          <w:b/>
          <w:i w:val="0"/>
          <w:strike w:val="0"/>
          <w:sz w:val="20"/>
        </w:rPr>
        <w:t>the Council is free to condition its sponsorship on the Board's estimate.</w:t>
      </w:r>
      <w:r>
        <w:rPr>
          <w:b w:val="0"/>
          <w:i w:val="0"/>
          <w:strike w:val="0"/>
          <w:sz w:val="20"/>
        </w:rPr>
        <w:t xml:space="preserve"> Carry it to the point of the Board's report and reserve the decision.</w:t>
      </w:r>
    </w:p>
    <w:p>
      <w:r>
        <w:rPr>
          <w:b/>
          <w:i w:val="0"/>
          <w:strike w:val="0"/>
        </w:rPr>
        <w:t>The honest fallback, and say it in the same breath.</w:t>
      </w:r>
      <w:r>
        <w:rPr>
          <w:b w:val="0"/>
          <w:i w:val="0"/>
          <w:strike w:val="0"/>
        </w:rPr>
        <w:t xml:space="preserve"> If the Council is not willing to carry an agency-cost item at all, the alternative is the </w:t>
      </w:r>
      <w:r>
        <w:rPr>
          <w:b/>
          <w:i w:val="0"/>
          <w:strike w:val="0"/>
        </w:rPr>
        <w:t>Chairman's-letter route</w:t>
      </w:r>
      <w:r>
        <w:rPr>
          <w:b w:val="0"/>
          <w:i w:val="0"/>
          <w:strike w:val="0"/>
        </w:rPr>
        <w:t xml:space="preserve"> recorded at </w:t>
      </w:r>
      <w:r>
        <w:rPr>
          <w:b/>
          <w:i w:val="0"/>
          <w:strike w:val="0"/>
        </w:rPr>
        <w:t>S-23</w:t>
      </w:r>
      <w:r>
        <w:rPr>
          <w:b w:val="0"/>
          <w:i w:val="0"/>
          <w:strike w:val="0"/>
        </w:rPr>
        <w:t xml:space="preserve"> — a documented second channel, and the right one for a proposal that is a technical correction rather than a Council priority. That route does not need the Council's sponsorship and does not engage § 2.2-2682 C.</w:t>
      </w:r>
    </w:p>
    <w:p>
      <w:pPr>
        <w:spacing w:after="80"/>
        <w:ind w:left="480"/>
      </w:pPr>
      <w:r>
        <w:rPr>
          <w:rFonts w:ascii="Consolas" w:hAnsi="Consolas"/>
          <w:b w:val="0"/>
          <w:i w:val="0"/>
          <w:strike w:val="0"/>
          <w:color w:val="303030"/>
          <w:sz w:val="20"/>
        </w:rPr>
        <w:t>[FOR 04]</w:t>
      </w:r>
      <w:r>
        <w:rPr>
          <w:b w:val="0"/>
          <w:i w:val="0"/>
          <w:strike w:val="0"/>
          <w:sz w:val="20"/>
        </w:rPr>
        <w:t xml:space="preserve"> — add to §5: </w:t>
      </w:r>
      <w:r>
        <w:rPr>
          <w:b w:val="0"/>
          <w:i/>
          <w:strike w:val="0"/>
          <w:sz w:val="20"/>
        </w:rPr>
        <w:t>Anticipate § 2.2-2682 C.</w:t>
      </w:r>
      <w:r>
        <w:rPr>
          <w:b w:val="0"/>
          <w:i w:val="0"/>
          <w:strike w:val="0"/>
          <w:sz w:val="20"/>
        </w:rPr>
        <w:t xml:space="preserve"> (Full text at </w:t>
      </w:r>
      <w:r>
        <w:rPr>
          <w:rFonts w:ascii="Consolas" w:hAnsi="Consolas"/>
          <w:b w:val="0"/>
          <w:i w:val="0"/>
          <w:strike w:val="0"/>
          <w:color w:val="303030"/>
          <w:sz w:val="20"/>
        </w:rPr>
        <w:t>11-stakeholder-review.docx</w:t>
      </w:r>
      <w:r>
        <w:rPr>
          <w:b w:val="0"/>
          <w:i w:val="0"/>
          <w:strike w:val="0"/>
          <w:sz w:val="20"/>
        </w:rPr>
        <w:t xml:space="preserve"> S-06.)</w:t>
      </w:r>
    </w:p>
    <w:p>
      <w:pPr>
        <w:jc w:val="center"/>
      </w:pPr>
      <w:r>
        <w:rPr>
          <w:color w:val="909090"/>
          <w:sz w:val="18"/>
        </w:rPr>
        <w:t>* * *</w:t>
      </w:r>
    </w:p>
    <w:p>
      <w:pPr>
        <w:pStyle w:val="Heading2"/>
      </w:pPr>
      <w:r>
        <w:rPr>
          <w:b w:val="0"/>
          <w:i w:val="0"/>
          <w:strike w:val="0"/>
        </w:rPr>
        <w:t xml:space="preserve">4. Where the bill goes, and who should carry it — </w:t>
      </w:r>
      <w:r>
        <w:rPr>
          <w:b/>
          <w:i w:val="0"/>
          <w:strike w:val="0"/>
        </w:rPr>
        <w:t>S-07 and S-08</w:t>
      </w:r>
    </w:p>
    <w:p>
      <w:pPr>
        <w:pStyle w:val="Heading3"/>
      </w:pPr>
      <w:r>
        <w:rPr>
          <w:b w:val="0"/>
          <w:i w:val="0"/>
          <w:strike w:val="0"/>
        </w:rPr>
        <w:t>The venue — the decision point is a seven-member subcommittee</w:t>
      </w:r>
    </w:p>
    <w:p>
      <w:r>
        <w:rPr>
          <w:b w:val="0"/>
          <w:i w:val="0"/>
          <w:strike w:val="0"/>
        </w:rPr>
        <w:t xml:space="preserve">No document in the package named a committee of reference before this one, and none named a subcommittee — which matters, because in Virginia most bills die in subcommittee on an unrecorded voice vote, and MOO-261's own closest analogue died exactly there: </w:t>
      </w:r>
      <w:r>
        <w:rPr>
          <w:b/>
          <w:i w:val="0"/>
          <w:strike w:val="0"/>
        </w:rPr>
        <w:t>HB 1867 (2023)</w:t>
      </w:r>
      <w:r>
        <w:rPr>
          <w:b w:val="0"/>
          <w:i w:val="0"/>
          <w:strike w:val="0"/>
        </w:rPr>
        <w:t>, "subcommittee recommended laying on the table, 8-Y 0-N; left in Appropriations."</w:t>
      </w:r>
    </w:p>
    <w:p>
      <w:r>
        <w:rPr>
          <w:b/>
          <w:i w:val="0"/>
          <w:strike w:val="0"/>
        </w:rPr>
        <w:t>House: Committee on Appropriations → Compensation and Retirement Subcommittee.</w:t>
      </w:r>
      <w:r>
        <w:rPr>
          <w:b w:val="0"/>
          <w:i w:val="0"/>
          <w:strike w:val="0"/>
        </w:rPr>
        <w:t xml:space="preserve"> Stated jurisdiction: "State Employee Compensation Retirement Worker's Compensation State Health Insurance Plan"; it "advise[s] the Committee on matters related to public employee compensation, benefits and retirement." As of the 2026 session the chair is </w:t>
      </w:r>
      <w:r>
        <w:rPr>
          <w:b/>
          <w:i w:val="0"/>
          <w:strike w:val="0"/>
        </w:rPr>
        <w:t>Alex Askew (95th)</w:t>
      </w:r>
      <w:r>
        <w:rPr>
          <w:b w:val="0"/>
          <w:i w:val="0"/>
          <w:strike w:val="0"/>
        </w:rPr>
        <w:t>, and the members are Askew, C. E. Cliff Hayes (91st), Rodney Willett (58th), Kathy Tran (18th), Shelly Simonds (70th), M. Keith Hodges (68th) and Scott Wyatt (60th). The subcommittee met four times in the 2026 session (January 19, February 2, February 13, March 2) and handled HB 204, HB 205, HB 987 and HB 1107 — all VRS bills.</w:t>
      </w:r>
    </w:p>
    <w:p>
      <w:r>
        <w:rPr>
          <w:b/>
          <w:i w:val="0"/>
          <w:strike w:val="0"/>
        </w:rPr>
        <w:t>Senate: Finance and Appropriations</w:t>
      </w:r>
      <w:r>
        <w:rPr>
          <w:b w:val="0"/>
          <w:i w:val="0"/>
          <w:strike w:val="0"/>
        </w:rPr>
        <w:t xml:space="preserve"> — the committee that continued SB 419 to 2027 by 14-Y 0-N, and in which SB 419 is live again.</w:t>
      </w:r>
    </w:p>
    <w:p>
      <w:r>
        <w:rPr>
          <w:b/>
          <w:i w:val="0"/>
          <w:strike w:val="0"/>
        </w:rPr>
        <w:t>What follows for preparation.</w:t>
      </w:r>
      <w:r>
        <w:rPr>
          <w:b w:val="0"/>
          <w:i w:val="0"/>
          <w:strike w:val="0"/>
        </w:rPr>
        <w:t xml:space="preserve"> Plan the case for </w:t>
      </w:r>
      <w:r>
        <w:rPr>
          <w:b/>
          <w:i w:val="0"/>
          <w:strike w:val="0"/>
        </w:rPr>
        <w:t>seven subcommittee members</w:t>
      </w:r>
      <w:r>
        <w:rPr>
          <w:b w:val="0"/>
          <w:i w:val="0"/>
          <w:strike w:val="0"/>
        </w:rPr>
        <w:t>, not for a floor audience. That means: the 0.19 bp denominator, the subsidy figure with the number attached, the compound adverse tail at 1.16 bp, and a one-page answer to the VRS Board's § 30-19.1:7 statement — not the equity narrative.</w:t>
      </w:r>
    </w:p>
    <w:p>
      <w:pPr>
        <w:pStyle w:val="Heading3"/>
      </w:pPr>
      <w:r>
        <w:rPr>
          <w:b w:val="0"/>
          <w:i w:val="0"/>
          <w:strike w:val="0"/>
        </w:rPr>
        <w:t xml:space="preserve">The patron shortlist — </w:t>
      </w:r>
      <w:r>
        <w:rPr>
          <w:b/>
          <w:i w:val="0"/>
          <w:strike w:val="0"/>
        </w:rPr>
        <w:t>S-08, followed up and recorded</w:t>
      </w:r>
    </w:p>
    <w:p>
      <w:r>
        <w:rPr>
          <w:b w:val="0"/>
          <w:i w:val="0"/>
          <w:strike w:val="0"/>
        </w:rPr>
        <w:t>MOO-261 §1.1 listed the patron of every § 51.1-142.2 bill since 1994, and §1.2 established that only three bills in LIS history contain the phrase "approximate normal cost" — the exact pricing mechanism this bill reopens. It never crossed its own table against current committee membership. Doing so produces a short and unambiguous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Rank</w:t>
            </w:r>
          </w:p>
        </w:tc>
        <w:tc>
          <w:tcPr>
            <w:tcW w:type="dxa" w:w="2160"/>
          </w:tcPr>
          <w:p>
            <w:r>
              <w:rPr>
                <w:b/>
                <w:i w:val="0"/>
                <w:strike w:val="0"/>
              </w:rPr>
              <w:t>Member</w:t>
            </w:r>
          </w:p>
        </w:tc>
        <w:tc>
          <w:tcPr>
            <w:tcW w:type="dxa" w:w="2160"/>
          </w:tcPr>
          <w:p>
            <w:r>
              <w:rPr>
                <w:b/>
                <w:i w:val="0"/>
                <w:strike w:val="0"/>
              </w:rPr>
              <w:t>Why</w:t>
            </w:r>
          </w:p>
        </w:tc>
        <w:tc>
          <w:tcPr>
            <w:tcW w:type="dxa" w:w="2160"/>
          </w:tcPr>
          <w:p>
            <w:r>
              <w:rPr>
                <w:b/>
                <w:i w:val="0"/>
                <w:strike w:val="0"/>
              </w:rPr>
              <w:t>Qualification</w:t>
            </w:r>
          </w:p>
        </w:tc>
      </w:tr>
      <w:tr>
        <w:tc>
          <w:tcPr>
            <w:tcW w:type="dxa" w:w="2160"/>
          </w:tcPr>
          <w:p>
            <w:r>
              <w:rPr>
                <w:b/>
                <w:i w:val="0"/>
                <w:strike w:val="0"/>
              </w:rPr>
              <w:t>1</w:t>
            </w:r>
          </w:p>
        </w:tc>
        <w:tc>
          <w:tcPr>
            <w:tcW w:type="dxa" w:w="2160"/>
          </w:tcPr>
          <w:p>
            <w:r>
              <w:rPr>
                <w:b/>
                <w:i w:val="0"/>
                <w:strike w:val="0"/>
              </w:rPr>
              <w:t>Del. Shelly Simonds (70th, Newport News)</w:t>
            </w:r>
          </w:p>
        </w:tc>
        <w:tc>
          <w:tcPr>
            <w:tcW w:type="dxa" w:w="2160"/>
          </w:tcPr>
          <w:p>
            <w:r>
              <w:rPr>
                <w:b w:val="0"/>
                <w:i w:val="0"/>
                <w:strike w:val="0"/>
              </w:rPr>
              <w:t xml:space="preserve">The only sitting legislator on the record MOO-261 assembled with </w:t>
            </w:r>
            <w:r>
              <w:rPr>
                <w:b/>
                <w:i w:val="0"/>
                <w:strike w:val="0"/>
              </w:rPr>
              <w:t>both</w:t>
            </w:r>
            <w:r>
              <w:rPr>
                <w:b w:val="0"/>
                <w:i w:val="0"/>
                <w:strike w:val="0"/>
              </w:rPr>
              <w:t xml:space="preserve"> a demonstrated history of carrying approximate-normal-cost purchase-of-service legislation — </w:t>
            </w:r>
            <w:r>
              <w:rPr>
                <w:b/>
                <w:i w:val="0"/>
                <w:strike w:val="0"/>
              </w:rPr>
              <w:t>HB 1830 (2025)</w:t>
            </w:r>
            <w:r>
              <w:rPr>
                <w:b w:val="0"/>
                <w:i w:val="0"/>
                <w:strike w:val="0"/>
              </w:rPr>
              <w:t xml:space="preserve">, passed and vetoed, and </w:t>
            </w:r>
            <w:r>
              <w:rPr>
                <w:b/>
                <w:i w:val="0"/>
                <w:strike w:val="0"/>
              </w:rPr>
              <w:t>HB 139 (2026)</w:t>
            </w:r>
            <w:r>
              <w:rPr>
                <w:b w:val="0"/>
                <w:i w:val="0"/>
                <w:strike w:val="0"/>
              </w:rPr>
              <w:t xml:space="preserve">, Chapter 563 — </w:t>
            </w:r>
            <w:r>
              <w:rPr>
                <w:b/>
                <w:i w:val="0"/>
                <w:strike w:val="0"/>
              </w:rPr>
              <w:t>and a seat on the Compensation and Retirement Subcommittee</w:t>
            </w:r>
            <w:r>
              <w:rPr>
                <w:b w:val="0"/>
                <w:i w:val="0"/>
                <w:strike w:val="0"/>
              </w:rPr>
              <w:t>, which is where the bill will be decided. District covers Newport News, with Newport News Shipbuilding, and Fort Eustis and Langley nearby.</w:t>
            </w:r>
          </w:p>
        </w:tc>
        <w:tc>
          <w:tcPr>
            <w:tcW w:type="dxa" w:w="2160"/>
          </w:tcPr>
          <w:p>
            <w:r>
              <w:rPr>
                <w:b w:val="0"/>
                <w:i w:val="0"/>
                <w:strike w:val="0"/>
              </w:rPr>
              <w:t xml:space="preserve">A patron whose prior approximate-normal-cost bill was </w:t>
            </w:r>
            <w:r>
              <w:rPr>
                <w:b/>
                <w:i w:val="0"/>
                <w:strike w:val="0"/>
              </w:rPr>
              <w:t>vetoed</w:t>
            </w:r>
            <w:r>
              <w:rPr>
                <w:b w:val="0"/>
                <w:i w:val="0"/>
                <w:strike w:val="0"/>
              </w:rPr>
              <w:t xml:space="preserve"> is not an unalloyed asset. HB 139's subject (employee-association educational leave) is unrelated to veterans; the relevance is to the </w:t>
            </w:r>
            <w:r>
              <w:rPr>
                <w:b/>
                <w:i w:val="0"/>
                <w:strike w:val="0"/>
              </w:rPr>
              <w:t>pricing mechanism and the venue</w:t>
            </w:r>
            <w:r>
              <w:rPr>
                <w:b w:val="0"/>
                <w:i w:val="0"/>
                <w:strike w:val="0"/>
              </w:rPr>
              <w:t>, not the policy.</w:t>
            </w:r>
          </w:p>
        </w:tc>
      </w:tr>
      <w:tr>
        <w:tc>
          <w:tcPr>
            <w:tcW w:type="dxa" w:w="2160"/>
          </w:tcPr>
          <w:p>
            <w:r>
              <w:rPr>
                <w:b/>
                <w:i w:val="0"/>
                <w:strike w:val="0"/>
              </w:rPr>
              <w:t>2</w:t>
            </w:r>
          </w:p>
        </w:tc>
        <w:tc>
          <w:tcPr>
            <w:tcW w:type="dxa" w:w="2160"/>
          </w:tcPr>
          <w:p>
            <w:r>
              <w:rPr>
                <w:b/>
                <w:i w:val="0"/>
                <w:strike w:val="0"/>
              </w:rPr>
              <w:t>Another member of the Compensation and Retirement Subcommittee</w:t>
            </w:r>
            <w:r>
              <w:rPr>
                <w:b w:val="0"/>
                <w:i w:val="0"/>
                <w:strike w:val="0"/>
              </w:rPr>
              <w:t xml:space="preserve"> — Askew (chair), Hayes, Willett, Tran, Hodges or Wyatt</w:t>
            </w:r>
          </w:p>
        </w:tc>
        <w:tc>
          <w:tcPr>
            <w:tcW w:type="dxa" w:w="2160"/>
          </w:tcPr>
          <w:p>
            <w:r>
              <w:rPr>
                <w:b w:val="0"/>
                <w:i w:val="0"/>
                <w:strike w:val="0"/>
              </w:rPr>
              <w:t>Seat on the chokepoint is the single most valuable attribute, ahead of subject-matter history. A chair patron is the strongest version of this.</w:t>
            </w:r>
          </w:p>
        </w:tc>
        <w:tc>
          <w:tcPr>
            <w:tcW w:type="dxa" w:w="2160"/>
          </w:tcPr>
          <w:p>
            <w:r>
              <w:rPr>
                <w:b w:val="0"/>
                <w:i w:val="0"/>
                <w:strike w:val="0"/>
              </w:rPr>
              <w:t>No recorded purchase-of-service history for any of them in MOO-261's table. Hodges and Wyatt would give the bill bipartisan cover if that is wanted.</w:t>
            </w:r>
          </w:p>
        </w:tc>
      </w:tr>
      <w:tr>
        <w:tc>
          <w:tcPr>
            <w:tcW w:type="dxa" w:w="2160"/>
          </w:tcPr>
          <w:p>
            <w:r>
              <w:rPr>
                <w:b/>
                <w:i w:val="0"/>
                <w:strike w:val="0"/>
              </w:rPr>
              <w:t>3</w:t>
            </w:r>
          </w:p>
        </w:tc>
        <w:tc>
          <w:tcPr>
            <w:tcW w:type="dxa" w:w="2160"/>
          </w:tcPr>
          <w:p>
            <w:r>
              <w:rPr>
                <w:b/>
                <w:i w:val="0"/>
                <w:strike w:val="0"/>
              </w:rPr>
              <w:t>A prior § 51.1-142.2 patron not on the subcommittee</w:t>
            </w:r>
            <w:r>
              <w:rPr>
                <w:b w:val="0"/>
                <w:i w:val="0"/>
                <w:strike w:val="0"/>
              </w:rPr>
              <w:t xml:space="preserve"> — see MOO-261 §1.1</w:t>
            </w:r>
          </w:p>
        </w:tc>
        <w:tc>
          <w:tcPr>
            <w:tcW w:type="dxa" w:w="2160"/>
          </w:tcPr>
          <w:p>
            <w:r>
              <w:rPr>
                <w:b w:val="0"/>
                <w:i w:val="0"/>
                <w:strike w:val="0"/>
              </w:rPr>
              <w:t>Subject-matter credibility and a record of carrying these bills.</w:t>
            </w:r>
          </w:p>
        </w:tc>
        <w:tc>
          <w:tcPr>
            <w:tcW w:type="dxa" w:w="2160"/>
          </w:tcPr>
          <w:p>
            <w:r>
              <w:rPr>
                <w:b w:val="0"/>
                <w:i w:val="0"/>
                <w:strike w:val="0"/>
              </w:rPr>
              <w:t>Without a seat on the subcommittee this is the weaker option, because the decision is made there and the patron is not in the room when it is. Pair with option 1 or 2 as co-patron.</w:t>
            </w:r>
          </w:p>
        </w:tc>
      </w:tr>
    </w:tbl>
    <w:p/>
    <w:p>
      <w:r>
        <w:rPr>
          <w:b/>
          <w:i w:val="0"/>
          <w:strike w:val="0"/>
        </w:rPr>
        <w:t>Two disciplines on this list.</w:t>
      </w:r>
      <w:r>
        <w:rPr>
          <w:b w:val="0"/>
          <w:i w:val="0"/>
          <w:strike w:val="0"/>
        </w:rPr>
        <w:t xml:space="preserve"> It is assembled </w:t>
      </w:r>
      <w:r>
        <w:rPr>
          <w:b/>
          <w:i w:val="0"/>
          <w:strike w:val="0"/>
        </w:rPr>
        <w:t>from the public record only</w:t>
      </w:r>
      <w:r>
        <w:rPr>
          <w:b w:val="0"/>
          <w:i w:val="0"/>
          <w:strike w:val="0"/>
        </w:rPr>
        <w:t xml:space="preserve">; no one has been contacted and no one will be by this team. The approach is the Policy Director's to make or decline. And </w:t>
      </w:r>
      <w:r>
        <w:rPr>
          <w:b/>
          <w:i w:val="0"/>
          <w:strike w:val="0"/>
        </w:rPr>
        <w:t>committee assignments must be re-confirmed for the 2028 session before anyone is approached</w:t>
      </w:r>
      <w:r>
        <w:rPr>
          <w:b w:val="0"/>
          <w:i w:val="0"/>
          <w:strike w:val="0"/>
        </w:rPr>
        <w:t xml:space="preserve"> — the roster above is the 2026 session, and the bill is drafted for 2028.</w:t>
      </w:r>
    </w:p>
    <w:p>
      <w:r>
        <w:rPr>
          <w:b/>
          <w:i w:val="0"/>
          <w:strike w:val="0"/>
        </w:rPr>
        <w:t>One verification caveat, stated plainly.</w:t>
      </w:r>
      <w:r>
        <w:rPr>
          <w:b w:val="0"/>
          <w:i w:val="0"/>
          <w:strike w:val="0"/>
        </w:rPr>
        <w:t xml:space="preserve"> The bill-patronage facts rest on MOO-261's direct LIS retrieval, which the stakeholder reviewer could not independently re-verify (</w:t>
      </w:r>
      <w:r>
        <w:rPr>
          <w:rFonts w:ascii="Consolas" w:hAnsi="Consolas"/>
          <w:b w:val="0"/>
          <w:i w:val="0"/>
          <w:strike w:val="0"/>
          <w:color w:val="303030"/>
          <w:sz w:val="19"/>
        </w:rPr>
        <w:t>11-stakeholder-review.docx</w:t>
      </w:r>
      <w:r>
        <w:rPr>
          <w:b w:val="0"/>
          <w:i w:val="0"/>
          <w:strike w:val="0"/>
        </w:rPr>
        <w:t xml:space="preserve"> §5). Confirm HB 1830 (2025) and HB 139 (2026) in LIS before the name is used in a conversation.</w:t>
      </w:r>
    </w:p>
    <w:p>
      <w:pPr>
        <w:spacing w:after="80"/>
        <w:ind w:left="480"/>
      </w:pPr>
      <w:r>
        <w:rPr>
          <w:rFonts w:ascii="Consolas" w:hAnsi="Consolas"/>
          <w:b w:val="0"/>
          <w:i w:val="0"/>
          <w:strike w:val="0"/>
          <w:color w:val="303030"/>
          <w:sz w:val="20"/>
        </w:rPr>
        <w:t>[FOR 04]</w:t>
      </w:r>
      <w:r>
        <w:rPr>
          <w:b w:val="0"/>
          <w:i w:val="0"/>
          <w:strike w:val="0"/>
          <w:sz w:val="20"/>
        </w:rPr>
        <w:t xml:space="preserve"> — add to §5: </w:t>
      </w:r>
      <w:r>
        <w:rPr>
          <w:b w:val="0"/>
          <w:i/>
          <w:strike w:val="0"/>
          <w:sz w:val="20"/>
        </w:rPr>
        <w:t>Where this bill goes</w:t>
      </w:r>
      <w:r>
        <w:rPr>
          <w:b w:val="0"/>
          <w:i w:val="0"/>
          <w:strike w:val="0"/>
          <w:sz w:val="20"/>
        </w:rPr>
        <w:t xml:space="preserve"> and </w:t>
      </w:r>
      <w:r>
        <w:rPr>
          <w:b w:val="0"/>
          <w:i/>
          <w:strike w:val="0"/>
          <w:sz w:val="20"/>
        </w:rPr>
        <w:t>Patron.</w:t>
      </w:r>
      <w:r>
        <w:rPr>
          <w:b w:val="0"/>
          <w:i w:val="0"/>
          <w:strike w:val="0"/>
          <w:sz w:val="20"/>
        </w:rPr>
        <w:t xml:space="preserve"> (Full text at </w:t>
      </w:r>
      <w:r>
        <w:rPr>
          <w:rFonts w:ascii="Consolas" w:hAnsi="Consolas"/>
          <w:b w:val="0"/>
          <w:i w:val="0"/>
          <w:strike w:val="0"/>
          <w:color w:val="303030"/>
          <w:sz w:val="20"/>
        </w:rPr>
        <w:t>11-stakeholder-review.docx</w:t>
      </w:r>
      <w:r>
        <w:rPr>
          <w:b w:val="0"/>
          <w:i w:val="0"/>
          <w:strike w:val="0"/>
          <w:sz w:val="20"/>
        </w:rPr>
        <w:t xml:space="preserve"> S-07 and S-08.)</w:t>
      </w:r>
    </w:p>
    <w:p>
      <w:pPr>
        <w:jc w:val="center"/>
      </w:pPr>
      <w:r>
        <w:rPr>
          <w:color w:val="909090"/>
          <w:sz w:val="18"/>
        </w:rPr>
        <w:t>* * *</w:t>
      </w:r>
    </w:p>
    <w:p>
      <w:pPr>
        <w:pStyle w:val="Heading2"/>
      </w:pPr>
      <w:r>
        <w:rPr>
          <w:b w:val="0"/>
          <w:i w:val="0"/>
          <w:strike w:val="0"/>
        </w:rPr>
        <w:t xml:space="preserve">5. What to tell a veteran hired in 2026 — </w:t>
      </w:r>
      <w:r>
        <w:rPr>
          <w:b/>
          <w:i w:val="0"/>
          <w:strike w:val="0"/>
        </w:rPr>
        <w:t>S-09</w:t>
      </w:r>
    </w:p>
    <w:p>
      <w:r>
        <w:rPr>
          <w:b/>
          <w:i w:val="0"/>
          <w:strike w:val="0"/>
        </w:rPr>
        <w:t>The gap.</w:t>
      </w:r>
      <w:r>
        <w:rPr>
          <w:b w:val="0"/>
          <w:i w:val="0"/>
          <w:strike w:val="0"/>
        </w:rPr>
        <w:t xml:space="preserve"> "Closed and shrinking" was built for the money committees, where it bounds the cost, and it is the package's most useful fact there. Handed unmodified to the Council it says something different. Plan 1 closed July 1, 2010 and Plan 2 closed January 1, 2014 (ASM-13). </w:t>
      </w:r>
      <w:r>
        <w:rPr>
          <w:b/>
          <w:i w:val="0"/>
          <w:strike w:val="0"/>
        </w:rPr>
        <w:t>Every veteran hired into VRS-covered employment on or after January 1, 2014 is a hybrid participant and is excluded by DECISION 2</w:t>
      </w:r>
      <w:r>
        <w:rPr>
          <w:b w:val="0"/>
          <w:i w:val="0"/>
          <w:strike w:val="0"/>
        </w:rPr>
        <w:t xml:space="preserve">, and the § 51.1-153 B 4 public-safety carve-out under DECISION 10 is drawn at the same date. So the answer to "is there a constituency that reads this bill as excluding them?" is yes, and it is the </w:t>
      </w:r>
      <w:r>
        <w:rPr>
          <w:b/>
          <w:i w:val="0"/>
          <w:strike w:val="0"/>
        </w:rPr>
        <w:t>entire post-2014 cohort</w:t>
      </w:r>
      <w:r>
        <w:rPr>
          <w:b w:val="0"/>
          <w:i w:val="0"/>
          <w:strike w:val="0"/>
        </w:rPr>
        <w:t xml:space="preserve"> — more than twelve years of hiring, growing every year, the post-9/11-era veterans the Council's member organisations are actively recruiting, and the group the Commissioner called the priority (§2 above).</w:t>
      </w:r>
    </w:p>
    <w:p>
      <w:r>
        <w:rPr>
          <w:b w:val="0"/>
          <w:i w:val="0"/>
          <w:strike w:val="0"/>
        </w:rPr>
        <w:t xml:space="preserve">No package document gave a service officer or a DVS counsellor a sentence to say to that person. </w:t>
      </w:r>
      <w:r>
        <w:rPr>
          <w:b/>
          <w:i w:val="0"/>
          <w:strike w:val="0"/>
        </w:rPr>
        <w:t>That gap, not the policy, is the finding.</w:t>
      </w:r>
      <w:r>
        <w:rPr>
          <w:b w:val="0"/>
          <w:i w:val="0"/>
          <w:strike w:val="0"/>
        </w:rPr>
        <w:t xml:space="preserve"> The exclusion itself is settled and is not reopened here.</w:t>
      </w:r>
    </w:p>
    <w:p>
      <w:r>
        <w:rPr>
          <w:b/>
          <w:i w:val="0"/>
          <w:strike w:val="0"/>
        </w:rPr>
        <w:t>What to say to the veteran.</w:t>
      </w:r>
    </w:p>
    <w:p>
      <w:pPr>
        <w:spacing w:after="80"/>
        <w:ind w:left="480"/>
      </w:pPr>
      <w:r>
        <w:rPr>
          <w:b w:val="0"/>
          <w:i w:val="0"/>
          <w:strike w:val="0"/>
          <w:sz w:val="20"/>
        </w:rPr>
        <w:t xml:space="preserve">This bill does not reach you, and the reason is structural rather than a judgment about your service. You are in the hybrid retirement program, and the hybrid program </w:t>
      </w:r>
      <w:r>
        <w:rPr>
          <w:b/>
          <w:i w:val="0"/>
          <w:strike w:val="0"/>
          <w:sz w:val="20"/>
        </w:rPr>
        <w:t>has no unreduced-service threshold for a bridge to shorten</w:t>
      </w:r>
      <w:r>
        <w:rPr>
          <w:b w:val="0"/>
          <w:i w:val="0"/>
          <w:strike w:val="0"/>
          <w:sz w:val="20"/>
        </w:rPr>
        <w:t>. Its defined benefit component uses a different eligibility test, and your own account balance drives most of your outcome, so there is no cliff here of the kind this bill removes. A hybrid equivalent would be a separate proposal against a different mechanism. This bill fixes a pricing cliff for the closing Plan 1 and Plan 2 cohorts, and it does nothing for anyone hired since January 1, 2014.</w:t>
      </w:r>
    </w:p>
    <w:p>
      <w:r>
        <w:rPr>
          <w:b/>
          <w:i w:val="0"/>
          <w:strike w:val="0"/>
        </w:rPr>
        <w:t>What to say to the Council, which is a different thing.</w:t>
      </w:r>
    </w:p>
    <w:p>
      <w:pPr>
        <w:spacing w:after="80"/>
        <w:ind w:left="480"/>
      </w:pPr>
      <w:r>
        <w:rPr>
          <w:b w:val="0"/>
          <w:i w:val="0"/>
          <w:strike w:val="0"/>
          <w:sz w:val="20"/>
        </w:rPr>
        <w:t xml:space="preserve">The honest description is that this proposal serves a </w:t>
      </w:r>
      <w:r>
        <w:rPr>
          <w:b/>
          <w:i w:val="0"/>
          <w:strike w:val="0"/>
          <w:sz w:val="20"/>
        </w:rPr>
        <w:t>closing cohort</w:t>
      </w:r>
      <w:r>
        <w:rPr>
          <w:b w:val="0"/>
          <w:i w:val="0"/>
          <w:strike w:val="0"/>
          <w:sz w:val="20"/>
        </w:rPr>
        <w:t xml:space="preserve"> and that the Council's growing membership is outside it. If the Council wants something for the post-2014 cohort, that is a separate piece of work against the hybrid program and it has not been done. I am not asking the Council to pretend otherwise, and I would rather be asked to commission that analysis than have this bill carried on a claim it cannot support.</w:t>
      </w:r>
    </w:p>
    <w:p>
      <w:r>
        <w:rPr>
          <w:b/>
          <w:i w:val="0"/>
          <w:strike w:val="0"/>
        </w:rPr>
        <w:t>The decision this leaves with the Policy Director.</w:t>
      </w:r>
      <w:r>
        <w:rPr>
          <w:b w:val="0"/>
          <w:i w:val="0"/>
          <w:strike w:val="0"/>
        </w:rPr>
        <w:t xml:space="preserve"> If the Council will not accept that answer, the honest alternative is to </w:t>
      </w:r>
      <w:r>
        <w:rPr>
          <w:b/>
          <w:i w:val="0"/>
          <w:strike w:val="0"/>
        </w:rPr>
        <w:t>commission the hybrid analysis before seeking sponsorship</w:t>
      </w:r>
      <w:r>
        <w:rPr>
          <w:b w:val="0"/>
          <w:i w:val="0"/>
          <w:strike w:val="0"/>
        </w:rPr>
        <w:t>. That is a Policy Director call. It is recorded here, unresolved.</w:t>
      </w:r>
    </w:p>
    <w:p>
      <w:pPr>
        <w:spacing w:after="80"/>
        <w:ind w:left="480"/>
      </w:pPr>
      <w:r>
        <w:rPr>
          <w:rFonts w:ascii="Consolas" w:hAnsi="Consolas"/>
          <w:b w:val="0"/>
          <w:i w:val="0"/>
          <w:strike w:val="0"/>
          <w:color w:val="303030"/>
          <w:sz w:val="20"/>
        </w:rPr>
        <w:t>[FOR 04]</w:t>
      </w:r>
      <w:r>
        <w:rPr>
          <w:b w:val="0"/>
          <w:i w:val="0"/>
          <w:strike w:val="0"/>
          <w:sz w:val="20"/>
        </w:rPr>
        <w:t xml:space="preserve"> — add to §4, after blocker 3: </w:t>
      </w:r>
      <w:r>
        <w:rPr>
          <w:b w:val="0"/>
          <w:i/>
          <w:strike w:val="0"/>
          <w:sz w:val="20"/>
        </w:rPr>
        <w:t>What to tell a post-2014 hire.</w:t>
      </w:r>
      <w:r>
        <w:rPr>
          <w:b w:val="0"/>
          <w:i w:val="0"/>
          <w:strike w:val="0"/>
          <w:sz w:val="20"/>
        </w:rPr>
        <w:t xml:space="preserve"> (Full text at </w:t>
      </w:r>
      <w:r>
        <w:rPr>
          <w:rFonts w:ascii="Consolas" w:hAnsi="Consolas"/>
          <w:b w:val="0"/>
          <w:i w:val="0"/>
          <w:strike w:val="0"/>
          <w:color w:val="303030"/>
          <w:sz w:val="20"/>
        </w:rPr>
        <w:t>11-stakeholder-review.docx</w:t>
      </w:r>
      <w:r>
        <w:rPr>
          <w:b w:val="0"/>
          <w:i w:val="0"/>
          <w:strike w:val="0"/>
          <w:sz w:val="20"/>
        </w:rPr>
        <w:t xml:space="preserve"> S-09.)</w:t>
      </w:r>
    </w:p>
    <w:p>
      <w:pPr>
        <w:jc w:val="center"/>
      </w:pPr>
      <w:r>
        <w:rPr>
          <w:color w:val="909090"/>
          <w:sz w:val="18"/>
        </w:rPr>
        <w:t>* * *</w:t>
      </w:r>
    </w:p>
    <w:p>
      <w:pPr>
        <w:pStyle w:val="Heading2"/>
      </w:pPr>
      <w:r>
        <w:rPr>
          <w:b w:val="0"/>
          <w:i w:val="0"/>
          <w:strike w:val="0"/>
        </w:rPr>
        <w:t xml:space="preserve">6. Say the § 12736 question to the Guard and Reserve organisations directly — </w:t>
      </w:r>
      <w:r>
        <w:rPr>
          <w:b/>
          <w:i w:val="0"/>
          <w:strike w:val="0"/>
        </w:rPr>
        <w:t>S-10</w:t>
      </w:r>
    </w:p>
    <w:p>
      <w:r>
        <w:rPr>
          <w:b/>
          <w:i w:val="0"/>
          <w:strike w:val="0"/>
        </w:rPr>
        <w:t>The stakeholder consequence the drafting discipline created.</w:t>
      </w:r>
      <w:r>
        <w:rPr>
          <w:b w:val="0"/>
          <w:i w:val="0"/>
          <w:strike w:val="0"/>
        </w:rPr>
        <w:t xml:space="preserve"> </w:t>
      </w:r>
      <w:r>
        <w:rPr>
          <w:rFonts w:ascii="Consolas" w:hAnsi="Consolas"/>
          <w:b w:val="0"/>
          <w:i w:val="0"/>
          <w:strike w:val="0"/>
          <w:color w:val="303030"/>
          <w:sz w:val="19"/>
        </w:rPr>
        <w:t>04</w:t>
      </w:r>
      <w:r>
        <w:rPr>
          <w:b w:val="0"/>
          <w:i w:val="0"/>
          <w:strike w:val="0"/>
        </w:rPr>
        <w:t xml:space="preserve"> ¶20 and </w:t>
      </w:r>
      <w:r>
        <w:rPr>
          <w:rFonts w:ascii="Consolas" w:hAnsi="Consolas"/>
          <w:b w:val="0"/>
          <w:i w:val="0"/>
          <w:strike w:val="0"/>
          <w:color w:val="303030"/>
          <w:sz w:val="19"/>
        </w:rPr>
        <w:t>03</w:t>
      </w:r>
      <w:r>
        <w:rPr>
          <w:b w:val="0"/>
          <w:i w:val="0"/>
          <w:strike w:val="0"/>
        </w:rPr>
        <w:t xml:space="preserve"> ¶22 both state, correctly, that federal law protects qualifying service associated with </w:t>
      </w:r>
      <w:r>
        <w:rPr>
          <w:b/>
          <w:i w:val="0"/>
          <w:strike w:val="0"/>
        </w:rPr>
        <w:t>non-regular Reserve-component retired pay under 10 U.S.C. chapter 1223</w:t>
      </w:r>
      <w:r>
        <w:rPr>
          <w:b w:val="0"/>
          <w:i w:val="0"/>
          <w:strike w:val="0"/>
        </w:rPr>
        <w:t xml:space="preserve">, and instruct that no broader Reserve or Guard protection be asserted. That discipline is right and is not questioned. What was unflagged is who is in the room: </w:t>
      </w:r>
      <w:r>
        <w:rPr>
          <w:b/>
          <w:i w:val="0"/>
          <w:strike w:val="0"/>
        </w:rPr>
        <w:t>three of the Council's 27 member organisations exist for that exact population</w:t>
      </w:r>
      <w:r>
        <w:rPr>
          <w:b w:val="0"/>
          <w:i w:val="0"/>
          <w:strike w:val="0"/>
        </w:rPr>
        <w:t xml:space="preserve"> — the Virginia National Guard Association (Jay Marts), the Virginia Army/Air National Guard Enlisted Association (Carl Holcomb), and the Reserve Organization of America (David Sitler) (RD986 p.74). </w:t>
      </w:r>
      <w:r>
        <w:rPr>
          <w:b/>
          <w:i w:val="0"/>
          <w:strike w:val="0"/>
        </w:rPr>
        <w:t>Marts is one of the eight members of the Legislative Committee</w:t>
      </w:r>
      <w:r>
        <w:rPr>
          <w:b w:val="0"/>
          <w:i w:val="0"/>
          <w:strike w:val="0"/>
        </w:rPr>
        <w:t xml:space="preserve"> that decides whether the item advances. So the brief asks a Legislative Committee member to vote to sponsor a bill whose application to his own members was described as undetermined. That is a predictable "no," or at best an abstention, from a vote where eight members is the whole room.</w:t>
      </w:r>
    </w:p>
    <w:p>
      <w:r>
        <w:rPr>
          <w:b/>
          <w:i w:val="0"/>
          <w:strike w:val="0"/>
        </w:rPr>
        <w:t>What has changed since the stakeholder review, and it helps.</w:t>
      </w:r>
      <w:r>
        <w:rPr>
          <w:b w:val="0"/>
          <w:i w:val="0"/>
          <w:strike w:val="0"/>
        </w:rPr>
        <w:t xml:space="preserve"> The independent counsel review (MOO-264, finding M-02) established that the package's quotation of § 12736 was </w:t>
      </w:r>
      <w:r>
        <w:rPr>
          <w:b/>
          <w:i w:val="0"/>
          <w:strike w:val="0"/>
        </w:rPr>
        <w:t>wrong</w:t>
      </w:r>
      <w:r>
        <w:rPr>
          <w:b w:val="0"/>
          <w:i w:val="0"/>
          <w:strike w:val="0"/>
        </w:rPr>
        <w:t xml:space="preserve"> — versions 1.0 through 1.3 quoted it as reaching "any other provision of law, </w:t>
      </w:r>
      <w:r>
        <w:rPr>
          <w:b/>
          <w:i w:val="0"/>
          <w:strike w:val="0"/>
        </w:rPr>
        <w:t>State or Federal</w:t>
      </w:r>
      <w:r>
        <w:rPr>
          <w:b w:val="0"/>
          <w:i w:val="0"/>
          <w:strike w:val="0"/>
        </w:rPr>
        <w:t>," words that are not in the statute, and omitted the closing proviso "</w:t>
      </w:r>
      <w:r>
        <w:rPr>
          <w:b/>
          <w:i w:val="0"/>
          <w:strike w:val="0"/>
        </w:rPr>
        <w:t>if that service is otherwise properly credited under it</w:t>
      </w:r>
      <w:r>
        <w:rPr>
          <w:b w:val="0"/>
          <w:i w:val="0"/>
          <w:strike w:val="0"/>
        </w:rPr>
        <w:t xml:space="preserve">." On the real text the answer is clearer than "undetermined": § 12736 is an </w:t>
      </w:r>
      <w:r>
        <w:rPr>
          <w:b/>
          <w:i w:val="0"/>
          <w:strike w:val="0"/>
        </w:rPr>
        <w:t>anti-exclusion rule, not a crediting mandate</w:t>
      </w:r>
      <w:r>
        <w:rPr>
          <w:b w:val="0"/>
          <w:i w:val="0"/>
          <w:strike w:val="0"/>
        </w:rPr>
        <w:t xml:space="preserve">. It forbids a scheme from carving out chapter 1223 service that the scheme otherwise properly credits. Virginia credits prior active duty service toward § 51.1-153 B 2 and B 3 eligibility </w:t>
      </w:r>
      <w:r>
        <w:rPr>
          <w:b/>
          <w:i w:val="0"/>
          <w:strike w:val="0"/>
        </w:rPr>
        <w:t>only on purchase</w:t>
      </w:r>
      <w:r>
        <w:rPr>
          <w:b w:val="0"/>
          <w:i w:val="0"/>
          <w:strike w:val="0"/>
        </w:rPr>
        <w:t>, so there is nothing for § 12736 to operate on, and it does not preempt any part of this bill.</w:t>
      </w:r>
    </w:p>
    <w:p>
      <w:r>
        <w:rPr>
          <w:b/>
          <w:i w:val="0"/>
          <w:strike w:val="0"/>
        </w:rPr>
        <w:t>But that is this team's reading, not counsel's, and the distinction matters to this audience.</w:t>
      </w:r>
    </w:p>
    <w:p>
      <w:r>
        <w:rPr>
          <w:b/>
          <w:i w:val="0"/>
          <w:strike w:val="0"/>
        </w:rPr>
        <w:t>What to say.</w:t>
      </w:r>
    </w:p>
    <w:p>
      <w:pPr>
        <w:spacing w:after="80"/>
        <w:ind w:left="480"/>
      </w:pPr>
      <w:r>
        <w:rPr>
          <w:b w:val="0"/>
          <w:i w:val="0"/>
          <w:strike w:val="0"/>
          <w:sz w:val="20"/>
        </w:rPr>
        <w:t xml:space="preserve">Three of this Council's member organisations represent Guard and Reserve populations, and one of them sits on this committee. The honest position is this. We previously described the federal question as open. We have since read 10 U.S.C. § 12736 in primary text, found that our own quotation of it was wrong, and concluded that it does not affect this bill either way — it bars excluding chapter 1223 service that a plan already credits, and Virginia credits this service only when a member buys it. </w:t>
      </w:r>
      <w:r>
        <w:rPr>
          <w:b/>
          <w:i w:val="0"/>
          <w:strike w:val="0"/>
          <w:sz w:val="20"/>
        </w:rPr>
        <w:t>That is our reading and it has not been confirmed by counsel.</w:t>
      </w:r>
      <w:r>
        <w:rPr>
          <w:b w:val="0"/>
          <w:i w:val="0"/>
          <w:strike w:val="0"/>
          <w:sz w:val="20"/>
        </w:rPr>
        <w:t xml:space="preserve"> I am not asking anyone to vote on our reading. </w:t>
      </w:r>
      <w:r>
        <w:rPr>
          <w:b/>
          <w:i w:val="0"/>
          <w:strike w:val="0"/>
          <w:sz w:val="20"/>
        </w:rPr>
        <w:t>Counsel's answer should be obtained before the Council is asked to vote, not after</w:t>
      </w:r>
      <w:r>
        <w:rPr>
          <w:b w:val="0"/>
          <w:i w:val="0"/>
          <w:strike w:val="0"/>
          <w:sz w:val="20"/>
        </w:rPr>
        <w:t>, because a Legislative Committee member cannot responsibly sponsor an item whose application to his own members is undetermined — and because if we are wrong, the people it is wrong about are sitting here.</w:t>
      </w:r>
    </w:p>
    <w:p>
      <w:r>
        <w:rPr>
          <w:b/>
          <w:i w:val="0"/>
          <w:strike w:val="0"/>
        </w:rPr>
        <w:t>Related, and it should be said in the same conversation:</w:t>
      </w:r>
      <w:r>
        <w:rPr>
          <w:b w:val="0"/>
          <w:i w:val="0"/>
          <w:strike w:val="0"/>
        </w:rPr>
        <w:t xml:space="preserve"> the </w:t>
      </w:r>
      <w:r>
        <w:rPr>
          <w:b/>
          <w:i w:val="0"/>
          <w:strike w:val="0"/>
        </w:rPr>
        <w:t>Blended Retirement System</w:t>
      </w:r>
      <w:r>
        <w:rPr>
          <w:b w:val="0"/>
          <w:i w:val="0"/>
          <w:strike w:val="0"/>
        </w:rPr>
        <w:t xml:space="preserve"> question at </w:t>
      </w:r>
      <w:r>
        <w:rPr>
          <w:rFonts w:ascii="Consolas" w:hAnsi="Consolas"/>
          <w:b w:val="0"/>
          <w:i w:val="0"/>
          <w:strike w:val="0"/>
          <w:color w:val="303030"/>
          <w:sz w:val="19"/>
        </w:rPr>
        <w:t>01-bill-draft.docx</w:t>
      </w:r>
      <w:r>
        <w:rPr>
          <w:b w:val="0"/>
          <w:i w:val="0"/>
          <w:strike w:val="0"/>
        </w:rPr>
        <w:t xml:space="preserve"> note 18. For a member with a Thrift Savings Plan balance attributable to post-2017 service, whether § 51.1-142.2 B's second limb bars the purchase is a question </w:t>
      </w:r>
      <w:r>
        <w:rPr>
          <w:b/>
          <w:i w:val="0"/>
          <w:strike w:val="0"/>
        </w:rPr>
        <w:t>VRS administers and has not answered</w:t>
      </w:r>
      <w:r>
        <w:rPr>
          <w:b w:val="0"/>
          <w:i w:val="0"/>
          <w:strike w:val="0"/>
        </w:rPr>
        <w:t xml:space="preserve"> — see §7 below.</w:t>
      </w:r>
    </w:p>
    <w:p>
      <w:pPr>
        <w:spacing w:after="80"/>
        <w:ind w:left="480"/>
      </w:pPr>
      <w:r>
        <w:rPr>
          <w:rFonts w:ascii="Consolas" w:hAnsi="Consolas"/>
          <w:b w:val="0"/>
          <w:i w:val="0"/>
          <w:strike w:val="0"/>
          <w:color w:val="303030"/>
          <w:sz w:val="20"/>
        </w:rPr>
        <w:t>[FOR 04]</w:t>
      </w:r>
      <w:r>
        <w:rPr>
          <w:b w:val="0"/>
          <w:i w:val="0"/>
          <w:strike w:val="0"/>
          <w:sz w:val="20"/>
        </w:rPr>
        <w:t xml:space="preserve"> — add to §4, after the Reserve-component sentence: </w:t>
      </w:r>
      <w:r>
        <w:rPr>
          <w:b w:val="0"/>
          <w:i/>
          <w:strike w:val="0"/>
          <w:sz w:val="20"/>
        </w:rPr>
        <w:t>Say this to the Guard and Reserve organisations directly.</w:t>
      </w:r>
      <w:r>
        <w:rPr>
          <w:b w:val="0"/>
          <w:i w:val="0"/>
          <w:strike w:val="0"/>
          <w:sz w:val="20"/>
        </w:rPr>
        <w:t xml:space="preserve"> (Full text at </w:t>
      </w:r>
      <w:r>
        <w:rPr>
          <w:rFonts w:ascii="Consolas" w:hAnsi="Consolas"/>
          <w:b w:val="0"/>
          <w:i w:val="0"/>
          <w:strike w:val="0"/>
          <w:color w:val="303030"/>
          <w:sz w:val="20"/>
        </w:rPr>
        <w:t>11-stakeholder-review.docx</w:t>
      </w:r>
      <w:r>
        <w:rPr>
          <w:b w:val="0"/>
          <w:i w:val="0"/>
          <w:strike w:val="0"/>
          <w:sz w:val="20"/>
        </w:rPr>
        <w:t xml:space="preserve"> S-10.)</w:t>
      </w:r>
    </w:p>
    <w:p>
      <w:pPr>
        <w:jc w:val="center"/>
      </w:pPr>
      <w:r>
        <w:rPr>
          <w:color w:val="909090"/>
          <w:sz w:val="18"/>
        </w:rPr>
        <w:t>* * *</w:t>
      </w:r>
    </w:p>
    <w:p>
      <w:pPr>
        <w:pStyle w:val="Heading2"/>
      </w:pPr>
      <w:r>
        <w:rPr>
          <w:b w:val="0"/>
          <w:i w:val="0"/>
          <w:strike w:val="0"/>
        </w:rPr>
        <w:t xml:space="preserve">7. The two numbers a committee will ask for that we do not have — </w:t>
      </w:r>
      <w:r>
        <w:rPr>
          <w:b/>
          <w:i w:val="0"/>
          <w:strike w:val="0"/>
        </w:rPr>
        <w:t>S-17 and S-19</w:t>
      </w:r>
    </w:p>
    <w:p>
      <w:pPr>
        <w:pStyle w:val="Heading3"/>
      </w:pPr>
      <w:r>
        <w:rPr>
          <w:b w:val="0"/>
          <w:i w:val="0"/>
          <w:strike w:val="0"/>
        </w:rPr>
        <w:t>"How many veterans does this leave out?" — the unsourced 18%</w:t>
      </w:r>
    </w:p>
    <w:p>
      <w:r>
        <w:rPr>
          <w:b/>
          <w:i w:val="0"/>
          <w:strike w:val="0"/>
        </w:rPr>
        <w:t>The fact.</w:t>
      </w:r>
      <w:r>
        <w:rPr>
          <w:b w:val="0"/>
          <w:i w:val="0"/>
          <w:strike w:val="0"/>
        </w:rPr>
        <w:t xml:space="preserve"> A subcommittee member who hears "career military retirees are generally shut out" asks the obvious next question: how many? The explorer's funnel answers it — "Not barred by the military retired pay rule … 1,585.3" from 1,933.3, an assumed </w:t>
      </w:r>
      <w:r>
        <w:rPr>
          <w:b/>
          <w:i w:val="0"/>
          <w:strike w:val="0"/>
        </w:rPr>
        <w:t>18% excluded</w:t>
      </w:r>
      <w:r>
        <w:rPr>
          <w:b w:val="0"/>
          <w:i w:val="0"/>
          <w:strike w:val="0"/>
        </w:rPr>
        <w:t xml:space="preserve"> — and badges that step </w:t>
      </w:r>
      <w:r>
        <w:rPr>
          <w:b/>
          <w:i w:val="0"/>
          <w:strike w:val="0"/>
        </w:rPr>
        <w:t>○ Scenario Assumption</w:t>
      </w:r>
      <w:r>
        <w:rPr>
          <w:b w:val="0"/>
          <w:i w:val="0"/>
          <w:strike w:val="0"/>
        </w:rPr>
        <w:t xml:space="preserve">, correctly, </w:t>
      </w:r>
      <w:r>
        <w:rPr>
          <w:b/>
          <w:i w:val="0"/>
          <w:strike w:val="0"/>
        </w:rPr>
        <w:t>because there is no source</w:t>
      </w:r>
      <w:r>
        <w:rPr>
          <w:b w:val="0"/>
          <w:i w:val="0"/>
          <w:strike w:val="0"/>
        </w:rPr>
        <w:t>. The Commonwealth does not collect it.</w:t>
      </w:r>
    </w:p>
    <w:p>
      <w:r>
        <w:rPr>
          <w:b/>
          <w:i w:val="0"/>
          <w:strike w:val="0"/>
        </w:rPr>
        <w:t>The direction of likely error is adverse to the beneficiary count.</w:t>
      </w:r>
      <w:r>
        <w:rPr>
          <w:b w:val="0"/>
          <w:i w:val="0"/>
          <w:strike w:val="0"/>
        </w:rPr>
        <w:t xml:space="preserve"> The relevant population is not veterans generally but veterans </w:t>
      </w:r>
      <w:r>
        <w:rPr>
          <w:b w:val="0"/>
          <w:i/>
          <w:strike w:val="0"/>
        </w:rPr>
        <w:t>within four years of a VRS unreduced threshold</w:t>
      </w:r>
      <w:r>
        <w:rPr>
          <w:b w:val="0"/>
          <w:i w:val="0"/>
          <w:strike w:val="0"/>
        </w:rPr>
        <w:t xml:space="preserve"> — mid- to late-career public employees, among whom a twenty-year retiree who separated in their late thirties and took a second career in state or local government is the classic path, not an outlier. If the true share is materially above 18%, the covered group is </w:t>
      </w:r>
      <w:r>
        <w:rPr>
          <w:b/>
          <w:i w:val="0"/>
          <w:strike w:val="0"/>
        </w:rPr>
        <w:t>smaller</w:t>
      </w:r>
      <w:r>
        <w:rPr>
          <w:b w:val="0"/>
          <w:i w:val="0"/>
          <w:strike w:val="0"/>
        </w:rPr>
        <w:t xml:space="preserve"> than modelled and the exclusion story is correspondingly </w:t>
      </w:r>
      <w:r>
        <w:rPr>
          <w:b/>
          <w:i w:val="0"/>
          <w:strike w:val="0"/>
        </w:rPr>
        <w:t>larger</w:t>
      </w:r>
      <w:r>
        <w:rPr>
          <w:b w:val="0"/>
          <w:i w:val="0"/>
          <w:strike w:val="0"/>
        </w:rPr>
        <w:t>.</w:t>
      </w:r>
    </w:p>
    <w:p>
      <w:r>
        <w:rPr>
          <w:b/>
          <w:i w:val="0"/>
          <w:strike w:val="0"/>
        </w:rPr>
        <w:t>The package already knows it does not know.</w:t>
      </w:r>
      <w:r>
        <w:rPr>
          <w:b w:val="0"/>
          <w:i w:val="0"/>
          <w:strike w:val="0"/>
        </w:rPr>
        <w:t xml:space="preserve"> Enactment clause 3(ix) asks the Board to report "the number of members whose qualifying active duty military service is excluded from purchase because it is included in the calculation of a retirement allowance received or to be received from another retirement system." That is the right instrument — but it produces the number </w:t>
      </w:r>
      <w:r>
        <w:rPr>
          <w:b/>
          <w:i w:val="0"/>
          <w:strike w:val="0"/>
        </w:rPr>
        <w:t>after</w:t>
      </w:r>
      <w:r>
        <w:rPr>
          <w:b w:val="0"/>
          <w:i w:val="0"/>
          <w:strike w:val="0"/>
        </w:rPr>
        <w:t xml:space="preserve"> enactment, and the question will be asked </w:t>
      </w:r>
      <w:r>
        <w:rPr>
          <w:b/>
          <w:i w:val="0"/>
          <w:strike w:val="0"/>
        </w:rPr>
        <w:t>before</w:t>
      </w:r>
      <w:r>
        <w:rPr>
          <w:b w:val="0"/>
          <w:i w:val="0"/>
          <w:strike w:val="0"/>
        </w:rPr>
        <w:t>.</w:t>
      </w:r>
    </w:p>
    <w:p>
      <w:r>
        <w:rPr>
          <w:b/>
          <w:i w:val="0"/>
          <w:strike w:val="0"/>
        </w:rPr>
        <w:t>What to say.</w:t>
      </w:r>
    </w:p>
    <w:p>
      <w:pPr>
        <w:spacing w:after="80"/>
        <w:ind w:left="480"/>
      </w:pPr>
      <w:r>
        <w:rPr>
          <w:b w:val="0"/>
          <w:i w:val="0"/>
          <w:strike w:val="0"/>
          <w:sz w:val="20"/>
        </w:rPr>
        <w:t xml:space="preserve">We do not know, and I will not give you a number dressed up as a count. The model assumes that 18% of otherwise-eligible veteran members are barred because their military service is already counted toward retired pay. </w:t>
      </w:r>
      <w:r>
        <w:rPr>
          <w:b/>
          <w:i w:val="0"/>
          <w:strike w:val="0"/>
          <w:sz w:val="20"/>
        </w:rPr>
        <w:t>That 18% is an assumption with no published source</w:t>
      </w:r>
      <w:r>
        <w:rPr>
          <w:b w:val="0"/>
          <w:i w:val="0"/>
          <w:strike w:val="0"/>
          <w:sz w:val="20"/>
        </w:rPr>
        <w:t xml:space="preserve"> — the Commonwealth does not collect it, and the explorer labels it as an assumption wherever it appears. Enactment clause 3(ix) of the bill requires the Board to count it. Virginia is among the leading states for military retirees, so the true share may well be higher than we have assumed, which would make the covered group smaller than modelled and the cost </w:t>
      </w:r>
      <w:r>
        <w:rPr>
          <w:b/>
          <w:i w:val="0"/>
          <w:strike w:val="0"/>
          <w:sz w:val="20"/>
        </w:rPr>
        <w:t>lower</w:t>
      </w:r>
      <w:r>
        <w:rPr>
          <w:b w:val="0"/>
          <w:i w:val="0"/>
          <w:strike w:val="0"/>
          <w:sz w:val="20"/>
        </w:rPr>
        <w:t>, not higher.</w:t>
      </w:r>
    </w:p>
    <w:p>
      <w:pPr>
        <w:spacing w:after="80"/>
        <w:ind w:left="480"/>
      </w:pPr>
      <w:r>
        <w:rPr>
          <w:rFonts w:ascii="Consolas" w:hAnsi="Consolas"/>
          <w:b w:val="0"/>
          <w:i w:val="0"/>
          <w:strike w:val="0"/>
          <w:color w:val="303030"/>
          <w:sz w:val="20"/>
        </w:rPr>
        <w:t>[FOR 04]</w:t>
      </w:r>
      <w:r>
        <w:rPr>
          <w:b w:val="0"/>
          <w:i w:val="0"/>
          <w:strike w:val="0"/>
          <w:sz w:val="20"/>
        </w:rPr>
        <w:t xml:space="preserve"> — add: </w:t>
      </w:r>
      <w:r>
        <w:rPr>
          <w:b w:val="0"/>
          <w:i/>
          <w:strike w:val="0"/>
          <w:sz w:val="20"/>
        </w:rPr>
        <w:t>If asked how many veterans this bill leaves out, say that we do not know.</w:t>
      </w:r>
      <w:r>
        <w:rPr>
          <w:b w:val="0"/>
          <w:i w:val="0"/>
          <w:strike w:val="0"/>
          <w:sz w:val="20"/>
        </w:rPr>
        <w:t xml:space="preserve"> (Full text at </w:t>
      </w:r>
      <w:r>
        <w:rPr>
          <w:rFonts w:ascii="Consolas" w:hAnsi="Consolas"/>
          <w:b w:val="0"/>
          <w:i w:val="0"/>
          <w:strike w:val="0"/>
          <w:color w:val="303030"/>
          <w:sz w:val="20"/>
        </w:rPr>
        <w:t>11-stakeholder-review.docx</w:t>
      </w:r>
      <w:r>
        <w:rPr>
          <w:b w:val="0"/>
          <w:i w:val="0"/>
          <w:strike w:val="0"/>
          <w:sz w:val="20"/>
        </w:rPr>
        <w:t xml:space="preserve"> S-17.)</w:t>
      </w:r>
    </w:p>
    <w:p>
      <w:pPr>
        <w:pStyle w:val="Heading3"/>
      </w:pPr>
      <w:r>
        <w:rPr>
          <w:b w:val="0"/>
          <w:i w:val="0"/>
          <w:strike w:val="0"/>
        </w:rPr>
        <w:t xml:space="preserve">The Blended Retirement System — </w:t>
      </w:r>
      <w:r>
        <w:rPr>
          <w:b/>
          <w:i w:val="0"/>
          <w:strike w:val="0"/>
        </w:rPr>
        <w:t>S-19</w:t>
      </w:r>
    </w:p>
    <w:p>
      <w:r>
        <w:rPr>
          <w:b/>
          <w:i w:val="0"/>
          <w:strike w:val="0"/>
        </w:rPr>
        <w:t>The fact.</w:t>
      </w:r>
      <w:r>
        <w:rPr>
          <w:b w:val="0"/>
          <w:i w:val="0"/>
          <w:strike w:val="0"/>
        </w:rPr>
        <w:t xml:space="preserve"> Subdivision H 5 inherits the whole of § 51.1-142.2 B's bar, including its second limb: no purchase "if there is a balance in a </w:t>
      </w:r>
      <w:r>
        <w:rPr>
          <w:b/>
          <w:i w:val="0"/>
          <w:strike w:val="0"/>
        </w:rPr>
        <w:t>defined contribution account that serves as a primary retirement account related to such service</w:t>
      </w:r>
      <w:r>
        <w:rPr>
          <w:b w:val="0"/>
          <w:i w:val="0"/>
          <w:strike w:val="0"/>
        </w:rPr>
        <w:t xml:space="preserve">." Under the federal </w:t>
      </w:r>
      <w:r>
        <w:rPr>
          <w:b/>
          <w:i w:val="0"/>
          <w:strike w:val="0"/>
        </w:rPr>
        <w:t>Blended Retirement System</w:t>
      </w:r>
      <w:r>
        <w:rPr>
          <w:b w:val="0"/>
          <w:i w:val="0"/>
          <w:strike w:val="0"/>
        </w:rPr>
        <w:t xml:space="preserve">, covering entrants from January 1, 2018 plus 2018 opt-ins, the </w:t>
      </w:r>
      <w:r>
        <w:rPr>
          <w:b/>
          <w:i w:val="0"/>
          <w:strike w:val="0"/>
        </w:rPr>
        <w:t>Thrift Savings Plan</w:t>
      </w:r>
      <w:r>
        <w:rPr>
          <w:b w:val="0"/>
          <w:i w:val="0"/>
          <w:strike w:val="0"/>
        </w:rPr>
        <w:t xml:space="preserve"> carries automatic and matching government contributions as a designed component of the retirement benefit. Whether a BRS TSP balance is a "primary retirement account" is at least arguable, and </w:t>
      </w:r>
      <w:r>
        <w:rPr>
          <w:b/>
          <w:i w:val="0"/>
          <w:strike w:val="0"/>
        </w:rPr>
        <w:t>no document in this package used the words Blended Retirement System, BRS or Thrift Savings Plan</w:t>
      </w:r>
      <w:r>
        <w:rPr>
          <w:b w:val="0"/>
          <w:i w:val="0"/>
          <w:strike w:val="0"/>
        </w:rPr>
        <w:t xml:space="preserve"> before version 1.4.</w:t>
      </w:r>
    </w:p>
    <w:p>
      <w:r>
        <w:rPr>
          <w:b/>
          <w:i w:val="0"/>
          <w:strike w:val="0"/>
        </w:rPr>
        <w:t>How narrow it is, and why it is not empty.</w:t>
      </w:r>
      <w:r>
        <w:rPr>
          <w:b w:val="0"/>
          <w:i w:val="0"/>
          <w:strike w:val="0"/>
        </w:rPr>
        <w:t xml:space="preserve"> The eligibility gates mean this bill reaches only members whose first VRS membership predates January 1, 2014, who mostly served before 2018. The live case is a </w:t>
      </w:r>
      <w:r>
        <w:rPr>
          <w:b/>
          <w:i w:val="0"/>
          <w:strike w:val="0"/>
        </w:rPr>
        <w:t>pre-2014 VRS member who left for active duty after 2017 and returned</w:t>
      </w:r>
      <w:r>
        <w:rPr>
          <w:b w:val="0"/>
          <w:i w:val="0"/>
          <w:strike w:val="0"/>
        </w:rPr>
        <w:t>.</w:t>
      </w:r>
    </w:p>
    <w:p>
      <w:r>
        <w:rPr>
          <w:b/>
          <w:i w:val="0"/>
          <w:strike w:val="0"/>
        </w:rPr>
        <w:t>It is a legal characterisation question and the package does not answer it.</w:t>
      </w:r>
      <w:r>
        <w:rPr>
          <w:b w:val="0"/>
          <w:i w:val="0"/>
          <w:strike w:val="0"/>
        </w:rPr>
        <w:t xml:space="preserve"> It is routed to VRS as a confirmation item at </w:t>
      </w:r>
      <w:r>
        <w:rPr>
          <w:rFonts w:ascii="Consolas" w:hAnsi="Consolas"/>
          <w:b w:val="0"/>
          <w:i w:val="0"/>
          <w:strike w:val="0"/>
          <w:color w:val="303030"/>
          <w:sz w:val="19"/>
        </w:rPr>
        <w:t>01-bill-draft.docx</w:t>
      </w:r>
      <w:r>
        <w:rPr>
          <w:b w:val="0"/>
          <w:i w:val="0"/>
          <w:strike w:val="0"/>
        </w:rPr>
        <w:t xml:space="preserve"> </w:t>
      </w:r>
      <w:r>
        <w:rPr>
          <w:b/>
          <w:i w:val="0"/>
          <w:strike w:val="0"/>
        </w:rPr>
        <w:t>note 18</w:t>
      </w:r>
      <w:r>
        <w:rPr>
          <w:b w:val="0"/>
          <w:i w:val="0"/>
          <w:strike w:val="0"/>
        </w:rPr>
        <w:t xml:space="preserve">, with the question stated in the form VRS can answer. It also bears on assumption </w:t>
      </w:r>
      <w:r>
        <w:rPr>
          <w:b/>
          <w:i w:val="0"/>
          <w:strike w:val="0"/>
        </w:rPr>
        <w:t>ASM-17</w:t>
      </w:r>
      <w:r>
        <w:rPr>
          <w:b w:val="0"/>
          <w:i w:val="0"/>
          <w:strike w:val="0"/>
        </w:rPr>
        <w:t xml:space="preserve"> in the fiscal model.</w:t>
      </w:r>
    </w:p>
    <w:p>
      <w:r>
        <w:rPr>
          <w:b/>
          <w:i w:val="0"/>
          <w:strike w:val="0"/>
        </w:rPr>
        <w:t>What to say.</w:t>
      </w:r>
    </w:p>
    <w:p>
      <w:pPr>
        <w:spacing w:after="80"/>
        <w:ind w:left="480"/>
      </w:pPr>
      <w:r>
        <w:rPr>
          <w:b w:val="0"/>
          <w:i w:val="0"/>
          <w:strike w:val="0"/>
          <w:sz w:val="20"/>
        </w:rPr>
        <w:t xml:space="preserve">There is a group we cannot yet advise: a member who left for active duty after 2017, came back, and has a Thrift Savings Plan balance from that service under the Blended Retirement System. Whether that balance triggers the existing bar on purchasing service tied to another retirement account is a question </w:t>
      </w:r>
      <w:r>
        <w:rPr>
          <w:b/>
          <w:i w:val="0"/>
          <w:strike w:val="0"/>
          <w:sz w:val="20"/>
        </w:rPr>
        <w:t>VRS administers and the Code does not answer</w:t>
      </w:r>
      <w:r>
        <w:rPr>
          <w:b w:val="0"/>
          <w:i w:val="0"/>
          <w:strike w:val="0"/>
          <w:sz w:val="20"/>
        </w:rPr>
        <w:t>. We have put it to VRS in writing. Until it comes back, the § 51.1-142.4 I 2 written pre-purchase statement is the document that would have to tell such a member where she stands, and it cannot yet.</w:t>
      </w:r>
    </w:p>
    <w:p>
      <w:pPr>
        <w:jc w:val="center"/>
      </w:pPr>
      <w:r>
        <w:rPr>
          <w:color w:val="909090"/>
          <w:sz w:val="18"/>
        </w:rPr>
        <w:t>* * *</w:t>
      </w:r>
    </w:p>
    <w:p>
      <w:pPr>
        <w:pStyle w:val="Heading2"/>
      </w:pPr>
      <w:r>
        <w:rPr>
          <w:b w:val="0"/>
          <w:i w:val="0"/>
          <w:strike w:val="0"/>
        </w:rPr>
        <w:t xml:space="preserve">8. One correction to a premise the package has been carrying — </w:t>
      </w:r>
      <w:r>
        <w:rPr>
          <w:b/>
          <w:i w:val="0"/>
          <w:strike w:val="0"/>
        </w:rPr>
        <w:t>S-18</w:t>
      </w:r>
    </w:p>
    <w:p>
      <w:r>
        <w:rPr>
          <w:b/>
          <w:i w:val="0"/>
          <w:strike w:val="0"/>
        </w:rPr>
        <w:t>The § 30-19.1:7 statement is not a gate on introduction.</w:t>
      </w:r>
      <w:r>
        <w:rPr>
          <w:b w:val="0"/>
          <w:i w:val="0"/>
          <w:strike w:val="0"/>
        </w:rPr>
        <w:t xml:space="preserve"> The section reads, in the operative part: the Board "shall investigate, prepare, and submit to the Clerk of the House of Delegates, the Clerk of the Senate, the Commission on Local Government, the House Committee on Appropriations, and the Senate Committee on Finance and Appropriations, a statement of (i) the financial impact of the proposed bill … and (ii) the policy implications." The duty runs to the </w:t>
      </w:r>
      <w:r>
        <w:rPr>
          <w:b/>
          <w:i w:val="0"/>
          <w:strike w:val="0"/>
        </w:rPr>
        <w:t>Board</w:t>
      </w:r>
      <w:r>
        <w:rPr>
          <w:b w:val="0"/>
          <w:i w:val="0"/>
          <w:strike w:val="0"/>
        </w:rPr>
        <w:t xml:space="preserve">, on the schedule set by the session's own procedural resolution. </w:t>
      </w:r>
      <w:r>
        <w:rPr>
          <w:b/>
          <w:i w:val="0"/>
          <w:strike w:val="0"/>
        </w:rPr>
        <w:t>The section contains no sentence barring a committee from considering or reporting a bill that lacks the statement, and no precondition to introduction.</w:t>
      </w:r>
    </w:p>
    <w:p>
      <w:r>
        <w:rPr>
          <w:b/>
          <w:i w:val="0"/>
          <w:strike w:val="0"/>
        </w:rPr>
        <w:t>No conflict with the explorer review.</w:t>
      </w:r>
      <w:r>
        <w:rPr>
          <w:b w:val="0"/>
          <w:i w:val="0"/>
          <w:strike w:val="0"/>
        </w:rPr>
        <w:t xml:space="preserve"> MOO-265 independently verified § 30-19.1:7 and concluded "the statement is genuinely mandatory for this bill." That is correct and is the same reading: the Board's </w:t>
      </w:r>
      <w:r>
        <w:rPr>
          <w:b/>
          <w:i w:val="0"/>
          <w:strike w:val="0"/>
        </w:rPr>
        <w:t>duty to prepare and submit</w:t>
      </w:r>
      <w:r>
        <w:rPr>
          <w:b w:val="0"/>
          <w:i w:val="0"/>
          <w:strike w:val="0"/>
        </w:rPr>
        <w:t xml:space="preserve"> is mandatory. The narrower point is that the obligation binds the Board, not the patron.</w:t>
      </w:r>
    </w:p>
    <w:p>
      <w:r>
        <w:rPr>
          <w:b/>
          <w:i w:val="0"/>
          <w:strike w:val="0"/>
        </w:rPr>
        <w:t>What survives, and it is the important half.</w:t>
      </w:r>
      <w:r>
        <w:rPr>
          <w:b w:val="0"/>
          <w:i w:val="0"/>
          <w:strike w:val="0"/>
        </w:rPr>
        <w:t xml:space="preserve"> The subsidy framing is still the right play, and the reason it is right is </w:t>
      </w:r>
      <w:r>
        <w:rPr>
          <w:b/>
          <w:i w:val="0"/>
          <w:strike w:val="0"/>
        </w:rPr>
        <w:t>certainty, not procedural compulsion</w:t>
      </w:r>
      <w:r>
        <w:rPr>
          <w:b w:val="0"/>
          <w:i w:val="0"/>
          <w:strike w:val="0"/>
        </w:rPr>
        <w:t>: the Board will produce a statement on this bill, the statement will quantify a subsidy, and a neutrality claim contradicted by it is unrecoverable in the venue that decides the bill. MOO-261 §2 establishes the Board's consistent language — "Enhancing member benefits without an immediate cash infusion to offset the increase in liability is not an actuarially sound method of funding benefit plans."</w:t>
      </w:r>
    </w:p>
    <w:p>
      <w:r>
        <w:rPr>
          <w:b/>
          <w:i w:val="0"/>
          <w:strike w:val="0"/>
        </w:rPr>
        <w:t>What to say.</w:t>
      </w:r>
    </w:p>
    <w:p>
      <w:pPr>
        <w:spacing w:after="80"/>
        <w:ind w:left="480"/>
      </w:pPr>
      <w:r>
        <w:rPr>
          <w:b w:val="0"/>
          <w:i w:val="0"/>
          <w:strike w:val="0"/>
          <w:sz w:val="20"/>
        </w:rPr>
        <w:t xml:space="preserve">Carry both halves. The Board will prepare a § 30-19.1:7 statement on this bill on the session's own schedule, and it will quantify the subsidy. "No cost" is therefore not survivable — </w:t>
      </w:r>
      <w:r>
        <w:rPr>
          <w:b/>
          <w:i w:val="0"/>
          <w:strike w:val="0"/>
          <w:sz w:val="20"/>
        </w:rPr>
        <w:t>not because the statement gates the bill</w:t>
      </w:r>
      <w:r>
        <w:rPr>
          <w:b w:val="0"/>
          <w:i w:val="0"/>
          <w:strike w:val="0"/>
          <w:sz w:val="20"/>
        </w:rPr>
        <w:t>, but because it will arrive during session and the patron will be asked to reconcile it. Have the model, the 0.19 bp denominator and the subsidy figure in hand before it lands.</w:t>
      </w:r>
    </w:p>
    <w:p>
      <w:pPr>
        <w:spacing w:after="80"/>
        <w:ind w:left="480"/>
      </w:pPr>
      <w:r>
        <w:rPr>
          <w:rFonts w:ascii="Consolas" w:hAnsi="Consolas"/>
          <w:b w:val="0"/>
          <w:i w:val="0"/>
          <w:strike w:val="0"/>
          <w:color w:val="303030"/>
          <w:sz w:val="20"/>
        </w:rPr>
        <w:t>[FOR 03]</w:t>
      </w:r>
      <w:r>
        <w:rPr>
          <w:b w:val="0"/>
          <w:i w:val="0"/>
          <w:strike w:val="0"/>
          <w:sz w:val="20"/>
        </w:rPr>
        <w:t xml:space="preserve"> — replace </w:t>
      </w:r>
      <w:r>
        <w:rPr>
          <w:b w:val="0"/>
          <w:i/>
          <w:strike w:val="0"/>
          <w:sz w:val="20"/>
        </w:rPr>
        <w:t>"Carry both halves: 'no cost' will be contradicted by the Board's § 30-19.1:7 statement"</w:t>
      </w:r>
      <w:r>
        <w:rPr>
          <w:b w:val="0"/>
          <w:i w:val="0"/>
          <w:strike w:val="0"/>
          <w:sz w:val="20"/>
        </w:rPr>
        <w:t xml:space="preserve"> with the paragraph above. This one is a near-equal-length swap and can be made within the one-page budget.</w:t>
      </w:r>
    </w:p>
    <w:p>
      <w:pPr>
        <w:jc w:val="center"/>
      </w:pPr>
      <w:r>
        <w:rPr>
          <w:color w:val="909090"/>
          <w:sz w:val="18"/>
        </w:rPr>
        <w:t>* * *</w:t>
      </w:r>
    </w:p>
    <w:p>
      <w:pPr>
        <w:pStyle w:val="Heading2"/>
      </w:pPr>
      <w:r>
        <w:rPr>
          <w:b w:val="0"/>
          <w:i w:val="0"/>
          <w:strike w:val="0"/>
        </w:rPr>
        <w:t>9. Summary — the seven things to say, in order</w:t>
      </w:r>
    </w:p>
    <w:p>
      <w:pPr>
        <w:pStyle w:val="ListNumber"/>
      </w:pPr>
      <w:r>
        <w:rPr>
          <w:b/>
          <w:i w:val="0"/>
          <w:strike w:val="0"/>
        </w:rPr>
        <w:t>Open with the exclusion.</w:t>
      </w:r>
      <w:r>
        <w:rPr>
          <w:b w:val="0"/>
          <w:i w:val="0"/>
          <w:strike w:val="0"/>
        </w:rPr>
        <w:t xml:space="preserve"> The Council's own leaders are career retirees this bill cannot help, and that is a real ask. </w:t>
      </w:r>
      <w:r>
        <w:rPr>
          <w:b w:val="0"/>
          <w:i/>
          <w:strike w:val="0"/>
        </w:rPr>
        <w:t>(S-04)</w:t>
      </w:r>
    </w:p>
    <w:p>
      <w:pPr>
        <w:pStyle w:val="ListNumber"/>
      </w:pPr>
      <w:r>
        <w:rPr>
          <w:b/>
          <w:i w:val="0"/>
          <w:strike w:val="0"/>
        </w:rPr>
        <w:t>Concede the strategic-plan test.</w:t>
      </w:r>
      <w:r>
        <w:rPr>
          <w:b w:val="0"/>
          <w:i w:val="0"/>
          <w:strike w:val="0"/>
        </w:rPr>
        <w:t xml:space="preserve"> This is not a transitioning-service-member item. It is a correction to a pricing cliff in a right the Commonwealth already granted. </w:t>
      </w:r>
      <w:r>
        <w:rPr>
          <w:b w:val="0"/>
          <w:i/>
          <w:strike w:val="0"/>
        </w:rPr>
        <w:t>(S-05)</w:t>
      </w:r>
    </w:p>
    <w:p>
      <w:pPr>
        <w:pStyle w:val="ListNumber"/>
      </w:pPr>
      <w:r>
        <w:rPr>
          <w:b/>
          <w:i w:val="0"/>
          <w:strike w:val="0"/>
        </w:rPr>
        <w:t>Raise § 2.2-2682 C yourself.</w:t>
      </w:r>
      <w:r>
        <w:rPr>
          <w:b w:val="0"/>
          <w:i w:val="0"/>
          <w:strike w:val="0"/>
        </w:rPr>
        <w:t xml:space="preserve"> One-time build; the Board must report the number by December 1, 2028; the Council can condition sponsorship on it; the Chairman's-letter route is the fallback. </w:t>
      </w:r>
      <w:r>
        <w:rPr>
          <w:b w:val="0"/>
          <w:i/>
          <w:strike w:val="0"/>
        </w:rPr>
        <w:t>(S-06)</w:t>
      </w:r>
    </w:p>
    <w:p>
      <w:pPr>
        <w:pStyle w:val="ListNumber"/>
      </w:pPr>
      <w:r>
        <w:rPr>
          <w:b/>
          <w:i w:val="0"/>
          <w:strike w:val="0"/>
        </w:rPr>
        <w:t>Name the venue and the patron logic.</w:t>
      </w:r>
      <w:r>
        <w:rPr>
          <w:b w:val="0"/>
          <w:i w:val="0"/>
          <w:strike w:val="0"/>
        </w:rPr>
        <w:t xml:space="preserve"> Seven members of the House Appropriations Compensation and Retirement Subcommittee decide this. Prefer a patron who sits on it. </w:t>
      </w:r>
      <w:r>
        <w:rPr>
          <w:b w:val="0"/>
          <w:i/>
          <w:strike w:val="0"/>
        </w:rPr>
        <w:t>(S-07, S-08)</w:t>
      </w:r>
    </w:p>
    <w:p>
      <w:pPr>
        <w:pStyle w:val="ListNumber"/>
      </w:pPr>
      <w:r>
        <w:rPr>
          <w:b/>
          <w:i w:val="0"/>
          <w:strike w:val="0"/>
        </w:rPr>
        <w:t>Give the post-2014 answer.</w:t>
      </w:r>
      <w:r>
        <w:rPr>
          <w:b w:val="0"/>
          <w:i w:val="0"/>
          <w:strike w:val="0"/>
        </w:rPr>
        <w:t xml:space="preserve"> Structural, not a judgment on service; a hybrid equivalent is separate work that has not been done. </w:t>
      </w:r>
      <w:r>
        <w:rPr>
          <w:b w:val="0"/>
          <w:i/>
          <w:strike w:val="0"/>
        </w:rPr>
        <w:t>(S-09)</w:t>
      </w:r>
    </w:p>
    <w:p>
      <w:pPr>
        <w:pStyle w:val="ListNumber"/>
      </w:pPr>
      <w:r>
        <w:rPr>
          <w:b/>
          <w:i w:val="0"/>
          <w:strike w:val="0"/>
        </w:rPr>
        <w:t>Tell the Guard and Reserve organisations the § 12736 position in full</w:t>
      </w:r>
      <w:r>
        <w:rPr>
          <w:b w:val="0"/>
          <w:i w:val="0"/>
          <w:strike w:val="0"/>
        </w:rPr>
        <w:t xml:space="preserve">, including that it is this team's reading and not counsel's, and that counsel should answer before the vote. </w:t>
      </w:r>
      <w:r>
        <w:rPr>
          <w:b w:val="0"/>
          <w:i/>
          <w:strike w:val="0"/>
        </w:rPr>
        <w:t>(S-10)</w:t>
      </w:r>
    </w:p>
    <w:p>
      <w:pPr>
        <w:pStyle w:val="ListNumber"/>
      </w:pPr>
      <w:r>
        <w:rPr>
          <w:b/>
          <w:i w:val="0"/>
          <w:strike w:val="0"/>
        </w:rPr>
        <w:t>Refuse to invent the two numbers we do not have</w:t>
      </w:r>
      <w:r>
        <w:rPr>
          <w:b w:val="0"/>
          <w:i w:val="0"/>
          <w:strike w:val="0"/>
        </w:rPr>
        <w:t xml:space="preserve"> — the 18% retired-pay exclusion share and the BRS/TSP characterisation. Both are open, both are routed, and both are in the bill's reporting clause or in writing to VRS. </w:t>
      </w:r>
      <w:r>
        <w:rPr>
          <w:b w:val="0"/>
          <w:i/>
          <w:strike w:val="0"/>
        </w:rPr>
        <w:t>(S-17, S-19)</w:t>
      </w:r>
    </w:p>
    <w:p>
      <w:r>
        <w:rPr>
          <w:b/>
          <w:i w:val="0"/>
          <w:strike w:val="0"/>
        </w:rPr>
        <w:t>And the one thing not to do:</w:t>
      </w:r>
      <w:r>
        <w:rPr>
          <w:b w:val="0"/>
          <w:i w:val="0"/>
          <w:strike w:val="0"/>
        </w:rPr>
        <w:t xml:space="preserve"> do not present the aggregate cost as "0.19 basis points, and across every sensitivity 0.05 to 0.44." That sentence is now qualified. The sensitivity design is one-at-a-time, and a compound adverse case reaches </w:t>
      </w:r>
      <w:r>
        <w:rPr>
          <w:b/>
          <w:i w:val="0"/>
          <w:strike w:val="0"/>
        </w:rPr>
        <w:t>1.16 bp aggregate and 1.38 bp on the state plan</w:t>
      </w:r>
      <w:r>
        <w:rPr>
          <w:b w:val="0"/>
          <w:i w:val="0"/>
          <w:strike w:val="0"/>
        </w:rPr>
        <w:t xml:space="preserve"> — see </w:t>
      </w:r>
      <w:r>
        <w:rPr>
          <w:rFonts w:ascii="Consolas" w:hAnsi="Consolas"/>
          <w:b w:val="0"/>
          <w:i w:val="0"/>
          <w:strike w:val="0"/>
          <w:color w:val="303030"/>
          <w:sz w:val="19"/>
        </w:rPr>
        <w:t>08-fiscal-model-memo.docx</w:t>
      </w:r>
      <w:r>
        <w:rPr>
          <w:b w:val="0"/>
          <w:i w:val="0"/>
          <w:strike w:val="0"/>
        </w:rPr>
        <w:t xml:space="preserve"> §7.3. Give the central case and the compound tail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