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Package version 1.5 — Review Closeout, October 20, 2026</w:t>
      </w:r>
      <w:r>
        <w:rPr>
          <w:b w:val="0"/>
          <w:i w:val="0"/>
          <w:strike w:val="0"/>
        </w:rPr>
        <w:t xml:space="preserve"> · operative bill text at </w:t>
      </w:r>
      <w:r>
        <w:rPr>
          <w:b/>
          <w:i w:val="0"/>
          <w:strike w:val="0"/>
        </w:rPr>
        <w:t>version 1.4</w:t>
      </w:r>
    </w:p>
    <w:p>
      <w:r>
        <w:rPr>
          <w:b/>
          <w:i w:val="0"/>
          <w:strike w:val="0"/>
        </w:rPr>
        <w:t>Prepared by Policy Development Team using legal, policy, and financial analysis tools, pending review by veterans' legal counsel.</w:t>
      </w:r>
    </w:p>
    <w:p>
      <w:pPr>
        <w:spacing w:after="80"/>
        <w:ind w:left="480"/>
      </w:pPr>
      <w:r>
        <w:rPr>
          <w:b/>
          <w:i w:val="0"/>
          <w:strike w:val="0"/>
          <w:sz w:val="20"/>
        </w:rPr>
        <w:t>Read this first.</w:t>
      </w:r>
      <w:r>
        <w:rPr>
          <w:b w:val="0"/>
          <w:i w:val="0"/>
          <w:strike w:val="0"/>
          <w:sz w:val="20"/>
        </w:rPr>
        <w:t xml:space="preserve"> </w:t>
      </w:r>
      <w:r>
        <w:rPr>
          <w:b/>
          <w:i w:val="0"/>
          <w:strike w:val="0"/>
          <w:sz w:val="20"/>
        </w:rPr>
        <w:t>All principal policy questions are settled.</w:t>
      </w:r>
      <w:r>
        <w:rPr>
          <w:b w:val="0"/>
          <w:i w:val="0"/>
          <w:strike w:val="0"/>
          <w:sz w:val="20"/>
        </w:rPr>
        <w:t xml:space="preserve"> Four decisions were resolved on October 19, 2026 and the three blockers from internal adversarial review were resolved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 both follow the retirement date, so preventing earlier commencement would require separate statutory changes outside the bridge; and </w:t>
      </w:r>
      <w:r>
        <w:rPr>
          <w:b/>
          <w:i w:val="0"/>
          <w:strike w:val="0"/>
          <w:sz w:val="20"/>
        </w:rPr>
        <w:t>exclude qualifying § 51.1-153 B 4 public-safety employees who first entered the VRS-administered retirement system on or after the January 1, 2014 Hybrid transition</w:t>
      </w:r>
      <w:r>
        <w:rPr>
          <w:b w:val="0"/>
          <w:i w:val="0"/>
          <w:strike w:val="0"/>
          <w:sz w:val="20"/>
        </w:rPr>
        <w:t xml:space="preserve"> — narrower than the policy-development team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Independent review has now been completed, and it changed the bill.</w:t>
      </w:r>
      <w:r>
        <w:rPr>
          <w:b w:val="0"/>
          <w:i w:val="0"/>
          <w:strike w:val="0"/>
          <w:sz w:val="20"/>
        </w:rPr>
        <w:t xml:space="preserve"> Three reviewers who did not draft this package reviewed the bill text (MOO-264), the Scenario Explorer (MOO-265) and the political case (MOO-266) on October 20, 2026, producing </w:t>
      </w:r>
      <w:r>
        <w:rPr>
          <w:b/>
          <w:i w:val="0"/>
          <w:strike w:val="0"/>
          <w:sz w:val="20"/>
        </w:rPr>
        <w:t>79 findings and 9 blockers</w:t>
      </w:r>
      <w:r>
        <w:rPr>
          <w:b w:val="0"/>
          <w:i w:val="0"/>
          <w:strike w:val="0"/>
          <w:sz w:val="20"/>
        </w:rPr>
        <w:t xml:space="preserve">. Version 1.3 of the operative text fixes the three bill blockers — all three of which were in the version 1.2 additions. See the </w:t>
      </w:r>
      <w:r>
        <w:rPr>
          <w:b/>
          <w:i w:val="0"/>
          <w:strike w:val="0"/>
          <w:sz w:val="20"/>
        </w:rPr>
        <w:t>version 1.4 change log</w:t>
      </w:r>
      <w:r>
        <w:rPr>
          <w:b w:val="0"/>
          <w:i w:val="0"/>
          <w:strike w:val="0"/>
          <w:sz w:val="20"/>
        </w:rPr>
        <w:t xml:space="preserve"> below. Two statements the package had been making to money committees are </w:t>
      </w:r>
      <w:r>
        <w:rPr>
          <w:b/>
          <w:i w:val="0"/>
          <w:strike w:val="0"/>
          <w:sz w:val="20"/>
        </w:rPr>
        <w:t>withdrawn</w:t>
      </w:r>
      <w:r>
        <w:rPr>
          <w:b w:val="0"/>
          <w:i w:val="0"/>
          <w:strike w:val="0"/>
          <w:sz w:val="20"/>
        </w:rPr>
        <w:t xml:space="preserve">: that the beneficiary class is "closed and shrinking," and the quotation of 10 U.S.C. § 12736. </w:t>
      </w:r>
      <w:r>
        <w:rPr>
          <w:b/>
          <w:i w:val="0"/>
          <w:strike w:val="0"/>
          <w:sz w:val="20"/>
        </w:rPr>
        <w:t>Explorer defect remediation is still in progress (MOO-267); the four explorer blockers are not yet fixed.</w:t>
      </w:r>
    </w:p>
    <w:p>
      <w:pPr>
        <w:spacing w:after="80"/>
        <w:ind w:left="480"/>
      </w:pPr>
      <w:r>
        <w:rPr>
          <w:b/>
          <w:i w:val="0"/>
          <w:strike w:val="0"/>
          <w:sz w:val="20"/>
        </w:rPr>
        <w:t>One narrow policy question remains unresolved, and it is narrower than it was:</w:t>
      </w:r>
      <w:r>
        <w:rPr>
          <w:b w:val="0"/>
          <w:i w:val="0"/>
          <w:strike w:val="0"/>
          <w:sz w:val="20"/>
        </w:rPr>
        <w:t xml:space="preserve"> whether a member on an </w:t>
      </w:r>
      <w:r>
        <w:rPr>
          <w:b/>
          <w:i w:val="0"/>
          <w:strike w:val="0"/>
          <w:sz w:val="20"/>
        </w:rPr>
        <w:t>approved leave of absence without pay</w:t>
      </w:r>
      <w:r>
        <w:rPr>
          <w:b w:val="0"/>
          <w:i w:val="0"/>
          <w:strike w:val="0"/>
          <w:sz w:val="20"/>
        </w:rPr>
        <w:t xml:space="preserve"> counts as remaining in service under subdivision E 3. The bill currently says yes — deliberately, because version 1.3's continuity requirement would otherwise have created a new trap — and reversing it is a one-clause change. The </w:t>
      </w:r>
      <w:r>
        <w:rPr>
          <w:b/>
          <w:i w:val="0"/>
          <w:strike w:val="0"/>
          <w:sz w:val="20"/>
        </w:rPr>
        <w:t>long-term-disability half is withdrawn as a policy question</w:t>
      </w:r>
      <w:r>
        <w:rPr>
          <w:b w:val="0"/>
          <w:i w:val="0"/>
          <w:strike w:val="0"/>
          <w:sz w:val="20"/>
        </w:rPr>
        <w:t>: §§ 51.1-1110 H, 51.1-1117 C and 51.1-1117 A appear to answer it already, so it is now a one-line VRS confirmation item. See drafting note 10 of the bill.</w:t>
      </w:r>
    </w:p>
    <w:p>
      <w:pPr>
        <w:spacing w:after="80"/>
        <w:ind w:left="480"/>
      </w:pPr>
      <w:r>
        <w:rPr>
          <w:b/>
          <w:i w:val="0"/>
          <w:strike w:val="0"/>
          <w:sz w:val="20"/>
        </w:rPr>
        <w:t>The bill is not cost neutral</w:t>
      </w:r>
      <w:r>
        <w:rPr>
          <w:b w:val="0"/>
          <w:i w:val="0"/>
          <w:strike w:val="0"/>
          <w:sz w:val="20"/>
        </w:rPr>
        <w:t xml:space="preserve">, and the package says so deliberately. </w:t>
      </w:r>
      <w:r>
        <w:rPr>
          <w:b/>
          <w:i w:val="0"/>
          <w:strike w:val="0"/>
          <w:sz w:val="20"/>
        </w:rPr>
        <w:t>$341,065</w:t>
      </w:r>
      <w:r>
        <w:rPr>
          <w:b w:val="0"/>
          <w:i w:val="0"/>
          <w:strike w:val="0"/>
          <w:sz w:val="20"/>
        </w:rPr>
        <w:t xml:space="preserve"> is the </w:t>
      </w:r>
      <w:r>
        <w:rPr>
          <w:b/>
          <w:i w:val="0"/>
          <w:strike w:val="0"/>
          <w:sz w:val="20"/>
        </w:rPr>
        <w:t>modeled net value above the member purchase price in the single most favorable published profile</w:t>
      </w:r>
      <w:r>
        <w:rPr>
          <w:b w:val="0"/>
          <w:i w:val="0"/>
          <w:strike w:val="0"/>
          <w:sz w:val="20"/>
        </w:rPr>
        <w:t xml:space="preserve"> — a Plan 1 state employee retiring at age 50 with 26 years at $85,000, measured against the counterfactual that she retires on </w:t>
      </w:r>
      <w:r>
        <w:rPr>
          <w:b/>
          <w:i w:val="0"/>
          <w:strike w:val="0"/>
          <w:sz w:val="20"/>
        </w:rPr>
        <w:t>the same date with the same service</w:t>
      </w:r>
      <w:r>
        <w:rPr>
          <w:b w:val="0"/>
          <w:i w:val="0"/>
          <w:strike w:val="0"/>
          <w:sz w:val="20"/>
        </w:rPr>
        <w:t xml:space="preserve"> under the § 51.1-153 D reduced allowance. It is </w:t>
      </w:r>
      <w:r>
        <w:rPr>
          <w:b/>
          <w:i w:val="0"/>
          <w:strike w:val="0"/>
          <w:sz w:val="20"/>
        </w:rPr>
        <w:t>not</w:t>
      </w:r>
      <w:r>
        <w:rPr>
          <w:b w:val="0"/>
          <w:i w:val="0"/>
          <w:strike w:val="0"/>
          <w:sz w:val="20"/>
        </w:rPr>
        <w:t xml:space="preserve"> a cost per veteran and must not be multiplied by a participant count; a member who would otherwise have worked on to unreduced eligibility </w:t>
      </w:r>
      <w:r>
        <w:rPr>
          <w:b/>
          <w:i w:val="0"/>
          <w:strike w:val="0"/>
          <w:sz w:val="20"/>
        </w:rPr>
        <w:t>overpays</w:t>
      </w:r>
      <w:r>
        <w:rPr>
          <w:b w:val="0"/>
          <w:i w:val="0"/>
          <w:strike w:val="0"/>
          <w:sz w:val="20"/>
        </w:rPr>
        <w:t xml:space="preserve"> in every modeled work-to-eligibility scenario. </w:t>
      </w:r>
      <w:r>
        <w:rPr>
          <w:b/>
          <w:i w:val="0"/>
          <w:strike w:val="0"/>
          <w:sz w:val="20"/>
        </w:rPr>
        <w:t>Two corrections, October 20, 2026:</w:t>
      </w:r>
      <w:r>
        <w:rPr>
          <w:b w:val="0"/>
          <w:i w:val="0"/>
          <w:strike w:val="0"/>
          <w:sz w:val="20"/>
        </w:rPr>
        <w:t xml:space="preserve"> this figure was previously labeled a "frozen-service" scenario, which it is not — "frozen service" is the deferred-member concept the model expressly does </w:t>
      </w:r>
      <w:r>
        <w:rPr>
          <w:b/>
          <w:i w:val="0"/>
          <w:strike w:val="0"/>
          <w:sz w:val="20"/>
        </w:rPr>
        <w:t>not</w:t>
      </w:r>
      <w:r>
        <w:rPr>
          <w:b w:val="0"/>
          <w:i w:val="0"/>
          <w:strike w:val="0"/>
          <w:sz w:val="20"/>
        </w:rPr>
        <w:t xml:space="preserve"> price. And it is the highest of the </w:t>
      </w:r>
      <w:r>
        <w:rPr>
          <w:b/>
          <w:i w:val="0"/>
          <w:strike w:val="0"/>
          <w:sz w:val="20"/>
        </w:rPr>
        <w:t>seven published profiles</w:t>
      </w:r>
      <w:r>
        <w:rPr>
          <w:b w:val="0"/>
          <w:i w:val="0"/>
          <w:strike w:val="0"/>
          <w:sz w:val="20"/>
        </w:rPr>
        <w:t xml:space="preserve">, not a maximum over the model: the underlying 1,025-cell exposure grid reaches approximately </w:t>
      </w:r>
      <w:r>
        <w:rPr>
          <w:b/>
          <w:i w:val="0"/>
          <w:strike w:val="0"/>
          <w:sz w:val="20"/>
        </w:rPr>
        <w:t>$419,000</w:t>
      </w:r>
      <w:r>
        <w:rPr>
          <w:b w:val="0"/>
          <w:i w:val="0"/>
          <w:strike w:val="0"/>
          <w:sz w:val="20"/>
        </w:rPr>
        <w:t xml:space="preserve"> in its most favorable single cell, and exceeds $341,065 in all ten projection years. The combined employer contribution rate impact is </w:t>
      </w:r>
      <w:r>
        <w:rPr>
          <w:b/>
          <w:i w:val="0"/>
          <w:strike w:val="0"/>
          <w:sz w:val="20"/>
        </w:rPr>
        <w:t>0.19 basis points</w:t>
      </w:r>
      <w:r>
        <w:rPr>
          <w:b w:val="0"/>
          <w:i w:val="0"/>
          <w:strike w:val="0"/>
          <w:sz w:val="20"/>
        </w:rPr>
        <w:t xml:space="preserve">, which is the </w:t>
      </w:r>
      <w:r>
        <w:rPr>
          <w:b/>
          <w:i w:val="0"/>
          <w:strike w:val="0"/>
          <w:sz w:val="20"/>
        </w:rPr>
        <w:t>modeled retirement-plan employer contribution impact and excludes the separately funded health insurance credit and COLA effects, including unquantified COLA exposure</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the bill as introduced.</w:t>
      </w:r>
    </w:p>
    <w:p>
      <w:r>
        <w:rPr>
          <w:b/>
          <w:i w:val="0"/>
          <w:strike w:val="0"/>
        </w:rPr>
        <w:t>Target:</w:t>
      </w:r>
      <w:r>
        <w:rPr>
          <w:b w:val="0"/>
          <w:i w:val="0"/>
          <w:strike w:val="0"/>
        </w:rPr>
        <w:t xml:space="preserve"> 2028 Virginia General Assembly (the Council's 2027 gates closed in June 2026 — see the two-page brief, §5)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w:t>
            </w:r>
            <w:r>
              <w:rPr>
                <w:b/>
                <w:i w:val="0"/>
                <w:strike w:val="0"/>
              </w:rPr>
              <w:t>with the reasons</w:t>
            </w:r>
            <w:r>
              <w:rPr>
                <w:b w:val="0"/>
                <w:i w:val="0"/>
                <w:strike w:val="0"/>
              </w:rPr>
              <w:t xml:space="preserve">: new § 51.1-142.4 plus conforming amendments to </w:t>
            </w:r>
            <w:r>
              <w:rPr>
                <w:b/>
                <w:i w:val="0"/>
                <w:strike w:val="0"/>
              </w:rPr>
              <w:t>§ 2.2-3204</w:t>
            </w:r>
            <w:r>
              <w:rPr>
                <w:b w:val="0"/>
                <w:i w:val="0"/>
                <w:strike w:val="0"/>
              </w:rPr>
              <w:t xml:space="preserve"> and §§ 51.1-124.3, 51.1-142.2, 51.1-153, 51.1-155, 51.1-162, 51.1-165.01, 51.1-166, and eighteen drafting notes</w:t>
            </w:r>
          </w:p>
        </w:tc>
        <w:tc>
          <w:tcPr>
            <w:tcW w:type="dxa" w:w="2160"/>
          </w:tcPr>
          <w:p>
            <w:r>
              <w:rPr>
                <w:b w:val="0"/>
                <w:i w:val="0"/>
                <w:strike w:val="0"/>
              </w:rPr>
              <w:t>Patron, Division of Legislative Services</w:t>
            </w:r>
          </w:p>
        </w:tc>
        <w:tc>
          <w:tcPr>
            <w:tcW w:type="dxa" w:w="2160"/>
          </w:tcPr>
          <w:p>
            <w:r>
              <w:rPr>
                <w:b/>
                <w:i w:val="0"/>
                <w:strike w:val="0"/>
              </w:rPr>
              <w:t>Version 1.4 — every MOO-264 finding closed. A drafting handoff, not a bill: the introducible version is `12`</w:t>
            </w:r>
          </w:p>
        </w:tc>
      </w:tr>
      <w:tr>
        <w:tc>
          <w:tcPr>
            <w:tcW w:type="dxa" w:w="2160"/>
          </w:tcPr>
          <w:p>
            <w:r>
              <w:rPr>
                <w:rFonts w:ascii="Consolas" w:hAnsi="Consolas"/>
                <w:b w:val="0"/>
                <w:i w:val="0"/>
                <w:strike w:val="0"/>
                <w:color w:val="303030"/>
                <w:sz w:val="19"/>
              </w:rPr>
              <w:t>12-bill-introducible-form.docx</w:t>
            </w:r>
          </w:p>
        </w:tc>
        <w:tc>
          <w:tcPr>
            <w:tcW w:type="dxa" w:w="2160"/>
          </w:tcPr>
          <w:p>
            <w:r>
              <w:rPr>
                <w:b/>
                <w:i w:val="0"/>
                <w:strike w:val="0"/>
              </w:rPr>
              <w:t>The bill as it would be introduced</w:t>
            </w:r>
            <w:r>
              <w:rPr>
                <w:b w:val="0"/>
                <w:i w:val="0"/>
                <w:strike w:val="0"/>
              </w:rPr>
              <w:t xml:space="preserve"> — all nine sections set out </w:t>
            </w:r>
            <w:r>
              <w:rPr>
                <w:b/>
                <w:i w:val="0"/>
                <w:strike w:val="0"/>
              </w:rPr>
              <w:t>at length</w:t>
            </w:r>
            <w:r>
              <w:rPr>
                <w:b w:val="0"/>
                <w:i w:val="0"/>
                <w:strike w:val="0"/>
              </w:rPr>
              <w:t xml:space="preserve"> as Va. Const. art. IV, § 12 requires, generated from the official text of each section read October 20, 2026, with changes marked</w:t>
            </w:r>
          </w:p>
        </w:tc>
        <w:tc>
          <w:tcPr>
            <w:tcW w:type="dxa" w:w="2160"/>
          </w:tcPr>
          <w:p>
            <w:r>
              <w:rPr>
                <w:b w:val="0"/>
                <w:i w:val="0"/>
                <w:strike w:val="0"/>
              </w:rPr>
              <w:t>Patron, Division of Legislative Services</w:t>
            </w:r>
          </w:p>
        </w:tc>
        <w:tc>
          <w:tcPr>
            <w:tcW w:type="dxa" w:w="2160"/>
          </w:tcPr>
          <w:p>
            <w:r>
              <w:rPr>
                <w:b/>
                <w:i w:val="0"/>
                <w:strike w:val="0"/>
              </w:rPr>
              <w:t>New in version 1.5 — closes finding M-10.</w:t>
            </w:r>
            <w:r>
              <w:rPr>
                <w:b w:val="0"/>
                <w:i w:val="0"/>
                <w:strike w:val="0"/>
              </w:rPr>
              <w:t xml:space="preserve"> Carries text only; </w:t>
            </w:r>
            <w:r>
              <w:rPr>
                <w:rFonts w:ascii="Consolas" w:hAnsi="Consolas"/>
                <w:b w:val="0"/>
                <w:i w:val="0"/>
                <w:strike w:val="0"/>
                <w:color w:val="303030"/>
                <w:sz w:val="19"/>
              </w:rPr>
              <w:t>01</w:t>
            </w:r>
            <w:r>
              <w:rPr>
                <w:b w:val="0"/>
                <w:i w:val="0"/>
                <w:strike w:val="0"/>
              </w:rPr>
              <w:t xml:space="preserve"> carries the reasons. Amend the two together</w:t>
            </w:r>
          </w:p>
        </w:tc>
      </w:tr>
      <w:tr>
        <w:tc>
          <w:tcPr>
            <w:tcW w:type="dxa" w:w="2160"/>
          </w:tcPr>
          <w:p>
            <w:r>
              <w:rPr>
                <w:rFonts w:ascii="Consolas" w:hAnsi="Consolas"/>
                <w:b w:val="0"/>
                <w:i w:val="0"/>
                <w:strike w:val="0"/>
                <w:color w:val="303030"/>
                <w:sz w:val="19"/>
              </w:rPr>
              <w:t>13-council-engagement-answers.docx</w:t>
            </w:r>
          </w:p>
        </w:tc>
        <w:tc>
          <w:tcPr>
            <w:tcW w:type="dxa" w:w="2160"/>
          </w:tcPr>
          <w:p>
            <w:r>
              <w:rPr>
                <w:b/>
                <w:i w:val="0"/>
                <w:strike w:val="0"/>
              </w:rPr>
              <w:t>What to say in the room</w:t>
            </w:r>
            <w:r>
              <w:rPr>
                <w:b w:val="0"/>
                <w:i w:val="0"/>
                <w:strike w:val="0"/>
              </w:rPr>
              <w:t xml:space="preserve"> — the answers to the seven stakeholder findings that are not drafting problems: the leadership-exclusion concession, the DVS strategic-plan test, § 2.2-2682 C, the committee path and patron shortlist, what to tell a post-2014 hire, the Guard/Reserve § 12736 position, and the two numbers we do not have</w:t>
            </w:r>
          </w:p>
        </w:tc>
        <w:tc>
          <w:tcPr>
            <w:tcW w:type="dxa" w:w="2160"/>
          </w:tcPr>
          <w:p>
            <w:r>
              <w:rPr>
                <w:b w:val="0"/>
                <w:i w:val="0"/>
                <w:strike w:val="0"/>
              </w:rPr>
              <w:t>JLCVSO leadership, whoever carries the proposal</w:t>
            </w:r>
          </w:p>
        </w:tc>
        <w:tc>
          <w:tcPr>
            <w:tcW w:type="dxa" w:w="2160"/>
          </w:tcPr>
          <w:p>
            <w:r>
              <w:rPr>
                <w:b/>
                <w:i w:val="0"/>
                <w:strike w:val="0"/>
              </w:rPr>
              <w:t>New in version 1.5</w:t>
            </w:r>
            <w:r>
              <w:rPr>
                <w:b w:val="0"/>
                <w:i w:val="0"/>
                <w:strike w:val="0"/>
              </w:rPr>
              <w:t xml:space="preserve"> — not for distribution to legislators</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recorded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Internal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i w:val="0"/>
                <w:strike w:val="0"/>
              </w:rPr>
              <w:t>Complete for version 1.1; refresh against the bill as introduced required before external use</w:t>
            </w:r>
            <w:r>
              <w:rPr>
                <w:b w:val="0"/>
                <w:i w:val="0"/>
                <w:strike w:val="0"/>
              </w:rPr>
              <w:t xml:space="preserve"> (MOO-259) — illustrative, </w:t>
            </w:r>
            <w:r>
              <w:rPr>
                <w:b/>
                <w:i w:val="0"/>
                <w:strike w:val="0"/>
              </w:rPr>
              <w:t>not</w:t>
            </w:r>
            <w:r>
              <w:rPr>
                <w:b w:val="0"/>
                <w:i w:val="0"/>
                <w:strike w:val="0"/>
              </w:rPr>
              <w:t xml:space="preserve"> the Board's § 30-19.1:7 statement</w:t>
            </w:r>
          </w:p>
        </w:tc>
      </w:tr>
      <w:tr>
        <w:tc>
          <w:tcPr>
            <w:tcW w:type="dxa" w:w="2160"/>
          </w:tcPr>
          <w:p>
            <w:r>
              <w:rPr>
                <w:rFonts w:ascii="Consolas" w:hAnsi="Consolas"/>
                <w:b w:val="0"/>
                <w:i w:val="0"/>
                <w:strike w:val="0"/>
                <w:color w:val="303030"/>
                <w:sz w:val="19"/>
              </w:rPr>
              <w:t>09-counsel-review-bill.docx</w:t>
            </w:r>
          </w:p>
        </w:tc>
        <w:tc>
          <w:tcPr>
            <w:tcW w:type="dxa" w:w="2160"/>
          </w:tcPr>
          <w:p>
            <w:r>
              <w:rPr>
                <w:b/>
                <w:i w:val="0"/>
                <w:strike w:val="0"/>
              </w:rPr>
              <w:t>Independent</w:t>
            </w:r>
            <w:r>
              <w:rPr>
                <w:b w:val="0"/>
                <w:i w:val="0"/>
                <w:strike w:val="0"/>
              </w:rPr>
              <w:t xml:space="preserve"> counsel review of bill text version 1.2 by a reviewer who did not draft it: 3 blockers, 15 material, 12 minor, with redlines; citation verification; fiscal assumption challenge; where it disagrees with the sign-off analysis</w:t>
            </w:r>
          </w:p>
        </w:tc>
        <w:tc>
          <w:tcPr>
            <w:tcW w:type="dxa" w:w="2160"/>
          </w:tcPr>
          <w:p>
            <w:r>
              <w:rPr>
                <w:b w:val="0"/>
                <w:i w:val="0"/>
                <w:strike w:val="0"/>
              </w:rPr>
              <w:t>Counsel, JLCVSO leadership, patron</w:t>
            </w:r>
          </w:p>
        </w:tc>
        <w:tc>
          <w:tcPr>
            <w:tcW w:type="dxa" w:w="2160"/>
          </w:tcPr>
          <w:p>
            <w:r>
              <w:rPr>
                <w:b w:val="0"/>
                <w:i w:val="0"/>
                <w:strike w:val="0"/>
              </w:rPr>
              <w:t xml:space="preserve">Complete (MOO-264) — </w:t>
            </w:r>
            <w:r>
              <w:rPr>
                <w:b/>
                <w:i w:val="0"/>
                <w:strike w:val="0"/>
              </w:rPr>
              <w:t>all 3 blockers fixed in version 1.3</w:t>
            </w:r>
          </w:p>
        </w:tc>
      </w:tr>
      <w:tr>
        <w:tc>
          <w:tcPr>
            <w:tcW w:type="dxa" w:w="2160"/>
          </w:tcPr>
          <w:p>
            <w:r>
              <w:rPr>
                <w:rFonts w:ascii="Consolas" w:hAnsi="Consolas"/>
                <w:b w:val="0"/>
                <w:i w:val="0"/>
                <w:strike w:val="0"/>
                <w:color w:val="303030"/>
                <w:sz w:val="19"/>
              </w:rPr>
              <w:t>10-counsel-review-explorer.docx</w:t>
            </w:r>
          </w:p>
        </w:tc>
        <w:tc>
          <w:tcPr>
            <w:tcW w:type="dxa" w:w="2160"/>
          </w:tcPr>
          <w:p>
            <w:r>
              <w:rPr>
                <w:b/>
                <w:i w:val="0"/>
                <w:strike w:val="0"/>
              </w:rPr>
              <w:t>Independent</w:t>
            </w:r>
            <w:r>
              <w:rPr>
                <w:b w:val="0"/>
                <w:i w:val="0"/>
                <w:strike w:val="0"/>
              </w:rPr>
              <w:t xml:space="preserve"> review of the Scenario Explorer: 26 findings (4 blockers), 21 of them framing rather than arithmetic; three hand re-derivations of the published formulas; provenance audit</w:t>
            </w:r>
          </w:p>
        </w:tc>
        <w:tc>
          <w:tcPr>
            <w:tcW w:type="dxa" w:w="2160"/>
          </w:tcPr>
          <w:p>
            <w:r>
              <w:rPr>
                <w:b w:val="0"/>
                <w:i w:val="0"/>
                <w:strike w:val="0"/>
              </w:rPr>
              <w:t>Policy staff, VRS reviewers</w:t>
            </w:r>
          </w:p>
        </w:tc>
        <w:tc>
          <w:tcPr>
            <w:tcW w:type="dxa" w:w="2160"/>
          </w:tcPr>
          <w:p>
            <w:r>
              <w:rPr>
                <w:b w:val="0"/>
                <w:i w:val="0"/>
                <w:strike w:val="0"/>
              </w:rPr>
              <w:t>Complete (MOO-265) — remediation tracked in MOO-267</w:t>
            </w:r>
          </w:p>
        </w:tc>
      </w:tr>
      <w:tr>
        <w:tc>
          <w:tcPr>
            <w:tcW w:type="dxa" w:w="2160"/>
          </w:tcPr>
          <w:p>
            <w:r>
              <w:rPr>
                <w:rFonts w:ascii="Consolas" w:hAnsi="Consolas"/>
                <w:b w:val="0"/>
                <w:i w:val="0"/>
                <w:strike w:val="0"/>
                <w:color w:val="303030"/>
                <w:sz w:val="19"/>
              </w:rPr>
              <w:t>11-stakeholder-review.docx</w:t>
            </w:r>
          </w:p>
        </w:tc>
        <w:tc>
          <w:tcPr>
            <w:tcW w:type="dxa" w:w="2160"/>
          </w:tcPr>
          <w:p>
            <w:r>
              <w:rPr>
                <w:b/>
                <w:i w:val="0"/>
                <w:strike w:val="0"/>
              </w:rPr>
              <w:t>Independent</w:t>
            </w:r>
            <w:r>
              <w:rPr>
                <w:b w:val="0"/>
                <w:i w:val="0"/>
                <w:strike w:val="0"/>
              </w:rPr>
              <w:t xml:space="preserve"> stakeholder and political-viability review: 2 blockers, 23 findings; Council adoption gates, committee path, coalition map, patron candidates, hostile-driving probes of the explorer</w:t>
            </w:r>
          </w:p>
        </w:tc>
        <w:tc>
          <w:tcPr>
            <w:tcW w:type="dxa" w:w="2160"/>
          </w:tcPr>
          <w:p>
            <w:r>
              <w:rPr>
                <w:b w:val="0"/>
                <w:i w:val="0"/>
                <w:strike w:val="0"/>
              </w:rPr>
              <w:t>JLCVSO leadership, patron</w:t>
            </w:r>
          </w:p>
        </w:tc>
        <w:tc>
          <w:tcPr>
            <w:tcW w:type="dxa" w:w="2160"/>
          </w:tcPr>
          <w:p>
            <w:r>
              <w:rPr>
                <w:b w:val="0"/>
                <w:i w:val="0"/>
                <w:strike w:val="0"/>
              </w:rPr>
              <w:t>Complete (MOO-266)</w:t>
            </w:r>
          </w:p>
        </w:tc>
      </w:tr>
      <w:tr>
        <w:tc>
          <w:tcPr>
            <w:tcW w:type="dxa" w:w="2160"/>
          </w:tcPr>
          <w:p>
            <w:r>
              <w:rPr>
                <w:rFonts w:ascii="Consolas" w:hAnsi="Consolas"/>
                <w:b w:val="0"/>
                <w:i w:val="0"/>
                <w:strike w:val="0"/>
                <w:color w:val="303030"/>
                <w:sz w:val="19"/>
              </w:rPr>
              <w:t>explorer/</w:t>
            </w:r>
          </w:p>
        </w:tc>
        <w:tc>
          <w:tcPr>
            <w:tcW w:type="dxa" w:w="2160"/>
          </w:tcPr>
          <w:p>
            <w:r>
              <w:rPr>
                <w:b w:val="0"/>
                <w:i w:val="0"/>
                <w:strike w:val="0"/>
              </w:rPr>
              <w:t>Interactive Legislative Scenario Explorer (HTML) and methodology page — calculation engine separate from presentation, source-and-assumption registry, downloadable handout, Official VRS Data mode</w:t>
            </w:r>
          </w:p>
        </w:tc>
        <w:tc>
          <w:tcPr>
            <w:tcW w:type="dxa" w:w="2160"/>
          </w:tcPr>
          <w:p>
            <w:r>
              <w:rPr>
                <w:b w:val="0"/>
                <w:i w:val="0"/>
                <w:strike w:val="0"/>
              </w:rPr>
              <w:t>Legislators, money-committee staff, VRS reviewers, policy staff</w:t>
            </w:r>
          </w:p>
        </w:tc>
        <w:tc>
          <w:tcPr>
            <w:tcW w:type="dxa" w:w="2160"/>
          </w:tcPr>
          <w:p>
            <w:r>
              <w:rPr>
                <w:b/>
                <w:i w:val="0"/>
                <w:strike w:val="0"/>
              </w:rPr>
              <w:t>Defect remediation in progress (MOO-267)</w:t>
            </w:r>
            <w:r>
              <w:rPr>
                <w:b w:val="0"/>
                <w:i w:val="0"/>
                <w:strike w:val="0"/>
              </w:rPr>
              <w:t xml:space="preserve"> — illustrative model, not an actuarial certification</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It does </w:t>
      </w:r>
      <w:r>
        <w:rPr>
          <w:b/>
          <w:i w:val="0"/>
          <w:strike w:val="0"/>
        </w:rPr>
        <w:t>not</w:t>
      </w:r>
      <w:r>
        <w:rPr>
          <w:b w:val="0"/>
          <w:i w:val="0"/>
          <w:strike w:val="0"/>
        </w:rPr>
        <w:t xml:space="preserve"> increase benefit-calculation service, the pension formula, or any benefit calculated by reference to service credit. </w:t>
      </w:r>
      <w:r>
        <w:rPr>
          <w:b/>
          <w:i w:val="0"/>
          <w:strike w:val="0"/>
        </w:rPr>
        <w:t>The ordinary consequences of an earlier retirement date remain applicable</w:t>
      </w:r>
      <w:r>
        <w:rPr>
          <w:b w:val="0"/>
          <w:i w:val="0"/>
          <w:strike w:val="0"/>
        </w:rPr>
        <w:t xml:space="preserve"> — see "What the three moves do not reach" below.</w:t>
      </w:r>
    </w:p>
    <w:p>
      <w:pPr>
        <w:pStyle w:val="Heading2"/>
      </w:pPr>
      <w:r>
        <w:rPr>
          <w:b w:val="0"/>
          <w:i w:val="0"/>
          <w:strike w:val="0"/>
        </w:rPr>
        <w:t>The three moves that make it work</w:t>
      </w:r>
    </w:p>
    <w:p>
      <w:pPr>
        <w:pStyle w:val="ListNumber"/>
      </w:pPr>
      <w:r>
        <w:rPr>
          <w:b/>
          <w:i w:val="0"/>
          <w:strike w:val="0"/>
        </w:rPr>
        <w:t>New § 51.1-142.4</w:t>
      </w:r>
      <w:r>
        <w:rPr>
          <w:b w:val="0"/>
          <w:i w:val="0"/>
          <w:strike w:val="0"/>
        </w:rPr>
        <w:t xml:space="preserve">, not an amendment inside § 51.1-142.2 — because "creditable service" is defined as "prior service as set forth in § 51.1-142.2 plus membership service," so anything added there becomes creditable service automatically. </w:t>
      </w:r>
      <w:r>
        <w:rPr>
          <w:b/>
          <w:i w:val="0"/>
          <w:strike w:val="0"/>
        </w:rPr>
        <w:t>This is the move that does the work.</w:t>
      </w:r>
      <w:r>
        <w:rPr>
          <w:b w:val="0"/>
          <w:i w:val="0"/>
          <w:strike w:val="0"/>
        </w:rPr>
        <w:t xml:space="preserve"> Independent counsel review established that eligibility credit granted under § 51.1-142.4 is outside the definition by the definition's own terms, so move 1 alone is safe on the text.</w:t>
      </w:r>
    </w:p>
    <w:p>
      <w:pPr>
        <w:pStyle w:val="ListNumber"/>
      </w:pPr>
      <w:r>
        <w:rPr>
          <w:b/>
          <w:i w:val="0"/>
          <w:strike w:val="0"/>
        </w:rPr>
        <w:t>Express carve-out from the "creditable service" definition</w:t>
      </w:r>
      <w:r>
        <w:rPr>
          <w:b w:val="0"/>
          <w:i w:val="0"/>
          <w:strike w:val="0"/>
        </w:rPr>
        <w:t xml:space="preserve"> in § 51.1-124.3, which confirms that the benefit formula, AFC, the health insurance credit's </w:t>
      </w:r>
      <w:r>
        <w:rPr>
          <w:b/>
          <w:i w:val="0"/>
          <w:strike w:val="0"/>
        </w:rPr>
        <w:t>threshold and amount</w:t>
      </w:r>
      <w:r>
        <w:rPr>
          <w:b w:val="0"/>
          <w:i w:val="0"/>
          <w:strike w:val="0"/>
        </w:rPr>
        <w:t xml:space="preserve"> (not its commencement date — see below), group life </w:t>
      </w:r>
      <w:r>
        <w:rPr>
          <w:b/>
          <w:i w:val="0"/>
          <w:strike w:val="0"/>
        </w:rPr>
        <w:t>thresholds and amounts</w:t>
      </w:r>
      <w:r>
        <w:rPr>
          <w:b w:val="0"/>
          <w:i w:val="0"/>
          <w:strike w:val="0"/>
        </w:rPr>
        <w:t xml:space="preserve"> (not its reduction schedule — see below), disability allowances, and the five-year vesting analogue are all unaffected. </w:t>
      </w:r>
      <w:r>
        <w:rPr>
          <w:b/>
          <w:i w:val="0"/>
          <w:strike w:val="0"/>
        </w:rPr>
        <w:t>Corrected October 20, 2026:</w:t>
      </w:r>
      <w:r>
        <w:rPr>
          <w:b w:val="0"/>
          <w:i w:val="0"/>
          <w:strike w:val="0"/>
        </w:rPr>
        <w:t xml:space="preserve"> earlier versions called this "the single most important protective move" and said "neither alone is safe." That overstates it — the carve-out forecloses argument and costs nothing, and should be retained, but it is litigation insurance rather than the load-bearing provision, and the </w:t>
      </w:r>
      <w:r>
        <w:rPr>
          <w:b/>
          <w:i w:val="0"/>
          <w:strike w:val="0"/>
        </w:rPr>
        <w:t>5.7×</w:t>
      </w:r>
      <w:r>
        <w:rPr>
          <w:b w:val="0"/>
          <w:i w:val="0"/>
          <w:strike w:val="0"/>
        </w:rPr>
        <w:t xml:space="preserve"> figure prices the bill move 1 avoids rather than the value of the carve-out.</w:t>
      </w:r>
    </w:p>
    <w:p>
      <w:pPr>
        <w:pStyle w:val="ListNumber"/>
      </w:pPr>
      <w:r>
        <w:rPr>
          <w:b/>
          <w:i w:val="0"/>
          <w:strike w:val="0"/>
        </w:rPr>
        <w:t>Five conforming amendments across five sections, within a bill that amends and reenacts eight sections and adds one</w:t>
      </w:r>
      <w:r>
        <w:rPr>
          <w:b w:val="0"/>
          <w:i w:val="0"/>
          <w:strike w:val="0"/>
        </w:rPr>
        <w:t xml:space="preserve"> (corrected in version 1.5; the earlier "six" counted the § 2.2-3204 subsection C sentence struck in version 1.4 as redundant)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subsection A of §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t>
      </w:r>
      <w:r>
        <w:rPr>
          <w:b/>
          <w:i w:val="0"/>
          <w:strike w:val="0"/>
        </w:rPr>
        <w:t>Version 1.4 adds two further amendments that are not conforming but enabling</w:t>
      </w:r>
      <w:r>
        <w:rPr>
          <w:b w:val="0"/>
          <w:i w:val="0"/>
          <w:strike w:val="0"/>
        </w:rPr>
        <w:t xml:space="preserve"> — subdivision B 4 of § 51.1-153 and the parallel paragraph of subdivision A 3 of § 51.1-155, which add subdivision B 2 to the resolution purposes list under DECISION 13.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Both therefore start up to four years earlier. </w:t>
      </w:r>
      <w:r>
        <w:rPr>
          <w:b/>
          <w:i w:val="0"/>
          <w:strike w:val="0"/>
        </w:rPr>
        <w:t>Per DECISION 9 the proposal deliberately accepts and discloses that earlier commencement rather than adding separate delay provisions</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principal policy questions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internal adversarial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w:t>
      </w:r>
      <w:r>
        <w:rPr>
          <w:b/>
          <w:i w:val="0"/>
          <w:strike w:val="0"/>
        </w:rPr>
        <w:t>Version 1.3 note:</w:t>
      </w:r>
      <w:r>
        <w:rPr>
          <w:b w:val="0"/>
          <w:i w:val="0"/>
          <w:strike w:val="0"/>
        </w:rPr>
        <w:t xml:space="preserve"> the version 1.2 drafting of this decision did </w:t>
      </w:r>
      <w:r>
        <w:rPr>
          <w:b/>
          <w:i w:val="0"/>
          <w:strike w:val="0"/>
        </w:rPr>
        <w:t>not</w:t>
      </w:r>
      <w:r>
        <w:rPr>
          <w:b w:val="0"/>
          <w:i w:val="0"/>
          <w:strike w:val="0"/>
        </w:rPr>
        <w:t xml:space="preserve"> achieve it — the condition tested a status on one named calendar day and the status was purchasable with one day of rehire. Version 1.3 requires continuity of service from the grant date and makes termination of service a refund trigger.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No exclusion is attempted: the proposal deliberately accepts and discloses the earlier commencement rather than adding separate delay provisions.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qualifying B 4 employees who first entered the VRS-administered retirement system on or after the January 1, 2014 Hybrid transition.</w:t>
      </w:r>
      <w:r>
        <w:rPr>
          <w:b w:val="0"/>
          <w:i w:val="0"/>
          <w:strike w:val="0"/>
        </w:rPr>
        <w:t xml:space="preserve"> Clause B 1(iv) tracks the § 51.1-169 A membership test, so a member already in a VRS-administered plan before that date remains potentially eligible even if rehired later. Implemented in new clause B 1(iv) and subsection J, with new subdivision C 1 c resolving which deficit formula applies to the still-eligible pre-2014 class. Narrower than the policy-development team recommended and adopted without reservation: the defect was that the class was permanent and growing, and this removes exactly that while keeping the bridge for pre-2014 public-safety veterans. </w:t>
      </w:r>
      <w:r>
        <w:rPr>
          <w:b/>
          <w:i w:val="0"/>
          <w:strike w:val="0"/>
        </w:rPr>
        <w:t>The beneficiary class is now substantially closing (see the version 1.4 change log, item 4) across the entire bill.</w:t>
      </w:r>
      <w:r>
        <w:rPr>
          <w:b w:val="0"/>
          <w:i w:val="0"/>
          <w:strike w:val="0"/>
        </w:rPr>
        <w:t xml:space="preserve"> The resolved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 the model being </w:t>
      </w:r>
      <w:r>
        <w:rPr>
          <w:b/>
          <w:i w:val="0"/>
          <w:strike w:val="0"/>
        </w:rPr>
        <w:t>complete for version 1.1, with a refresh against the bill as introduced required before external use</w:t>
      </w:r>
      <w:r>
        <w:rPr>
          <w:b w:val="0"/>
          <w:i w:val="0"/>
          <w:strike w:val="0"/>
        </w:rPr>
        <w:t>.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In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scenario.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 xml:space="preserve">. Every public use of the 0.19 bp figure must state that it is the </w:t>
      </w:r>
      <w:r>
        <w:rPr>
          <w:b/>
          <w:i w:val="0"/>
          <w:strike w:val="0"/>
        </w:rPr>
        <w:t>modeled retirement-plan employer contribution impact and excludes the separately funded health insurance credit and COLA effects, including unquantified COLA exposure.</w:t>
      </w:r>
    </w:p>
    <w:p>
      <w:r>
        <w:rPr>
          <w:b w:val="0"/>
          <w:i w:val="0"/>
          <w:strike w:val="0"/>
        </w:rPr>
        <w:t xml:space="preserve">The </w:t>
      </w:r>
      <w:r>
        <w:rPr>
          <w:b/>
          <w:i w:val="0"/>
          <w:strike w:val="0"/>
        </w:rPr>
        <w:t>12.50% Plan 1 / 10.74% Plan 2</w:t>
      </w:r>
      <w:r>
        <w:rPr>
          <w:b w:val="0"/>
          <w:i w:val="0"/>
          <w:strike w:val="0"/>
        </w:rPr>
        <w:t xml:space="preserve"> approximate normal cost rates are the rates for </w:t>
      </w:r>
      <w:r>
        <w:rPr>
          <w:b/>
          <w:i w:val="0"/>
          <w:strike w:val="0"/>
        </w:rPr>
        <w:t>ordinary non-hazardous members</w:t>
      </w:r>
      <w:r>
        <w:rPr>
          <w:b w:val="0"/>
          <w:i w:val="0"/>
          <w:strike w:val="0"/>
        </w:rPr>
        <w:t xml:space="preserve">. The applicable approximate-normal-cost rate for eligible pre-2014 § 51.1-153 B 4 public-safety members </w:t>
      </w:r>
      <w:r>
        <w:rPr>
          <w:b/>
          <w:i w:val="0"/>
          <w:strike w:val="0"/>
        </w:rPr>
        <w:t>requires VRS confirmation</w:t>
      </w:r>
      <w:r>
        <w:rPr>
          <w:b w:val="0"/>
          <w:i w:val="0"/>
          <w:strike w:val="0"/>
        </w:rPr>
        <w:t>.</w:t>
      </w:r>
    </w:p>
    <w:p>
      <w:r>
        <w:rPr>
          <w:b w:val="0"/>
          <w:i w:val="0"/>
          <w:strike w:val="0"/>
        </w:rPr>
        <w:t xml:space="preserve">Three things that follow. </w:t>
      </w:r>
      <w:r>
        <w:rPr>
          <w:b/>
          <w:i w:val="0"/>
          <w:strike w:val="0"/>
        </w:rPr>
        <w:t>Placing the credit in a new section</w:t>
      </w:r>
      <w:r>
        <w:rPr>
          <w:b w:val="0"/>
          <w:i w:val="0"/>
          <w:strike w:val="0"/>
        </w:rPr>
        <w:t xml:space="preserve"> — not the § 51.1-124.3 carve-out — is what keeps it outside "creditable service," which by its own terms reaches only prior service as set forth in § 51.1-142.2 plus membership service; the carve-out forecloses argument and costs nothing, and should be retained as litigation insurance. The </w:t>
      </w:r>
      <w:r>
        <w:rPr>
          <w:b/>
          <w:i w:val="0"/>
          <w:strike w:val="0"/>
        </w:rPr>
        <w:t>5.7×</w:t>
      </w:r>
      <w:r>
        <w:rPr>
          <w:b w:val="0"/>
          <w:i w:val="0"/>
          <w:strike w:val="0"/>
        </w:rPr>
        <w:t xml:space="preserve"> figure prices the bill that move avoids, not the carve-out (corrected October 20, 2026 — see memorandum Part 5.1).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B 4 public-safety employees who first entered the VRS-administered retirement system on or after the January 1, 2014 Hybrid transition,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resolved on October 20, 2026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of service, on deferred-retirement application and on written request</w:t>
            </w:r>
          </w:p>
        </w:tc>
        <w:tc>
          <w:tcPr>
            <w:tcW w:type="dxa" w:w="2880"/>
          </w:tcPr>
          <w:p>
            <w:r>
              <w:rPr>
                <w:b/>
                <w:i w:val="0"/>
                <w:strike w:val="0"/>
              </w:rPr>
              <w:t>K 1 c</w:t>
            </w:r>
            <w:r>
              <w:rPr>
                <w:b w:val="0"/>
                <w:i w:val="0"/>
                <w:strike w:val="0"/>
              </w:rPr>
              <w:t xml:space="preserve">, </w:t>
            </w:r>
            <w:r>
              <w:rPr>
                <w:b/>
                <w:i w:val="0"/>
                <w:strike w:val="0"/>
              </w:rPr>
              <w:t>K 1 d</w:t>
            </w:r>
            <w:r>
              <w:rPr>
                <w:b w:val="0"/>
                <w:i w:val="0"/>
                <w:strike w:val="0"/>
              </w:rPr>
              <w:t xml:space="preserve">, </w:t>
            </w:r>
            <w:r>
              <w:rPr>
                <w:b/>
                <w:i w:val="0"/>
                <w:strike w:val="0"/>
              </w:rPr>
              <w:t>K 1 e</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B 4-resolution public-safety employees who first entered the VRS-administered retirement system on or after the January 1, 2014 Hybrid transition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its narrower resolved form. A membership test, not a hire-date test, so a pre-2014 member rehired later remains potentially eligible</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pass in MOO-260 was an </w:t>
      </w:r>
      <w:r>
        <w:rPr>
          <w:b/>
          <w:i w:val="0"/>
          <w:strike w:val="0"/>
        </w:rPr>
        <w:t>internal adversarial review</w:t>
      </w:r>
      <w:r>
        <w:rPr>
          <w:b w:val="0"/>
          <w:i w:val="0"/>
          <w:strike w:val="0"/>
        </w:rPr>
        <w:t xml:space="preserve">: it was run by the policy-development team that drafted the package, because no independent reviewer was available. </w:t>
      </w:r>
      <w:r>
        <w:rPr>
          <w:b/>
          <w:i w:val="0"/>
          <w:strike w:val="0"/>
        </w:rPr>
        <w:t>It was not independent and must not be described as independent.</w:t>
      </w:r>
      <w:r>
        <w:rPr>
          <w:b w:val="0"/>
          <w:i w:val="0"/>
          <w:strike w:val="0"/>
        </w:rPr>
        <w:t xml:space="preserve"> The October 19 sign-off pass then found three stale statements that review had missed, which is exactly what self-review misses. </w:t>
      </w:r>
      <w:r>
        <w:rPr>
          <w:b/>
          <w:i w:val="0"/>
          <w:strike w:val="0"/>
        </w:rPr>
        <w:t>An independent read is advisable before this reaches a patron.</w:t>
      </w:r>
    </w:p>
    <w:p>
      <w:pPr>
        <w:pStyle w:val="Heading2"/>
      </w:pPr>
      <w:r>
        <w:rPr>
          <w:b w:val="0"/>
          <w:i w:val="0"/>
          <w:strike w:val="0"/>
        </w:rPr>
        <w:t>Version 1.4 change log — Independent-Review Integration (October 20, 2026)</w:t>
      </w:r>
    </w:p>
    <w:p>
      <w:r>
        <w:rPr>
          <w:b/>
          <w:i w:val="0"/>
          <w:strike w:val="0"/>
        </w:rPr>
        <w:t>This is the first version informed by reviewers who did not draft the package.</w:t>
      </w:r>
      <w:r>
        <w:rPr>
          <w:b w:val="0"/>
          <w:i w:val="0"/>
          <w:strike w:val="0"/>
        </w:rPr>
        <w:t xml:space="preserve"> Three independent reviews ran concurrently: counsel review of the bill text (MOO-264), review of the Scenario Explorer (MOO-265), and stakeholder and political-viability review (MOO-266). Between them: </w:t>
      </w:r>
      <w:r>
        <w:rPr>
          <w:b/>
          <w:i w:val="0"/>
          <w:strike w:val="0"/>
        </w:rPr>
        <w:t>79 findings, 9 blockers.</w:t>
      </w:r>
      <w:r>
        <w:rPr>
          <w:b w:val="0"/>
          <w:i w:val="0"/>
          <w:strike w:val="0"/>
        </w:rPr>
        <w:t xml:space="preserve"> None came back clean, which was the expected and desired result. Operative bill text moves to </w:t>
      </w:r>
      <w:r>
        <w:rPr>
          <w:b/>
          <w:i w:val="0"/>
          <w:strike w:val="0"/>
        </w:rPr>
        <w:t>version 1.3</w:t>
      </w:r>
      <w:r>
        <w:rPr>
          <w:b w:val="0"/>
          <w:i w:val="0"/>
          <w:strike w:val="0"/>
        </w:rPr>
        <w:t xml:space="preserve">; the package to </w:t>
      </w:r>
      <w:r>
        <w:rPr>
          <w:b/>
          <w:i w:val="0"/>
          <w:strike w:val="0"/>
        </w:rPr>
        <w:t>version 1.4</w:t>
      </w:r>
      <w:r>
        <w:rPr>
          <w:b w:val="0"/>
          <w:i w:val="0"/>
          <w:strike w:val="0"/>
        </w:rPr>
        <w:t>.</w:t>
      </w:r>
    </w:p>
    <w:p>
      <w:r>
        <w:rPr>
          <w:b/>
          <w:i w:val="0"/>
          <w:strike w:val="0"/>
        </w:rPr>
        <w:t>The three bill blockers were all in the version 1.2 additions</w:t>
      </w:r>
      <w:r>
        <w:rPr>
          <w:b w:val="0"/>
          <w:i w:val="0"/>
          <w:strike w:val="0"/>
        </w:rPr>
        <w:t xml:space="preserve"> — the newest and least-read language — and each would have been fatal in a different 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Correction</w:t>
            </w:r>
          </w:p>
        </w:tc>
        <w:tc>
          <w:tcPr>
            <w:tcW w:type="dxa" w:w="2160"/>
          </w:tcPr>
          <w:p>
            <w:r>
              <w:rPr>
                <w:b/>
                <w:i w:val="0"/>
                <w:strike w:val="0"/>
              </w:rPr>
              <w:t>Severity</w:t>
            </w:r>
          </w:p>
        </w:tc>
        <w:tc>
          <w:tcPr>
            <w:tcW w:type="dxa" w:w="2160"/>
          </w:tcPr>
          <w:p>
            <w:r>
              <w:rPr>
                <w:b/>
                <w:i w:val="0"/>
                <w:strike w:val="0"/>
              </w:rPr>
              <w:t>Where</w:t>
            </w:r>
          </w:p>
        </w:tc>
      </w:tr>
      <w:tr>
        <w:tc>
          <w:tcPr>
            <w:tcW w:type="dxa" w:w="2160"/>
          </w:tcPr>
          <w:p>
            <w:r>
              <w:rPr>
                <w:b w:val="0"/>
                <w:i w:val="0"/>
                <w:strike w:val="0"/>
              </w:rPr>
              <w:t>1</w:t>
            </w:r>
          </w:p>
        </w:tc>
        <w:tc>
          <w:tcPr>
            <w:tcW w:type="dxa" w:w="2160"/>
          </w:tcPr>
          <w:p>
            <w:r>
              <w:rPr>
                <w:b/>
                <w:i w:val="0"/>
                <w:strike w:val="0"/>
              </w:rPr>
              <w:t>Subdivision E 3 rewritten.</w:t>
            </w:r>
            <w:r>
              <w:rPr>
                <w:b w:val="0"/>
                <w:i w:val="0"/>
                <w:strike w:val="0"/>
              </w:rPr>
              <w:t xml:space="preserve"> The in-service test was keyed to "the day immediately preceding the effective date of his retirement," but § 51.1-153 E permits — and ordinary VRS practice uses — a gap between the last day of service and the retirement date. A teacher whose last contract day is June 10 and whose retirement is effective July 1 lost her purchased credit on a technicality the Code itself authorises. Now keyed to her </w:t>
            </w:r>
            <w:r>
              <w:rPr>
                <w:b/>
                <w:i w:val="0"/>
                <w:strike w:val="0"/>
              </w:rPr>
              <w:t>last day of service</w:t>
            </w:r>
            <w:r>
              <w:rPr>
                <w:b w:val="0"/>
                <w:i w:val="0"/>
                <w:strike w:val="0"/>
              </w:rPr>
              <w:t>.</w:t>
            </w:r>
          </w:p>
        </w:tc>
        <w:tc>
          <w:tcPr>
            <w:tcW w:type="dxa" w:w="2160"/>
          </w:tcPr>
          <w:p>
            <w:r>
              <w:rPr>
                <w:b/>
                <w:i w:val="0"/>
                <w:strike w:val="0"/>
              </w:rPr>
              <w:t>Blocker</w:t>
            </w:r>
            <w:r>
              <w:rPr>
                <w:b w:val="0"/>
                <w:i w:val="0"/>
                <w:strike w:val="0"/>
              </w:rPr>
              <w:t xml:space="preserve"> C-01</w:t>
            </w:r>
          </w:p>
        </w:tc>
        <w:tc>
          <w:tcPr>
            <w:tcW w:type="dxa" w:w="2160"/>
          </w:tcPr>
          <w:p>
            <w:r>
              <w:rPr>
                <w:b w:val="0"/>
                <w:i w:val="0"/>
                <w:strike w:val="0"/>
              </w:rPr>
              <w:t>bill § 51.1-142.4 E 3; note 12(a)</w:t>
            </w:r>
          </w:p>
        </w:tc>
      </w:tr>
      <w:tr>
        <w:tc>
          <w:tcPr>
            <w:tcW w:type="dxa" w:w="2160"/>
          </w:tcPr>
          <w:p>
            <w:r>
              <w:rPr>
                <w:b w:val="0"/>
                <w:i w:val="0"/>
                <w:strike w:val="0"/>
              </w:rPr>
              <w:t>2</w:t>
            </w:r>
          </w:p>
        </w:tc>
        <w:tc>
          <w:tcPr>
            <w:tcW w:type="dxa" w:w="2160"/>
          </w:tcPr>
          <w:p>
            <w:r>
              <w:rPr>
                <w:b/>
                <w:i w:val="0"/>
                <w:strike w:val="0"/>
              </w:rPr>
              <w:t>Subdivision K 1 b narrowed; savings sentence added.</w:t>
            </w:r>
            <w:r>
              <w:rPr>
                <w:b w:val="0"/>
                <w:i w:val="0"/>
                <w:strike w:val="0"/>
              </w:rPr>
              <w:t xml:space="preserve"> K 1 commanded that the Board "shall cancel" the credit and "refund" the price upon any event after which the credit "can no longer be applied as authorized by subsection E" — and </w:t>
            </w:r>
            <w:r>
              <w:rPr>
                <w:b/>
                <w:i w:val="0"/>
                <w:strike w:val="0"/>
              </w:rPr>
              <w:t>retirement is such an event</w:t>
            </w:r>
            <w:r>
              <w:rPr>
                <w:b w:val="0"/>
                <w:i w:val="0"/>
                <w:strike w:val="0"/>
              </w:rPr>
              <w:t xml:space="preserve">, while the K 1 a trigger cannot fire for a member who retires early. Every successful purchaser was entitled to her money back on the day she retired, while keeping the unreduced allowance. Cost recovery would have been </w:t>
            </w:r>
            <w:r>
              <w:rPr>
                <w:b/>
                <w:i w:val="0"/>
                <w:strike w:val="0"/>
              </w:rPr>
              <w:t>zero</w:t>
            </w:r>
            <w:r>
              <w:rPr>
                <w:b w:val="0"/>
                <w:i w:val="0"/>
                <w:strike w:val="0"/>
              </w:rPr>
              <w:t xml:space="preserve"> in every profile.</w:t>
            </w:r>
          </w:p>
        </w:tc>
        <w:tc>
          <w:tcPr>
            <w:tcW w:type="dxa" w:w="2160"/>
          </w:tcPr>
          <w:p>
            <w:r>
              <w:rPr>
                <w:b/>
                <w:i w:val="0"/>
                <w:strike w:val="0"/>
              </w:rPr>
              <w:t>Blocker</w:t>
            </w:r>
            <w:r>
              <w:rPr>
                <w:b w:val="0"/>
                <w:i w:val="0"/>
                <w:strike w:val="0"/>
              </w:rPr>
              <w:t xml:space="preserve"> C-02</w:t>
            </w:r>
          </w:p>
        </w:tc>
        <w:tc>
          <w:tcPr>
            <w:tcW w:type="dxa" w:w="2160"/>
          </w:tcPr>
          <w:p>
            <w:r>
              <w:rPr>
                <w:b w:val="0"/>
                <w:i w:val="0"/>
                <w:strike w:val="0"/>
              </w:rPr>
              <w:t>bill § 51.1-142.4 K 1; note 12(b)</w:t>
            </w:r>
          </w:p>
        </w:tc>
      </w:tr>
      <w:tr>
        <w:tc>
          <w:tcPr>
            <w:tcW w:type="dxa" w:w="2160"/>
          </w:tcPr>
          <w:p>
            <w:r>
              <w:rPr>
                <w:b w:val="0"/>
                <w:i w:val="0"/>
                <w:strike w:val="0"/>
              </w:rPr>
              <w:t>3</w:t>
            </w:r>
          </w:p>
        </w:tc>
        <w:tc>
          <w:tcPr>
            <w:tcW w:type="dxa" w:w="2160"/>
          </w:tcPr>
          <w:p>
            <w:r>
              <w:rPr>
                <w:b/>
                <w:i w:val="0"/>
                <w:strike w:val="0"/>
              </w:rPr>
              <w:t>Continuity of service now required; termination of service is a refund trigger.</w:t>
            </w:r>
            <w:r>
              <w:rPr>
                <w:b w:val="0"/>
                <w:i w:val="0"/>
                <w:strike w:val="0"/>
              </w:rPr>
              <w:t xml:space="preserve"> The version 1.2 condition tested a status on one named calendar day, and the status is purchasable: resign at 44 without withdrawing contributions, remain a member under § 51.1-128, take any covered position for </w:t>
            </w:r>
            <w:r>
              <w:rPr>
                <w:b/>
                <w:i w:val="0"/>
                <w:strike w:val="0"/>
              </w:rPr>
              <w:t>one day</w:t>
            </w:r>
            <w:r>
              <w:rPr>
                <w:b w:val="0"/>
                <w:i w:val="0"/>
                <w:strike w:val="0"/>
              </w:rPr>
              <w:t xml:space="preserve"> at 50, and collect an unreduced allowance — roughly </w:t>
            </w:r>
            <w:r>
              <w:rPr>
                <w:b/>
                <w:i w:val="0"/>
                <w:strike w:val="0"/>
              </w:rPr>
              <w:t>15 years</w:t>
            </w:r>
            <w:r>
              <w:rPr>
                <w:b w:val="0"/>
                <w:i w:val="0"/>
                <w:strike w:val="0"/>
              </w:rPr>
              <w:t xml:space="preserve"> of acceleration for about $35,000, which the cost model never priced.</w:t>
            </w:r>
          </w:p>
        </w:tc>
        <w:tc>
          <w:tcPr>
            <w:tcW w:type="dxa" w:w="2160"/>
          </w:tcPr>
          <w:p>
            <w:r>
              <w:rPr>
                <w:b/>
                <w:i w:val="0"/>
                <w:strike w:val="0"/>
              </w:rPr>
              <w:t>Blocker</w:t>
            </w:r>
            <w:r>
              <w:rPr>
                <w:b w:val="0"/>
                <w:i w:val="0"/>
                <w:strike w:val="0"/>
              </w:rPr>
              <w:t xml:space="preserve"> C-03</w:t>
            </w:r>
          </w:p>
        </w:tc>
        <w:tc>
          <w:tcPr>
            <w:tcW w:type="dxa" w:w="2160"/>
          </w:tcPr>
          <w:p>
            <w:r>
              <w:rPr>
                <w:b w:val="0"/>
                <w:i w:val="0"/>
                <w:strike w:val="0"/>
              </w:rPr>
              <w:t>bill § 51.1-142.4 E 3, K 1 c; notes 7(a), 12(c)</w:t>
            </w:r>
          </w:p>
        </w:tc>
      </w:tr>
      <w:tr>
        <w:tc>
          <w:tcPr>
            <w:tcW w:type="dxa" w:w="2160"/>
          </w:tcPr>
          <w:p>
            <w:r>
              <w:rPr>
                <w:b w:val="0"/>
                <w:i w:val="0"/>
                <w:strike w:val="0"/>
              </w:rPr>
              <w:t>4</w:t>
            </w:r>
          </w:p>
        </w:tc>
        <w:tc>
          <w:tcPr>
            <w:tcW w:type="dxa" w:w="2160"/>
          </w:tcPr>
          <w:p>
            <w:r>
              <w:rPr>
                <w:b/>
                <w:i w:val="0"/>
                <w:strike w:val="0"/>
              </w:rPr>
              <w:t>"Closed and shrinking" withdrawn.</w:t>
            </w:r>
            <w:r>
              <w:rPr>
                <w:b w:val="0"/>
                <w:i w:val="0"/>
                <w:strike w:val="0"/>
              </w:rPr>
              <w:t xml:space="preserve"> The second sentence of § 51.1-169 A makes persons merely </w:t>
            </w:r>
            <w:r>
              <w:rPr>
                <w:b w:val="0"/>
                <w:i/>
                <w:strike w:val="0"/>
              </w:rPr>
              <w:t>eligible</w:t>
            </w:r>
            <w:r>
              <w:rPr>
                <w:b w:val="0"/>
                <w:i w:val="0"/>
                <w:strike w:val="0"/>
              </w:rPr>
              <w:t xml:space="preserve"> for the optional retirement plans under §§ 51.1-126.1, 51.1-126.3, 51.1-126.4 and 51.1-126.7 hybrid-ineligible, and each of those sections leaves a route into the VRS </w:t>
            </w:r>
            <w:r>
              <w:rPr>
                <w:b/>
                <w:i w:val="0"/>
                <w:strike w:val="0"/>
              </w:rPr>
              <w:t>defined benefit</w:t>
            </w:r>
            <w:r>
              <w:rPr>
                <w:b w:val="0"/>
                <w:i w:val="0"/>
                <w:strike w:val="0"/>
              </w:rPr>
              <w:t xml:space="preserve"> plan open in </w:t>
            </w:r>
            <w:r>
              <w:rPr>
                <w:b/>
                <w:i w:val="0"/>
                <w:strike w:val="0"/>
              </w:rPr>
              <w:t>every hire year</w:t>
            </w:r>
            <w:r>
              <w:rPr>
                <w:b w:val="0"/>
                <w:i w:val="0"/>
                <w:strike w:val="0"/>
              </w:rPr>
              <w:t xml:space="preserve">. New clause B 1(v) closes it by drafting, but the claim the package called "the single most useful fact for the money committees" is not established until VRS confirms headcount and administrative practice. Now </w:t>
            </w:r>
            <w:r>
              <w:rPr>
                <w:b/>
                <w:i w:val="0"/>
                <w:strike w:val="0"/>
              </w:rPr>
              <w:t>"substantially closing," with named exceptions under review.</w:t>
            </w:r>
          </w:p>
        </w:tc>
        <w:tc>
          <w:tcPr>
            <w:tcW w:type="dxa" w:w="2160"/>
          </w:tcPr>
          <w:p>
            <w:r>
              <w:rPr>
                <w:b w:val="0"/>
                <w:i w:val="0"/>
                <w:strike w:val="0"/>
              </w:rPr>
              <w:t>Material M-01</w:t>
            </w:r>
          </w:p>
        </w:tc>
        <w:tc>
          <w:tcPr>
            <w:tcW w:type="dxa" w:w="2160"/>
          </w:tcPr>
          <w:p>
            <w:r>
              <w:rPr>
                <w:b w:val="0"/>
                <w:i w:val="0"/>
                <w:strike w:val="0"/>
              </w:rPr>
              <w:t>bill B 1(v), J, notes 5, 12(d); README; both briefs; memo</w:t>
            </w:r>
          </w:p>
        </w:tc>
      </w:tr>
      <w:tr>
        <w:tc>
          <w:tcPr>
            <w:tcW w:type="dxa" w:w="2160"/>
          </w:tcPr>
          <w:p>
            <w:r>
              <w:rPr>
                <w:b w:val="0"/>
                <w:i w:val="0"/>
                <w:strike w:val="0"/>
              </w:rPr>
              <w:t>5</w:t>
            </w:r>
          </w:p>
        </w:tc>
        <w:tc>
          <w:tcPr>
            <w:tcW w:type="dxa" w:w="2160"/>
          </w:tcPr>
          <w:p>
            <w:r>
              <w:rPr>
                <w:b/>
                <w:i w:val="0"/>
                <w:strike w:val="0"/>
              </w:rPr>
              <w:t>10 U.S.C. § 12736 quotation corrected — and the question is now closed.</w:t>
            </w:r>
            <w:r>
              <w:rPr>
                <w:b w:val="0"/>
                <w:i w:val="0"/>
                <w:strike w:val="0"/>
              </w:rPr>
              <w:t xml:space="preserve"> Every prior version quoted the section as reading "under any other provision of law, </w:t>
            </w:r>
            <w:r>
              <w:rPr>
                <w:b/>
                <w:i w:val="0"/>
                <w:strike w:val="0"/>
              </w:rPr>
              <w:t>State or Federal</w:t>
            </w:r>
            <w:r>
              <w:rPr>
                <w:b w:val="0"/>
                <w:i w:val="0"/>
                <w:strike w:val="0"/>
              </w:rPr>
              <w:t xml:space="preserve">." </w:t>
            </w:r>
            <w:r>
              <w:rPr>
                <w:b/>
                <w:i w:val="0"/>
                <w:strike w:val="0"/>
              </w:rPr>
              <w:t>Those words are not in the statute</w:t>
            </w:r>
            <w:r>
              <w:rPr>
                <w:b w:val="0"/>
                <w:i w:val="0"/>
                <w:strike w:val="0"/>
              </w:rPr>
              <w:t>, and the inserted reference to State law was what made the preemption worry look sharp. The omitted closing proviso — "</w:t>
            </w:r>
            <w:r>
              <w:rPr>
                <w:b/>
                <w:i w:val="0"/>
                <w:strike w:val="0"/>
              </w:rPr>
              <w:t>if that service is otherwise properly credited under it</w:t>
            </w:r>
            <w:r>
              <w:rPr>
                <w:b w:val="0"/>
                <w:i w:val="0"/>
                <w:strike w:val="0"/>
              </w:rPr>
              <w:t xml:space="preserve">" — is the answer: § 12736 is an anti-exclusion rule, not a crediting mandate, and Virginia credits this service only on purchase. </w:t>
            </w:r>
            <w:r>
              <w:rPr>
                <w:b/>
                <w:i w:val="0"/>
                <w:strike w:val="0"/>
              </w:rPr>
              <w:t>§ 12736 does not preempt this bill.</w:t>
            </w:r>
          </w:p>
        </w:tc>
        <w:tc>
          <w:tcPr>
            <w:tcW w:type="dxa" w:w="2160"/>
          </w:tcPr>
          <w:p>
            <w:r>
              <w:rPr>
                <w:b w:val="0"/>
                <w:i w:val="0"/>
                <w:strike w:val="0"/>
              </w:rPr>
              <w:t>Material M-02</w:t>
            </w:r>
          </w:p>
        </w:tc>
        <w:tc>
          <w:tcPr>
            <w:tcW w:type="dxa" w:w="2160"/>
          </w:tcPr>
          <w:p>
            <w:r>
              <w:rPr>
                <w:b w:val="0"/>
                <w:i w:val="0"/>
                <w:strike w:val="0"/>
              </w:rPr>
              <w:t>bill note 8; memo Part 5.2</w:t>
            </w:r>
          </w:p>
        </w:tc>
      </w:tr>
      <w:tr>
        <w:tc>
          <w:tcPr>
            <w:tcW w:type="dxa" w:w="2160"/>
          </w:tcPr>
          <w:p>
            <w:r>
              <w:rPr>
                <w:b w:val="0"/>
                <w:i w:val="0"/>
                <w:strike w:val="0"/>
              </w:rPr>
              <w:t>6</w:t>
            </w:r>
          </w:p>
        </w:tc>
        <w:tc>
          <w:tcPr>
            <w:tcW w:type="dxa" w:w="2160"/>
          </w:tcPr>
          <w:p>
            <w:r>
              <w:rPr>
                <w:b/>
                <w:i w:val="0"/>
                <w:strike w:val="0"/>
              </w:rPr>
              <w:t>"Purchase of service contract" added to the § 51.1-124.3 amendment.</w:t>
            </w:r>
            <w:r>
              <w:rPr>
                <w:b w:val="0"/>
                <w:i w:val="0"/>
                <w:strike w:val="0"/>
              </w:rPr>
              <w:t xml:space="preserve"> The defined term reaches only § 51.1-142.2 purchases, and the bill used it seven times plus in an enactment clause for a contract to buy something the bill says is </w:t>
            </w:r>
            <w:r>
              <w:rPr>
                <w:b w:val="0"/>
                <w:i/>
                <w:strike w:val="0"/>
              </w:rPr>
              <w:t>not</w:t>
            </w:r>
            <w:r>
              <w:rPr>
                <w:b w:val="0"/>
                <w:i w:val="0"/>
                <w:strike w:val="0"/>
              </w:rPr>
              <w:t xml:space="preserve"> creditable service. Same failure mode as the "accumulated contributions" amendment, same fix.</w:t>
            </w:r>
          </w:p>
        </w:tc>
        <w:tc>
          <w:tcPr>
            <w:tcW w:type="dxa" w:w="2160"/>
          </w:tcPr>
          <w:p>
            <w:r>
              <w:rPr>
                <w:b w:val="0"/>
                <w:i w:val="0"/>
                <w:strike w:val="0"/>
              </w:rPr>
              <w:t>Material M-03</w:t>
            </w:r>
          </w:p>
        </w:tc>
        <w:tc>
          <w:tcPr>
            <w:tcW w:type="dxa" w:w="2160"/>
          </w:tcPr>
          <w:p>
            <w:r>
              <w:rPr>
                <w:b w:val="0"/>
                <w:i w:val="0"/>
                <w:strike w:val="0"/>
              </w:rPr>
              <w:t>bill § 51.1-124.3; note 12(e)</w:t>
            </w:r>
          </w:p>
        </w:tc>
      </w:tr>
      <w:tr>
        <w:tc>
          <w:tcPr>
            <w:tcW w:type="dxa" w:w="2160"/>
          </w:tcPr>
          <w:p>
            <w:r>
              <w:rPr>
                <w:b w:val="0"/>
                <w:i w:val="0"/>
                <w:strike w:val="0"/>
              </w:rPr>
              <w:t>7</w:t>
            </w:r>
          </w:p>
        </w:tc>
        <w:tc>
          <w:tcPr>
            <w:tcW w:type="dxa" w:w="2160"/>
          </w:tcPr>
          <w:p>
            <w:r>
              <w:rPr>
                <w:b/>
                <w:i w:val="0"/>
                <w:strike w:val="0"/>
              </w:rPr>
              <w:t>Subdivision C 2 d recast.</w:t>
            </w:r>
            <w:r>
              <w:rPr>
                <w:b w:val="0"/>
                <w:i w:val="0"/>
                <w:strike w:val="0"/>
              </w:rPr>
              <w:t xml:space="preserve"> Inside a "shall not exceed the </w:t>
            </w:r>
            <w:r>
              <w:rPr>
                <w:b/>
                <w:i w:val="0"/>
                <w:strike w:val="0"/>
              </w:rPr>
              <w:t>least</w:t>
            </w:r>
            <w:r>
              <w:rPr>
                <w:b w:val="0"/>
                <w:i w:val="0"/>
                <w:strike w:val="0"/>
              </w:rPr>
              <w:t xml:space="preserve"> of" list, "the amount that would advance the date" is satisfied by </w:t>
            </w:r>
            <w:r>
              <w:rPr>
                <w:b w:val="0"/>
                <w:i/>
                <w:strike w:val="0"/>
              </w:rPr>
              <w:t>any</w:t>
            </w:r>
            <w:r>
              <w:rPr>
                <w:b w:val="0"/>
                <w:i w:val="0"/>
                <w:strike w:val="0"/>
              </w:rPr>
              <w:t xml:space="preserve"> amount producing acceleration — so the compelled reading capped a typical purchase at </w:t>
            </w:r>
            <w:r>
              <w:rPr>
                <w:b/>
                <w:i w:val="0"/>
                <w:strike w:val="0"/>
              </w:rPr>
              <w:t>one month</w:t>
            </w:r>
            <w:r>
              <w:rPr>
                <w:b w:val="0"/>
                <w:i w:val="0"/>
                <w:strike w:val="0"/>
              </w:rPr>
              <w:t xml:space="preserve">. Now the </w:t>
            </w:r>
            <w:r>
              <w:rPr>
                <w:b/>
                <w:i w:val="0"/>
                <w:strike w:val="0"/>
              </w:rPr>
              <w:t>greatest</w:t>
            </w:r>
            <w:r>
              <w:rPr>
                <w:b w:val="0"/>
                <w:i w:val="0"/>
                <w:strike w:val="0"/>
              </w:rPr>
              <w:t xml:space="preserve"> amount beyond which no further advance occurs. The open-ended "service the member is </w:t>
            </w:r>
            <w:r>
              <w:rPr>
                <w:b/>
                <w:i w:val="0"/>
                <w:strike w:val="0"/>
              </w:rPr>
              <w:t>projected</w:t>
            </w:r>
            <w:r>
              <w:rPr>
                <w:b w:val="0"/>
                <w:i w:val="0"/>
                <w:strike w:val="0"/>
              </w:rPr>
              <w:t xml:space="preserve"> to perform" is replaced by a continuous-service convention, which also restores the definitely-determinable-benefits answer the memo relies on.</w:t>
            </w:r>
          </w:p>
        </w:tc>
        <w:tc>
          <w:tcPr>
            <w:tcW w:type="dxa" w:w="2160"/>
          </w:tcPr>
          <w:p>
            <w:r>
              <w:rPr>
                <w:b w:val="0"/>
                <w:i w:val="0"/>
                <w:strike w:val="0"/>
              </w:rPr>
              <w:t>Material M-07</w:t>
            </w:r>
          </w:p>
        </w:tc>
        <w:tc>
          <w:tcPr>
            <w:tcW w:type="dxa" w:w="2160"/>
          </w:tcPr>
          <w:p>
            <w:r>
              <w:rPr>
                <w:b w:val="0"/>
                <w:i w:val="0"/>
                <w:strike w:val="0"/>
              </w:rPr>
              <w:t>bill C 2 d; note 12(f)</w:t>
            </w:r>
          </w:p>
        </w:tc>
      </w:tr>
      <w:tr>
        <w:tc>
          <w:tcPr>
            <w:tcW w:type="dxa" w:w="2160"/>
          </w:tcPr>
          <w:p>
            <w:r>
              <w:rPr>
                <w:b w:val="0"/>
                <w:i w:val="0"/>
                <w:strike w:val="0"/>
              </w:rPr>
              <w:t>8</w:t>
            </w:r>
          </w:p>
        </w:tc>
        <w:tc>
          <w:tcPr>
            <w:tcW w:type="dxa" w:w="2160"/>
          </w:tcPr>
          <w:p>
            <w:r>
              <w:rPr>
                <w:b/>
                <w:i w:val="0"/>
                <w:strike w:val="0"/>
              </w:rPr>
              <w:t>Subdivision C 6 added</w:t>
            </w:r>
            <w:r>
              <w:rPr>
                <w:b w:val="0"/>
                <w:i w:val="0"/>
                <w:strike w:val="0"/>
              </w:rPr>
              <w:t xml:space="preserve"> fixing the member's B 2 / B 3 classification as of the purchase date — the whole deficit architecture turns on which pathway applies. </w:t>
            </w:r>
            <w:r>
              <w:rPr>
                <w:b/>
                <w:i w:val="0"/>
                <w:strike w:val="0"/>
              </w:rPr>
              <w:t>K 3 and new K 5</w:t>
            </w:r>
            <w:r>
              <w:rPr>
                <w:b w:val="0"/>
                <w:i w:val="0"/>
                <w:strike w:val="0"/>
              </w:rPr>
              <w:t xml:space="preserve"> deduct a refund from accumulated contributions (closing a double count) and give interest an accrual period, compounding convention and start date conformed to § 51.1-142.2 C.</w:t>
            </w:r>
          </w:p>
        </w:tc>
        <w:tc>
          <w:tcPr>
            <w:tcW w:type="dxa" w:w="2160"/>
          </w:tcPr>
          <w:p>
            <w:r>
              <w:rPr>
                <w:b w:val="0"/>
                <w:i w:val="0"/>
                <w:strike w:val="0"/>
              </w:rPr>
              <w:t>Material M-06, M-08, M-11</w:t>
            </w:r>
          </w:p>
        </w:tc>
        <w:tc>
          <w:tcPr>
            <w:tcW w:type="dxa" w:w="2160"/>
          </w:tcPr>
          <w:p>
            <w:r>
              <w:rPr>
                <w:b w:val="0"/>
                <w:i w:val="0"/>
                <w:strike w:val="0"/>
              </w:rPr>
              <w:t>bill C 6, K 3, K 5; note 12(g)–(h)</w:t>
            </w:r>
          </w:p>
        </w:tc>
      </w:tr>
      <w:tr>
        <w:tc>
          <w:tcPr>
            <w:tcW w:type="dxa" w:w="2160"/>
          </w:tcPr>
          <w:p>
            <w:r>
              <w:rPr>
                <w:b w:val="0"/>
                <w:i w:val="0"/>
                <w:strike w:val="0"/>
              </w:rPr>
              <w:t>9</w:t>
            </w:r>
          </w:p>
        </w:tc>
        <w:tc>
          <w:tcPr>
            <w:tcW w:type="dxa" w:w="2160"/>
          </w:tcPr>
          <w:p>
            <w:r>
              <w:rPr>
                <w:b/>
                <w:i w:val="0"/>
                <w:strike w:val="0"/>
              </w:rPr>
              <w:t>Two undisclosed member detriments now disclosed on the face of the bill.</w:t>
            </w:r>
            <w:r>
              <w:rPr>
                <w:b w:val="0"/>
                <w:i w:val="0"/>
                <w:strike w:val="0"/>
              </w:rPr>
              <w:t xml:space="preserve"> § 51.1-505 B measures the 25%-per-year group life reduction from </w:t>
            </w:r>
            <w:r>
              <w:rPr>
                <w:b/>
                <w:i w:val="0"/>
                <w:strike w:val="0"/>
              </w:rPr>
              <w:t>the date the employee is separated from service</w:t>
            </w:r>
            <w:r>
              <w:rPr>
                <w:b w:val="0"/>
                <w:i w:val="0"/>
                <w:strike w:val="0"/>
              </w:rPr>
              <w:t xml:space="preserve">, so an earlier retirement starts the step-down up to four years earlier — and subdivision F 11 does not reach it, because F 11 bars only </w:t>
            </w:r>
            <w:r>
              <w:rPr>
                <w:b w:val="0"/>
                <w:i/>
                <w:strike w:val="0"/>
              </w:rPr>
              <w:t>establishing</w:t>
            </w:r>
            <w:r>
              <w:rPr>
                <w:b w:val="0"/>
                <w:i w:val="0"/>
                <w:strike w:val="0"/>
              </w:rPr>
              <w:t xml:space="preserve"> or </w:t>
            </w:r>
            <w:r>
              <w:rPr>
                <w:b w:val="0"/>
                <w:i/>
                <w:strike w:val="0"/>
              </w:rPr>
              <w:t>increasing</w:t>
            </w:r>
            <w:r>
              <w:rPr>
                <w:b w:val="0"/>
                <w:i w:val="0"/>
                <w:strike w:val="0"/>
              </w:rPr>
              <w:t xml:space="preserve"> group life, not a decrease. Retiring also ends § 51.1-162 B death-in-service coverage. The memo's unintended-effects table had both as "No — protected by definition," which is the same error pattern already corrected twice for HIC and COLA: it describes what the credit </w:t>
            </w:r>
            <w:r>
              <w:rPr>
                <w:b w:val="0"/>
                <w:i/>
                <w:strike w:val="0"/>
              </w:rPr>
              <w:t>is</w:t>
            </w:r>
            <w:r>
              <w:rPr>
                <w:b w:val="0"/>
                <w:i w:val="0"/>
                <w:strike w:val="0"/>
              </w:rPr>
              <w:t xml:space="preserve">, not what an earlier </w:t>
            </w:r>
            <w:r>
              <w:rPr>
                <w:b/>
                <w:i w:val="0"/>
                <w:strike w:val="0"/>
              </w:rPr>
              <w:t>separation date</w:t>
            </w:r>
            <w:r>
              <w:rPr>
                <w:b w:val="0"/>
                <w:i w:val="0"/>
                <w:strike w:val="0"/>
              </w:rPr>
              <w:t xml:space="preserve"> does.</w:t>
            </w:r>
          </w:p>
        </w:tc>
        <w:tc>
          <w:tcPr>
            <w:tcW w:type="dxa" w:w="2160"/>
          </w:tcPr>
          <w:p>
            <w:r>
              <w:rPr>
                <w:b w:val="0"/>
                <w:i w:val="0"/>
                <w:strike w:val="0"/>
              </w:rPr>
              <w:t>Material M-14</w:t>
            </w:r>
          </w:p>
        </w:tc>
        <w:tc>
          <w:tcPr>
            <w:tcW w:type="dxa" w:w="2160"/>
          </w:tcPr>
          <w:p>
            <w:r>
              <w:rPr>
                <w:b w:val="0"/>
                <w:i w:val="0"/>
                <w:strike w:val="0"/>
              </w:rPr>
              <w:t>bill I 2(viii); memo Part 4</w:t>
            </w:r>
          </w:p>
        </w:tc>
      </w:tr>
      <w:tr>
        <w:tc>
          <w:tcPr>
            <w:tcW w:type="dxa" w:w="2160"/>
          </w:tcPr>
          <w:p>
            <w:r>
              <w:rPr>
                <w:b w:val="0"/>
                <w:i w:val="0"/>
                <w:strike w:val="0"/>
              </w:rPr>
              <w:t>10</w:t>
            </w:r>
          </w:p>
        </w:tc>
        <w:tc>
          <w:tcPr>
            <w:tcW w:type="dxa" w:w="2160"/>
          </w:tcPr>
          <w:p>
            <w:r>
              <w:rPr>
                <w:b/>
                <w:i w:val="0"/>
                <w:strike w:val="0"/>
              </w:rPr>
              <w:t>$341,065 relabeled, for two independent reasons found by two different reviewers.</w:t>
            </w:r>
            <w:r>
              <w:rPr>
                <w:b w:val="0"/>
                <w:i w:val="0"/>
                <w:strike w:val="0"/>
              </w:rPr>
              <w:t xml:space="preserve"> It is not a "frozen-service" scenario — the model's own baseline for that row is a </w:t>
            </w:r>
            <w:r>
              <w:rPr>
                <w:b/>
                <w:i w:val="0"/>
                <w:strike w:val="0"/>
              </w:rPr>
              <w:t>same-date</w:t>
            </w:r>
            <w:r>
              <w:rPr>
                <w:b w:val="0"/>
                <w:i w:val="0"/>
                <w:strike w:val="0"/>
              </w:rPr>
              <w:t xml:space="preserve"> § 51.1-153 D reduced-allowance counterfactual, and frozen service is the deferred concept the model expressly does not price. And it is not a </w:t>
            </w:r>
            <w:r>
              <w:rPr>
                <w:b/>
                <w:i w:val="0"/>
                <w:strike w:val="0"/>
              </w:rPr>
              <w:t>maximum</w:t>
            </w:r>
            <w:r>
              <w:rPr>
                <w:b w:val="0"/>
                <w:i w:val="0"/>
                <w:strike w:val="0"/>
              </w:rPr>
              <w:t xml:space="preserve">: it is the highest of </w:t>
            </w:r>
            <w:r>
              <w:rPr>
                <w:b/>
                <w:i w:val="0"/>
                <w:strike w:val="0"/>
              </w:rPr>
              <w:t>seven published profiles</w:t>
            </w:r>
            <w:r>
              <w:rPr>
                <w:b w:val="0"/>
                <w:i w:val="0"/>
                <w:strike w:val="0"/>
              </w:rPr>
              <w:t xml:space="preserve">, while the underlying 1,025-cell grid reaches about </w:t>
            </w:r>
            <w:r>
              <w:rPr>
                <w:b/>
                <w:i w:val="0"/>
                <w:strike w:val="0"/>
              </w:rPr>
              <w:t>$419,000</w:t>
            </w:r>
            <w:r>
              <w:rPr>
                <w:b w:val="0"/>
                <w:i w:val="0"/>
                <w:strike w:val="0"/>
              </w:rPr>
              <w:t xml:space="preserve"> and exceeds $341,065 in all ten projection years. The package was understating its own most favourable case against a figure a reviewer can falsify with one query.</w:t>
            </w:r>
          </w:p>
        </w:tc>
        <w:tc>
          <w:tcPr>
            <w:tcW w:type="dxa" w:w="2160"/>
          </w:tcPr>
          <w:p>
            <w:r>
              <w:rPr>
                <w:b w:val="0"/>
                <w:i w:val="0"/>
                <w:strike w:val="0"/>
              </w:rPr>
              <w:t>Material M-12 / F-3</w:t>
            </w:r>
          </w:p>
        </w:tc>
        <w:tc>
          <w:tcPr>
            <w:tcW w:type="dxa" w:w="2160"/>
          </w:tcPr>
          <w:p>
            <w:r>
              <w:rPr>
                <w:b w:val="0"/>
                <w:i w:val="0"/>
                <w:strike w:val="0"/>
              </w:rPr>
              <w:t>README; both briefs; memo; fiscal memo; bill; explorer</w:t>
            </w:r>
          </w:p>
        </w:tc>
      </w:tr>
      <w:tr>
        <w:tc>
          <w:tcPr>
            <w:tcW w:type="dxa" w:w="2160"/>
          </w:tcPr>
          <w:p>
            <w:r>
              <w:rPr>
                <w:b w:val="0"/>
                <w:i w:val="0"/>
                <w:strike w:val="0"/>
              </w:rPr>
              <w:t>11</w:t>
            </w:r>
          </w:p>
        </w:tc>
        <w:tc>
          <w:tcPr>
            <w:tcW w:type="dxa" w:w="2160"/>
          </w:tcPr>
          <w:p>
            <w:r>
              <w:rPr>
                <w:b/>
                <w:i w:val="0"/>
                <w:strike w:val="0"/>
              </w:rPr>
              <w:t>Tax risk re-sized.</w:t>
            </w:r>
            <w:r>
              <w:rPr>
                <w:b w:val="0"/>
                <w:i w:val="0"/>
                <w:strike w:val="0"/>
              </w:rPr>
              <w:t xml:space="preserve"> The live exposure is the </w:t>
            </w:r>
            <w:r>
              <w:rPr>
                <w:b/>
                <w:i w:val="0"/>
                <w:strike w:val="0"/>
              </w:rPr>
              <w:t>loss of 403(b)/457(b) trustee-to-trustee funding</w:t>
            </w:r>
            <w:r>
              <w:rPr>
                <w:b w:val="0"/>
                <w:i w:val="0"/>
                <w:strike w:val="0"/>
              </w:rPr>
              <w:t xml:space="preserve">, which determines whether a $42,500 purchase is reachable by anyone without that much in after-tax cash. § 415(c) binds only where compensation is at or below the purchase price, and is an edge case. Clause (iii) of § 415(n)(3)(A) </w:t>
            </w:r>
            <w:r>
              <w:rPr>
                <w:b/>
                <w:i w:val="0"/>
                <w:strike w:val="0"/>
              </w:rPr>
              <w:t>is</w:t>
            </w:r>
            <w:r>
              <w:rPr>
                <w:b w:val="0"/>
                <w:i w:val="0"/>
                <w:strike w:val="0"/>
              </w:rPr>
              <w:t xml:space="preserve"> satisfied and the model proves it; clause (i) is the one that fails.</w:t>
            </w:r>
          </w:p>
        </w:tc>
        <w:tc>
          <w:tcPr>
            <w:tcW w:type="dxa" w:w="2160"/>
          </w:tcPr>
          <w:p>
            <w:r>
              <w:rPr>
                <w:b w:val="0"/>
                <w:i w:val="0"/>
                <w:strike w:val="0"/>
              </w:rPr>
              <w:t>Material M-15</w:t>
            </w:r>
          </w:p>
        </w:tc>
        <w:tc>
          <w:tcPr>
            <w:tcW w:type="dxa" w:w="2160"/>
          </w:tcPr>
          <w:p>
            <w:r>
              <w:rPr>
                <w:b w:val="0"/>
                <w:i w:val="0"/>
                <w:strike w:val="0"/>
              </w:rPr>
              <w:t>bill note 8; memo Part 5.3</w:t>
            </w:r>
          </w:p>
        </w:tc>
      </w:tr>
      <w:tr>
        <w:tc>
          <w:tcPr>
            <w:tcW w:type="dxa" w:w="2160"/>
          </w:tcPr>
          <w:p>
            <w:r>
              <w:rPr>
                <w:b w:val="0"/>
                <w:i w:val="0"/>
                <w:strike w:val="0"/>
              </w:rPr>
              <w:t>12</w:t>
            </w:r>
          </w:p>
        </w:tc>
        <w:tc>
          <w:tcPr>
            <w:tcW w:type="dxa" w:w="2160"/>
          </w:tcPr>
          <w:p>
            <w:r>
              <w:rPr>
                <w:b/>
                <w:i w:val="0"/>
                <w:strike w:val="0"/>
              </w:rPr>
              <w:t>The carve-out's value corrected.</w:t>
            </w:r>
            <w:r>
              <w:rPr>
                <w:b w:val="0"/>
                <w:i w:val="0"/>
                <w:strike w:val="0"/>
              </w:rPr>
              <w:t xml:space="preserve"> Move 1 — placement in a new section — is what keeps the credit outside "creditable service," which by its own terms reaches only prior service under § 51.1-142.2 plus membership service. "Neither alone is safe" was wrong, and the </w:t>
            </w:r>
            <w:r>
              <w:rPr>
                <w:b/>
                <w:i w:val="0"/>
                <w:strike w:val="0"/>
              </w:rPr>
              <w:t>5.7×</w:t>
            </w:r>
            <w:r>
              <w:rPr>
                <w:b w:val="0"/>
                <w:i w:val="0"/>
                <w:strike w:val="0"/>
              </w:rPr>
              <w:t xml:space="preserve"> figure prices a bill drafted </w:t>
            </w:r>
            <w:r>
              <w:rPr>
                <w:b w:val="0"/>
                <w:i/>
                <w:strike w:val="0"/>
              </w:rPr>
              <w:t>inside</w:t>
            </w:r>
            <w:r>
              <w:rPr>
                <w:b w:val="0"/>
                <w:i w:val="0"/>
                <w:strike w:val="0"/>
              </w:rPr>
              <w:t xml:space="preserve"> § 51.1-142.2, i.e. the bill move 1 avoids. The carve-out is litigation insurance; retain it, but do not call it load-bearing.</w:t>
            </w:r>
          </w:p>
        </w:tc>
        <w:tc>
          <w:tcPr>
            <w:tcW w:type="dxa" w:w="2160"/>
          </w:tcPr>
          <w:p>
            <w:r>
              <w:rPr>
                <w:b w:val="0"/>
                <w:i w:val="0"/>
                <w:strike w:val="0"/>
              </w:rPr>
              <w:t>Sign-off disagreement</w:t>
            </w:r>
          </w:p>
        </w:tc>
        <w:tc>
          <w:tcPr>
            <w:tcW w:type="dxa" w:w="2160"/>
          </w:tcPr>
          <w:p>
            <w:r>
              <w:rPr>
                <w:b w:val="0"/>
                <w:i w:val="0"/>
                <w:strike w:val="0"/>
              </w:rPr>
              <w:t>README; memo Part 5.1</w:t>
            </w:r>
          </w:p>
        </w:tc>
      </w:tr>
      <w:tr>
        <w:tc>
          <w:tcPr>
            <w:tcW w:type="dxa" w:w="2160"/>
          </w:tcPr>
          <w:p>
            <w:r>
              <w:rPr>
                <w:b w:val="0"/>
                <w:i w:val="0"/>
                <w:strike w:val="0"/>
              </w:rPr>
              <w:t>13</w:t>
            </w:r>
          </w:p>
        </w:tc>
        <w:tc>
          <w:tcPr>
            <w:tcW w:type="dxa" w:w="2160"/>
          </w:tcPr>
          <w:p>
            <w:r>
              <w:rPr>
                <w:b/>
                <w:i w:val="0"/>
                <w:strike w:val="0"/>
              </w:rPr>
              <w:t>Target session moved to 2028, and the Council is now asked to do something.</w:t>
            </w:r>
            <w:r>
              <w:rPr>
                <w:b w:val="0"/>
                <w:i w:val="0"/>
                <w:strike w:val="0"/>
              </w:rPr>
              <w:t xml:space="preserve"> The Council's gates — Legislative Committee in </w:t>
            </w:r>
            <w:r>
              <w:rPr>
                <w:b/>
                <w:i w:val="0"/>
                <w:strike w:val="0"/>
              </w:rPr>
              <w:t>late April</w:t>
            </w:r>
            <w:r>
              <w:rPr>
                <w:b w:val="0"/>
                <w:i w:val="0"/>
                <w:strike w:val="0"/>
              </w:rPr>
              <w:t xml:space="preserve">, full Council vote in </w:t>
            </w:r>
            <w:r>
              <w:rPr>
                <w:b/>
                <w:i w:val="0"/>
                <w:strike w:val="0"/>
              </w:rPr>
              <w:t>mid-June</w:t>
            </w:r>
            <w:r>
              <w:rPr>
                <w:b w:val="0"/>
                <w:i w:val="0"/>
                <w:strike w:val="0"/>
              </w:rPr>
              <w:t xml:space="preserve"> — closed for the 2027 session in June 2026. The briefs were addressed to the Council but contained no Council adoption step. Both now carry the gates, the date, and the fact that a 2027 introduction is available only on a patron's own initiative outside the Council package.</w:t>
            </w:r>
          </w:p>
        </w:tc>
        <w:tc>
          <w:tcPr>
            <w:tcW w:type="dxa" w:w="2160"/>
          </w:tcPr>
          <w:p>
            <w:r>
              <w:rPr>
                <w:b/>
                <w:i w:val="0"/>
                <w:strike w:val="0"/>
              </w:rPr>
              <w:t>Blocker</w:t>
            </w:r>
            <w:r>
              <w:rPr>
                <w:b w:val="0"/>
                <w:i w:val="0"/>
                <w:strike w:val="0"/>
              </w:rPr>
              <w:t xml:space="preserve"> S-01</w:t>
            </w:r>
          </w:p>
        </w:tc>
        <w:tc>
          <w:tcPr>
            <w:tcW w:type="dxa" w:w="2160"/>
          </w:tcPr>
          <w:p>
            <w:r>
              <w:rPr>
                <w:b w:val="0"/>
                <w:i w:val="0"/>
                <w:strike w:val="0"/>
              </w:rPr>
              <w:t>both briefs; README target line</w:t>
            </w:r>
          </w:p>
        </w:tc>
      </w:tr>
      <w:tr>
        <w:tc>
          <w:tcPr>
            <w:tcW w:type="dxa" w:w="2160"/>
          </w:tcPr>
          <w:p>
            <w:r>
              <w:rPr>
                <w:b w:val="0"/>
                <w:i w:val="0"/>
                <w:strike w:val="0"/>
              </w:rPr>
              <w:t>14</w:t>
            </w:r>
          </w:p>
        </w:tc>
        <w:tc>
          <w:tcPr>
            <w:tcW w:type="dxa" w:w="2160"/>
          </w:tcPr>
          <w:p>
            <w:r>
              <w:rPr>
                <w:b/>
                <w:i w:val="0"/>
                <w:strike w:val="0"/>
              </w:rPr>
              <w:t>An absolute claim the package's own tool could falsify.</w:t>
            </w:r>
            <w:r>
              <w:rPr>
                <w:b w:val="0"/>
                <w:i w:val="0"/>
                <w:strike w:val="0"/>
              </w:rPr>
              <w:t xml:space="preserve"> The two-pager said "</w:t>
            </w:r>
            <w:r>
              <w:rPr>
                <w:b/>
                <w:i w:val="0"/>
                <w:strike w:val="0"/>
              </w:rPr>
              <w:t>No sensitivity makes this a saving.</w:t>
            </w:r>
            <w:r>
              <w:rPr>
                <w:b w:val="0"/>
                <w:i w:val="0"/>
                <w:strike w:val="0"/>
              </w:rPr>
              <w:t>" Two clicks on the companion explorer — take-up to its floor, the behavioural assumption to its maximum — produce a negative impact. Now bounded to the model's documented range (φ 0.25–0.75), with the sign change above φ ≈ 0.84 stated.</w:t>
            </w:r>
          </w:p>
        </w:tc>
        <w:tc>
          <w:tcPr>
            <w:tcW w:type="dxa" w:w="2160"/>
          </w:tcPr>
          <w:p>
            <w:r>
              <w:rPr>
                <w:b/>
                <w:i w:val="0"/>
                <w:strike w:val="0"/>
              </w:rPr>
              <w:t>Blocker</w:t>
            </w:r>
            <w:r>
              <w:rPr>
                <w:b w:val="0"/>
                <w:i w:val="0"/>
                <w:strike w:val="0"/>
              </w:rPr>
              <w:t xml:space="preserve"> S-02</w:t>
            </w:r>
          </w:p>
        </w:tc>
        <w:tc>
          <w:tcPr>
            <w:tcW w:type="dxa" w:w="2160"/>
          </w:tcPr>
          <w:p>
            <w:r>
              <w:rPr>
                <w:b w:val="0"/>
                <w:i w:val="0"/>
                <w:strike w:val="0"/>
              </w:rPr>
              <w:t>two-page brief §4</w:t>
            </w:r>
          </w:p>
        </w:tc>
      </w:tr>
      <w:tr>
        <w:tc>
          <w:tcPr>
            <w:tcW w:type="dxa" w:w="2160"/>
          </w:tcPr>
          <w:p>
            <w:r>
              <w:rPr>
                <w:b w:val="0"/>
                <w:i w:val="0"/>
                <w:strike w:val="0"/>
              </w:rPr>
              <w:t>15</w:t>
            </w:r>
          </w:p>
        </w:tc>
        <w:tc>
          <w:tcPr>
            <w:tcW w:type="dxa" w:w="2160"/>
          </w:tcPr>
          <w:p>
            <w:r>
              <w:rPr>
                <w:b/>
                <w:i w:val="0"/>
                <w:strike w:val="0"/>
              </w:rPr>
              <w:t>The committee path is named for the first time.</w:t>
            </w:r>
            <w:r>
              <w:rPr>
                <w:b w:val="0"/>
                <w:i w:val="0"/>
                <w:strike w:val="0"/>
              </w:rPr>
              <w:t xml:space="preserve"> This bill goes to </w:t>
            </w:r>
            <w:r>
              <w:rPr>
                <w:b/>
                <w:i w:val="0"/>
                <w:strike w:val="0"/>
              </w:rPr>
              <w:t>House Appropriations</w:t>
            </w:r>
            <w:r>
              <w:rPr>
                <w:b w:val="0"/>
                <w:i w:val="0"/>
                <w:strike w:val="0"/>
              </w:rPr>
              <w:t xml:space="preserve"> and its </w:t>
            </w:r>
            <w:r>
              <w:rPr>
                <w:b/>
                <w:i w:val="0"/>
                <w:strike w:val="0"/>
              </w:rPr>
              <w:t>Compensation and Retirement Subcommittee</w:t>
            </w:r>
            <w:r>
              <w:rPr>
                <w:b w:val="0"/>
                <w:i w:val="0"/>
                <w:strike w:val="0"/>
              </w:rPr>
              <w:t xml:space="preserve">, where the closest analogue died </w:t>
            </w:r>
            <w:r>
              <w:rPr>
                <w:b/>
                <w:i w:val="0"/>
                <w:strike w:val="0"/>
              </w:rPr>
              <w:t>8-Y 0-N</w:t>
            </w:r>
            <w:r>
              <w:rPr>
                <w:b w:val="0"/>
                <w:i w:val="0"/>
                <w:strike w:val="0"/>
              </w:rPr>
              <w:t>. Patron selection should follow from that, and the package had never identified it.</w:t>
            </w:r>
          </w:p>
        </w:tc>
        <w:tc>
          <w:tcPr>
            <w:tcW w:type="dxa" w:w="2160"/>
          </w:tcPr>
          <w:p>
            <w:r>
              <w:rPr>
                <w:b w:val="0"/>
                <w:i w:val="0"/>
                <w:strike w:val="0"/>
              </w:rPr>
              <w:t>High S-07</w:t>
            </w:r>
          </w:p>
        </w:tc>
        <w:tc>
          <w:tcPr>
            <w:tcW w:type="dxa" w:w="2160"/>
          </w:tcPr>
          <w:p>
            <w:r>
              <w:rPr>
                <w:b w:val="0"/>
                <w:i w:val="0"/>
                <w:strike w:val="0"/>
              </w:rPr>
              <w:t>both briefs</w:t>
            </w:r>
          </w:p>
        </w:tc>
      </w:tr>
    </w:tbl>
    <w:p/>
    <w:p>
      <w:r>
        <w:rPr>
          <w:b/>
          <w:i w:val="0"/>
          <w:strike w:val="0"/>
        </w:rPr>
        <w:t>Findings deliberately not implemented in version 1.3, each with a reason.</w:t>
      </w:r>
      <w:r>
        <w:rPr>
          <w:b w:val="0"/>
          <w:i w:val="0"/>
          <w:strike w:val="0"/>
        </w:rPr>
        <w:t xml:space="preserve"> </w:t>
      </w:r>
      <w:r>
        <w:rPr>
          <w:b/>
          <w:i w:val="0"/>
          <w:strike w:val="0"/>
        </w:rPr>
        <w:t>M-10</w:t>
      </w:r>
      <w:r>
        <w:rPr>
          <w:b w:val="0"/>
          <w:i w:val="0"/>
          <w:strike w:val="0"/>
        </w:rPr>
        <w:t xml:space="preserve"> — the draft is not in introducible form, because Va. Const. art. IV, § 12 requires that amended sections be "reenacted and published at length"; this is a DLS production task and is now a pre-introduction checklist item. </w:t>
      </w:r>
      <w:r>
        <w:rPr>
          <w:b/>
          <w:i w:val="0"/>
          <w:strike w:val="0"/>
        </w:rPr>
        <w:t>M-04</w:t>
      </w:r>
      <w:r>
        <w:rPr>
          <w:b w:val="0"/>
          <w:i w:val="0"/>
          <w:strike w:val="0"/>
        </w:rPr>
        <w:t xml:space="preserve"> (whether new subdivision C 1 c is the right instrument to make § 51.1-153 B 2 </w:t>
      </w:r>
      <w:r>
        <w:rPr>
          <w:b w:val="0"/>
          <w:i/>
          <w:strike w:val="0"/>
        </w:rPr>
        <w:t>apply</w:t>
      </w:r>
      <w:r>
        <w:rPr>
          <w:b w:val="0"/>
          <w:i w:val="0"/>
          <w:strike w:val="0"/>
        </w:rPr>
        <w:t xml:space="preserve"> to a B 4 public-safety member) and </w:t>
      </w:r>
      <w:r>
        <w:rPr>
          <w:b/>
          <w:i w:val="0"/>
          <w:strike w:val="0"/>
        </w:rPr>
        <w:t>M-05</w:t>
      </w:r>
      <w:r>
        <w:rPr>
          <w:b w:val="0"/>
          <w:i w:val="0"/>
          <w:strike w:val="0"/>
        </w:rPr>
        <w:t xml:space="preserve"> (reenacting § 51.1-155 effective July 1, 2028 collides with the July 1, 2028 sunset of its subdivisions B 3 and B 4) need a drafting decision with DLS. </w:t>
      </w:r>
      <w:r>
        <w:rPr>
          <w:b/>
          <w:i w:val="0"/>
          <w:strike w:val="0"/>
        </w:rPr>
        <w:t>M-13</w:t>
      </w:r>
      <w:r>
        <w:rPr>
          <w:b w:val="0"/>
          <w:i w:val="0"/>
          <w:strike w:val="0"/>
        </w:rPr>
        <w:t xml:space="preserve"> (the model's one-at-a-time sensitivities treat take-up and the behavioural assumption as independent; compounding three adverse variants reaches 1.16 bp, outside the disclosed range) is a fiscal-model item for the refresh. The twelve minor bill findings and the remaining stakeholder findings are tracked in a follow-up issue. </w:t>
      </w:r>
      <w:r>
        <w:rPr>
          <w:b/>
          <w:i w:val="0"/>
          <w:strike w:val="0"/>
        </w:rPr>
        <w:t>Explorer remediation is tracked in MOO-267</w:t>
      </w:r>
      <w:r>
        <w:rPr>
          <w:b w:val="0"/>
          <w:i w:val="0"/>
          <w:strike w:val="0"/>
        </w:rPr>
        <w:t xml:space="preserve"> — the four explorer blockers are </w:t>
      </w:r>
      <w:r>
        <w:rPr>
          <w:b w:val="0"/>
          <w:i/>
          <w:strike w:val="0"/>
        </w:rPr>
        <w:t>not</w:t>
      </w:r>
      <w:r>
        <w:rPr>
          <w:b w:val="0"/>
          <w:i w:val="0"/>
          <w:strike w:val="0"/>
        </w:rPr>
        <w:t xml:space="preserve"> fixed in this commit.</w:t>
      </w:r>
    </w:p>
    <w:p>
      <w:r>
        <w:rPr>
          <w:b/>
          <w:i w:val="0"/>
          <w:strike w:val="0"/>
        </w:rPr>
        <w:t>All of the above are closed in version 1.5 except the fiscal-model refresh — see the version 1.5 change log immediately below.</w:t>
      </w:r>
    </w:p>
    <w:p>
      <w:pPr>
        <w:jc w:val="center"/>
      </w:pPr>
      <w:r>
        <w:rPr>
          <w:color w:val="909090"/>
          <w:sz w:val="18"/>
        </w:rPr>
        <w:t>* * *</w:t>
      </w:r>
    </w:p>
    <w:p>
      <w:pPr>
        <w:pStyle w:val="Heading2"/>
      </w:pPr>
      <w:r>
        <w:rPr>
          <w:b w:val="0"/>
          <w:i w:val="0"/>
          <w:strike w:val="0"/>
        </w:rPr>
        <w:t>Version 1.5 change log — Review Closeout (October 20, 2026)</w:t>
      </w:r>
    </w:p>
    <w:p>
      <w:r>
        <w:rPr>
          <w:b/>
          <w:i w:val="0"/>
          <w:strike w:val="0"/>
        </w:rPr>
        <w:t>Version 1.4 closed the findings that were blocking. This closes the remainder</w:t>
      </w:r>
      <w:r>
        <w:rPr>
          <w:b w:val="0"/>
          <w:i w:val="0"/>
          <w:strike w:val="0"/>
        </w:rPr>
        <w:t xml:space="preserve">: the two bill findings that needed a drafting decision, the constitutional-form finding, all twelve minor bill findings, the two evidence findings, and the seven stakeholder findings that are not drafting problems. Operative bill text moves to </w:t>
      </w:r>
      <w:r>
        <w:rPr>
          <w:b/>
          <w:i w:val="0"/>
          <w:strike w:val="0"/>
        </w:rPr>
        <w:t>version 1.4</w:t>
      </w:r>
      <w:r>
        <w:rPr>
          <w:b w:val="0"/>
          <w:i w:val="0"/>
          <w:strike w:val="0"/>
        </w:rPr>
        <w:t xml:space="preserve">; the package to </w:t>
      </w:r>
      <w:r>
        <w:rPr>
          <w:b/>
          <w:i w:val="0"/>
          <w:strike w:val="0"/>
        </w:rPr>
        <w:t>version 1.5</w:t>
      </w:r>
      <w:r>
        <w:rPr>
          <w:b w:val="0"/>
          <w:i w:val="0"/>
          <w:strike w:val="0"/>
        </w:rPr>
        <w:t xml:space="preserve">. </w:t>
      </w:r>
      <w:r>
        <w:rPr>
          <w:b/>
          <w:i w:val="0"/>
          <w:strike w:val="0"/>
        </w:rPr>
        <w:t>Three further defects were found in this pass and are recorded as L-01, L-02 and L-03.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Change</w:t>
            </w:r>
          </w:p>
        </w:tc>
        <w:tc>
          <w:tcPr>
            <w:tcW w:type="dxa" w:w="2160"/>
          </w:tcPr>
          <w:p>
            <w:r>
              <w:rPr>
                <w:b/>
                <w:i w:val="0"/>
                <w:strike w:val="0"/>
              </w:rPr>
              <w:t>Finding</w:t>
            </w:r>
          </w:p>
        </w:tc>
        <w:tc>
          <w:tcPr>
            <w:tcW w:type="dxa" w:w="2160"/>
          </w:tcPr>
          <w:p>
            <w:r>
              <w:rPr>
                <w:b/>
                <w:i w:val="0"/>
                <w:strike w:val="0"/>
              </w:rPr>
              <w:t>Where</w:t>
            </w:r>
          </w:p>
        </w:tc>
      </w:tr>
      <w:tr>
        <w:tc>
          <w:tcPr>
            <w:tcW w:type="dxa" w:w="2160"/>
          </w:tcPr>
          <w:p>
            <w:r>
              <w:rPr>
                <w:b w:val="0"/>
                <w:i w:val="0"/>
                <w:strike w:val="0"/>
              </w:rPr>
              <w:t>1</w:t>
            </w:r>
          </w:p>
        </w:tc>
        <w:tc>
          <w:tcPr>
            <w:tcW w:type="dxa" w:w="2160"/>
          </w:tcPr>
          <w:p>
            <w:r>
              <w:rPr>
                <w:b/>
                <w:i w:val="0"/>
                <w:strike w:val="0"/>
              </w:rPr>
              <w:t>DECISION 13 — § 51.1-153 B 4 and § 51.1-155 A 3 amended to add subdivision B 2 to the resolution purposes list.</w:t>
            </w:r>
            <w:r>
              <w:rPr>
                <w:b w:val="0"/>
                <w:i w:val="0"/>
                <w:strike w:val="0"/>
              </w:rPr>
              <w:t xml:space="preserve"> New subdivision C 1 c fixed which deficit formula a pre-2014 B 4 public-safety member uses, but it operates only "for purposes of this section" and the right to retire comes from § 51.1-153 — so on the available second reading the member could buy the credit and then not be able to retire under subdivision B 2 at all. </w:t>
            </w:r>
            <w:r>
              <w:rPr>
                <w:b/>
                <w:i w:val="0"/>
                <w:strike w:val="0"/>
              </w:rPr>
              <w:t>For that class the bill may have been inoperative.</w:t>
            </w:r>
            <w:r>
              <w:rPr>
                <w:b w:val="0"/>
                <w:i w:val="0"/>
                <w:strike w:val="0"/>
              </w:rPr>
              <w:t xml:space="preserve"> The fix is in § 51.1-153, which the bill already amends. The alternative — dropping the pre-2014 class from the bill — was considered and rejected. </w:t>
            </w:r>
            <w:r>
              <w:rPr>
                <w:b/>
                <w:i w:val="0"/>
                <w:strike w:val="0"/>
              </w:rPr>
              <w:t>This is the one change that reaches beyond the bill's veteran object, and its fiscal effect is a VRS question</w:t>
            </w:r>
            <w:r>
              <w:rPr>
                <w:b w:val="0"/>
                <w:i w:val="0"/>
                <w:strike w:val="0"/>
              </w:rPr>
              <w:t>: declaratory and free if the Board already administers the first reading, an expansion if it does not.</w:t>
            </w:r>
          </w:p>
        </w:tc>
        <w:tc>
          <w:tcPr>
            <w:tcW w:type="dxa" w:w="2160"/>
          </w:tcPr>
          <w:p>
            <w:r>
              <w:rPr>
                <w:b w:val="0"/>
                <w:i w:val="0"/>
                <w:strike w:val="0"/>
              </w:rPr>
              <w:t xml:space="preserve">Material </w:t>
            </w:r>
            <w:r>
              <w:rPr>
                <w:b/>
                <w:i w:val="0"/>
                <w:strike w:val="0"/>
              </w:rPr>
              <w:t>M-04</w:t>
            </w:r>
          </w:p>
        </w:tc>
        <w:tc>
          <w:tcPr>
            <w:tcW w:type="dxa" w:w="2160"/>
          </w:tcPr>
          <w:p>
            <w:r>
              <w:rPr>
                <w:b w:val="0"/>
                <w:i w:val="0"/>
                <w:strike w:val="0"/>
              </w:rPr>
              <w:t>bill § 51.1-153 B 4, § 51.1-155 A 3 and their notes; bill note 17(a)</w:t>
            </w:r>
          </w:p>
        </w:tc>
      </w:tr>
      <w:tr>
        <w:tc>
          <w:tcPr>
            <w:tcW w:type="dxa" w:w="2160"/>
          </w:tcPr>
          <w:p>
            <w:r>
              <w:rPr>
                <w:b w:val="0"/>
                <w:i w:val="0"/>
                <w:strike w:val="0"/>
              </w:rPr>
              <w:t>2</w:t>
            </w:r>
          </w:p>
        </w:tc>
        <w:tc>
          <w:tcPr>
            <w:tcW w:type="dxa" w:w="2160"/>
          </w:tcPr>
          <w:p>
            <w:r>
              <w:rPr>
                <w:b/>
                <w:i w:val="0"/>
                <w:strike w:val="0"/>
              </w:rPr>
              <w:t>DECISION 14 — effective date moved to July 1, 2029.</w:t>
            </w:r>
            <w:r>
              <w:rPr>
                <w:b w:val="0"/>
                <w:i w:val="0"/>
                <w:strike w:val="0"/>
              </w:rPr>
              <w:t xml:space="preserve"> Subdivisions B 3 and B 4 of § 51.1-155 each expire </w:t>
            </w:r>
            <w:r>
              <w:rPr>
                <w:b/>
                <w:i w:val="0"/>
                <w:strike w:val="0"/>
              </w:rPr>
              <w:t>July 1, 2028</w:t>
            </w:r>
            <w:r>
              <w:rPr>
                <w:b w:val="0"/>
                <w:i w:val="0"/>
                <w:strike w:val="0"/>
              </w:rPr>
              <w:t xml:space="preserve">, which was the act's effective date; reenacting a section at length on the day two of its subdivisions expire is capable of being read as reviving them. Moving to July 1, 2029 removes the collision, and as a by-product converts a nominal four-month lead time on a 2028-session bill into a </w:t>
            </w:r>
            <w:r>
              <w:rPr>
                <w:b/>
                <w:i w:val="0"/>
                <w:strike w:val="0"/>
              </w:rPr>
              <w:t>full year</w:t>
            </w:r>
            <w:r>
              <w:rPr>
                <w:b w:val="0"/>
                <w:i w:val="0"/>
                <w:strike w:val="0"/>
              </w:rPr>
              <w:t xml:space="preserve"> for the separate-ledger build. In the introducible-form text those subdivisions are shown </w:t>
            </w:r>
            <w:r>
              <w:rPr>
                <w:b/>
                <w:i w:val="0"/>
                <w:strike w:val="0"/>
              </w:rPr>
              <w:t>struck</w:t>
            </w:r>
            <w:r>
              <w:rPr>
                <w:b w:val="0"/>
                <w:i w:val="0"/>
                <w:strike w:val="0"/>
              </w:rPr>
              <w:t>, with a note that the strike recognises the sunset rather than effecting a repeal.</w:t>
            </w:r>
          </w:p>
        </w:tc>
        <w:tc>
          <w:tcPr>
            <w:tcW w:type="dxa" w:w="2160"/>
          </w:tcPr>
          <w:p>
            <w:r>
              <w:rPr>
                <w:b w:val="0"/>
                <w:i w:val="0"/>
                <w:strike w:val="0"/>
              </w:rPr>
              <w:t xml:space="preserve">Material </w:t>
            </w:r>
            <w:r>
              <w:rPr>
                <w:b/>
                <w:i w:val="0"/>
                <w:strike w:val="0"/>
              </w:rPr>
              <w:t>M-05</w:t>
            </w:r>
          </w:p>
        </w:tc>
        <w:tc>
          <w:tcPr>
            <w:tcW w:type="dxa" w:w="2160"/>
          </w:tcPr>
          <w:p>
            <w:r>
              <w:rPr>
                <w:b w:val="0"/>
                <w:i w:val="0"/>
                <w:strike w:val="0"/>
              </w:rPr>
              <w:t xml:space="preserve">bill enactment clause 2, note 13; </w:t>
            </w:r>
            <w:r>
              <w:rPr>
                <w:rFonts w:ascii="Consolas" w:hAnsi="Consolas"/>
                <w:b w:val="0"/>
                <w:i w:val="0"/>
                <w:strike w:val="0"/>
                <w:color w:val="303030"/>
                <w:sz w:val="19"/>
              </w:rPr>
              <w:t>12</w:t>
            </w:r>
            <w:r>
              <w:rPr>
                <w:b w:val="0"/>
                <w:i w:val="0"/>
                <w:strike w:val="0"/>
              </w:rPr>
              <w:t xml:space="preserve"> § 51.1-155</w:t>
            </w:r>
          </w:p>
        </w:tc>
      </w:tr>
      <w:tr>
        <w:tc>
          <w:tcPr>
            <w:tcW w:type="dxa" w:w="2160"/>
          </w:tcPr>
          <w:p>
            <w:r>
              <w:rPr>
                <w:b w:val="0"/>
                <w:i w:val="0"/>
                <w:strike w:val="0"/>
              </w:rPr>
              <w:t>3</w:t>
            </w:r>
          </w:p>
        </w:tc>
        <w:tc>
          <w:tcPr>
            <w:tcW w:type="dxa" w:w="2160"/>
          </w:tcPr>
          <w:p>
            <w:r>
              <w:rPr>
                <w:b/>
                <w:i w:val="0"/>
                <w:strike w:val="0"/>
              </w:rPr>
              <w:t>The bill now exists in introducible form.</w:t>
            </w:r>
            <w:r>
              <w:rPr>
                <w:b w:val="0"/>
                <w:i w:val="0"/>
                <w:strike w:val="0"/>
              </w:rPr>
              <w:t xml:space="preserve"> All nine sections set out at length in </w:t>
            </w:r>
            <w:r>
              <w:rPr>
                <w:b/>
                <w:i w:val="0"/>
                <w:strike w:val="0"/>
              </w:rPr>
              <w:t>`12-bill-introducible-form.docx`</w:t>
            </w:r>
            <w:r>
              <w:rPr>
                <w:b w:val="0"/>
                <w:i w:val="0"/>
                <w:strike w:val="0"/>
              </w:rPr>
              <w:t>, generated from the official text of each section retrieved October 20, 2026, with each insertion required to match its section exactly once so a silent drift between the draft's quoted fragments and the live statute would have failed rather than passed.</w:t>
            </w:r>
          </w:p>
        </w:tc>
        <w:tc>
          <w:tcPr>
            <w:tcW w:type="dxa" w:w="2160"/>
          </w:tcPr>
          <w:p>
            <w:r>
              <w:rPr>
                <w:b w:val="0"/>
                <w:i w:val="0"/>
                <w:strike w:val="0"/>
              </w:rPr>
              <w:t xml:space="preserve">Material </w:t>
            </w:r>
            <w:r>
              <w:rPr>
                <w:b/>
                <w:i w:val="0"/>
                <w:strike w:val="0"/>
              </w:rPr>
              <w:t>M-10</w:t>
            </w:r>
          </w:p>
        </w:tc>
        <w:tc>
          <w:tcPr>
            <w:tcW w:type="dxa" w:w="2160"/>
          </w:tcPr>
          <w:p>
            <w:r>
              <w:rPr>
                <w:b w:val="0"/>
                <w:i w:val="0"/>
                <w:strike w:val="0"/>
              </w:rPr>
              <w:t xml:space="preserve">new document </w:t>
            </w:r>
            <w:r>
              <w:rPr>
                <w:rFonts w:ascii="Consolas" w:hAnsi="Consolas"/>
                <w:b w:val="0"/>
                <w:i w:val="0"/>
                <w:strike w:val="0"/>
                <w:color w:val="303030"/>
                <w:sz w:val="19"/>
              </w:rPr>
              <w:t>12</w:t>
            </w:r>
          </w:p>
        </w:tc>
      </w:tr>
      <w:tr>
        <w:tc>
          <w:tcPr>
            <w:tcW w:type="dxa" w:w="2160"/>
          </w:tcPr>
          <w:p>
            <w:r>
              <w:rPr>
                <w:b w:val="0"/>
                <w:i w:val="0"/>
                <w:strike w:val="0"/>
              </w:rPr>
              <w:t>4</w:t>
            </w:r>
          </w:p>
        </w:tc>
        <w:tc>
          <w:tcPr>
            <w:tcW w:type="dxa" w:w="2160"/>
          </w:tcPr>
          <w:p>
            <w:r>
              <w:rPr>
                <w:b/>
                <w:i w:val="0"/>
                <w:strike w:val="0"/>
              </w:rPr>
              <w:t>All twelve minor bill findings closed.</w:t>
            </w:r>
            <w:r>
              <w:rPr>
                <w:b w:val="0"/>
                <w:i w:val="0"/>
                <w:strike w:val="0"/>
              </w:rPr>
              <w:t xml:space="preserve"> Struck the surplus cost sentence in § 51.1-142.2 B (m-01) and the redundant § 2.2-3204 C sentence (m-08); reworded subdivision B 4's "except" clause, which described a disqualification that does not exist (m-02); renumbered subsection E, whose in-service condition did not complete its own lead-in (m-03); struck the stray "and" after subdivision B 5 (m-04); struck "while he remains a member" from K 1 e, which collided with § 51.1-128(iv) dormancy (m-06); added "transitional severance benefit" to the title, since § 2.2-3204 is amended (m-09); corrected the note on the word "service," which </w:t>
            </w:r>
            <w:r>
              <w:rPr>
                <w:b/>
                <w:i w:val="0"/>
                <w:strike w:val="0"/>
              </w:rPr>
              <w:t>is</w:t>
            </w:r>
            <w:r>
              <w:rPr>
                <w:b w:val="0"/>
                <w:i w:val="0"/>
                <w:strike w:val="0"/>
              </w:rPr>
              <w:t xml:space="preserve"> a defined term (m-10); reconciled the amendment counts (m-11); recorded why F 9's §§ 51.1-1157 and 51.1-1165 references can never operate (m-07) and why subdivision B 6 is retained (m-04, second half); routed the art. X, § 11 point to the memorandum (m-12).</w:t>
            </w:r>
          </w:p>
        </w:tc>
        <w:tc>
          <w:tcPr>
            <w:tcW w:type="dxa" w:w="2160"/>
          </w:tcPr>
          <w:p>
            <w:r>
              <w:rPr>
                <w:b/>
                <w:i w:val="0"/>
                <w:strike w:val="0"/>
              </w:rPr>
              <w:t>m-01 … m-12</w:t>
            </w:r>
          </w:p>
        </w:tc>
        <w:tc>
          <w:tcPr>
            <w:tcW w:type="dxa" w:w="2160"/>
          </w:tcPr>
          <w:p>
            <w:r>
              <w:rPr>
                <w:b w:val="0"/>
                <w:i w:val="0"/>
                <w:strike w:val="0"/>
              </w:rPr>
              <w:t>bill notes 15–17; memo Part 5.1</w:t>
            </w:r>
          </w:p>
        </w:tc>
      </w:tr>
      <w:tr>
        <w:tc>
          <w:tcPr>
            <w:tcW w:type="dxa" w:w="2160"/>
          </w:tcPr>
          <w:p>
            <w:r>
              <w:rPr>
                <w:b w:val="0"/>
                <w:i w:val="0"/>
                <w:strike w:val="0"/>
              </w:rPr>
              <w:t>5</w:t>
            </w:r>
          </w:p>
        </w:tc>
        <w:tc>
          <w:tcPr>
            <w:tcW w:type="dxa" w:w="2160"/>
          </w:tcPr>
          <w:p>
            <w:r>
              <w:rPr>
                <w:b/>
                <w:i w:val="0"/>
                <w:strike w:val="0"/>
              </w:rPr>
              <w:t>Three new defects found in this pass.</w:t>
            </w:r>
            <w:r>
              <w:rPr>
                <w:b w:val="0"/>
                <w:i w:val="0"/>
                <w:strike w:val="0"/>
              </w:rPr>
              <w:t xml:space="preserve"> </w:t>
            </w:r>
            <w:r>
              <w:rPr>
                <w:b/>
                <w:i w:val="0"/>
                <w:strike w:val="0"/>
              </w:rPr>
              <w:t>L-01:</w:t>
            </w:r>
            <w:r>
              <w:rPr>
                <w:b w:val="0"/>
                <w:i w:val="0"/>
                <w:strike w:val="0"/>
              </w:rPr>
              <w:t xml:space="preserve"> enactment clause 3 required a Board report by </w:t>
            </w:r>
            <w:r>
              <w:rPr>
                <w:b/>
                <w:i w:val="0"/>
                <w:strike w:val="0"/>
              </w:rPr>
              <w:t>December 1, 2027</w:t>
            </w:r>
            <w:r>
              <w:rPr>
                <w:b w:val="0"/>
                <w:i w:val="0"/>
                <w:strike w:val="0"/>
              </w:rPr>
              <w:t xml:space="preserve"> in a bill headed for the 2028 session, and clause 2 delayed every provision of the act — including clause 3 — to July 1, 2028, so the deadline was in the past before the duty could arise. Clause 3 is now excepted from the delayed date and the deadline moves to December 1, 2028. </w:t>
            </w:r>
            <w:r>
              <w:rPr>
                <w:b/>
                <w:i w:val="0"/>
                <w:strike w:val="0"/>
              </w:rPr>
              <w:t>L-02:</w:t>
            </w:r>
            <w:r>
              <w:rPr>
                <w:b w:val="0"/>
                <w:i w:val="0"/>
                <w:strike w:val="0"/>
              </w:rPr>
              <w:t xml:space="preserve"> § 2.2-3204's catchline is "</w:t>
            </w:r>
            <w:r>
              <w:rPr>
                <w:b/>
                <w:i w:val="0"/>
                <w:strike w:val="0"/>
              </w:rPr>
              <w:t>Retirement program</w:t>
            </w:r>
            <w:r>
              <w:rPr>
                <w:b w:val="0"/>
                <w:i w:val="0"/>
                <w:strike w:val="0"/>
              </w:rPr>
              <w:t>," not "Eligibility for transitional severance benefit; payment of benefit; retirement," which is § 2.2-</w:t>
            </w:r>
            <w:r>
              <w:rPr>
                <w:b/>
                <w:i w:val="0"/>
                <w:strike w:val="0"/>
              </w:rPr>
              <w:t>3203</w:t>
            </w:r>
            <w:r>
              <w:rPr>
                <w:b w:val="0"/>
                <w:i w:val="0"/>
                <w:strike w:val="0"/>
              </w:rPr>
              <w:t xml:space="preserve">. </w:t>
            </w:r>
            <w:r>
              <w:rPr>
                <w:b/>
                <w:i w:val="0"/>
                <w:strike w:val="0"/>
              </w:rPr>
              <w:t>L-03:</w:t>
            </w:r>
            <w:r>
              <w:rPr>
                <w:b w:val="0"/>
                <w:i w:val="0"/>
                <w:strike w:val="0"/>
              </w:rPr>
              <w:t xml:space="preserve"> enactment clause 3(viii) cited "subdivision B 3 of § 51.1-142.2" for the 24-month window, which is stated in an unnumbered paragraph of </w:t>
            </w:r>
            <w:r>
              <w:rPr>
                <w:b/>
                <w:i w:val="0"/>
                <w:strike w:val="0"/>
              </w:rPr>
              <w:t>subsection B</w:t>
            </w:r>
            <w:r>
              <w:rPr>
                <w:b w:val="0"/>
                <w:i w:val="0"/>
                <w:strike w:val="0"/>
              </w:rPr>
              <w:t>.</w:t>
            </w:r>
          </w:p>
        </w:tc>
        <w:tc>
          <w:tcPr>
            <w:tcW w:type="dxa" w:w="2160"/>
          </w:tcPr>
          <w:p>
            <w:r>
              <w:rPr>
                <w:b w:val="0"/>
                <w:i w:val="0"/>
                <w:strike w:val="0"/>
              </w:rPr>
              <w:t>New</w:t>
            </w:r>
          </w:p>
        </w:tc>
        <w:tc>
          <w:tcPr>
            <w:tcW w:type="dxa" w:w="2160"/>
          </w:tcPr>
          <w:p>
            <w:r>
              <w:rPr>
                <w:b w:val="0"/>
                <w:i w:val="0"/>
                <w:strike w:val="0"/>
              </w:rPr>
              <w:t xml:space="preserve">bill notes 13 and 17; </w:t>
            </w:r>
            <w:r>
              <w:rPr>
                <w:rFonts w:ascii="Consolas" w:hAnsi="Consolas"/>
                <w:b w:val="0"/>
                <w:i w:val="0"/>
                <w:strike w:val="0"/>
                <w:color w:val="303030"/>
                <w:sz w:val="19"/>
              </w:rPr>
              <w:t>12</w:t>
            </w:r>
          </w:p>
        </w:tc>
      </w:tr>
      <w:tr>
        <w:tc>
          <w:tcPr>
            <w:tcW w:type="dxa" w:w="2160"/>
          </w:tcPr>
          <w:p>
            <w:r>
              <w:rPr>
                <w:b w:val="0"/>
                <w:i w:val="0"/>
                <w:strike w:val="0"/>
              </w:rPr>
              <w:t>6</w:t>
            </w:r>
          </w:p>
        </w:tc>
        <w:tc>
          <w:tcPr>
            <w:tcW w:type="dxa" w:w="2160"/>
          </w:tcPr>
          <w:p>
            <w:r>
              <w:rPr>
                <w:b/>
                <w:i w:val="0"/>
                <w:strike w:val="0"/>
              </w:rPr>
              <w:t>The one-at-a-time sensitivity design is now disclosed, and the compound adverse case is published.</w:t>
            </w:r>
            <w:r>
              <w:rPr>
                <w:b w:val="0"/>
                <w:i w:val="0"/>
                <w:strike w:val="0"/>
              </w:rPr>
              <w:t xml:space="preserve"> T5 varies one driver at a time, and take-up (ASM-19) and the behavioural mix φ (ASM-22) are </w:t>
            </w:r>
            <w:r>
              <w:rPr>
                <w:b/>
                <w:i w:val="0"/>
                <w:strike w:val="0"/>
              </w:rPr>
              <w:t>inversely correlated by the model's own logic</w:t>
            </w:r>
            <w:r>
              <w:rPr>
                <w:b w:val="0"/>
                <w:i w:val="0"/>
                <w:strike w:val="0"/>
              </w:rPr>
              <w:t xml:space="preserve"> — a member who would have worked on to unreduced eligibility overpays, so high take-up implies low φ. A compound adverse case (high population funnel + φ = 0.25 + 30% take-up) gives </w:t>
            </w:r>
            <w:r>
              <w:rPr>
                <w:b/>
                <w:i w:val="0"/>
                <w:strike w:val="0"/>
              </w:rPr>
              <w:t>1.16 bp and $43.79M</w:t>
            </w:r>
            <w:r>
              <w:rPr>
                <w:b w:val="0"/>
                <w:i w:val="0"/>
                <w:strike w:val="0"/>
              </w:rPr>
              <w:t xml:space="preserve"> aggregate, and </w:t>
            </w:r>
            <w:r>
              <w:rPr>
                <w:b/>
                <w:i w:val="0"/>
                <w:strike w:val="0"/>
              </w:rPr>
              <w:t>1.38 bp on the state plan</w:t>
            </w:r>
            <w:r>
              <w:rPr>
                <w:b w:val="0"/>
                <w:i w:val="0"/>
                <w:strike w:val="0"/>
              </w:rPr>
              <w:t xml:space="preserve"> against the single-driver single-plan maximum of 0.84 bp. </w:t>
            </w:r>
            <w:r>
              <w:rPr>
                <w:b/>
                <w:i w:val="0"/>
                <w:strike w:val="0"/>
              </w:rPr>
              <w:t>Added to `run_model.py` as a published T5 row and reproduced by re-running the model.</w:t>
            </w:r>
            <w:r>
              <w:rPr>
                <w:b w:val="0"/>
                <w:i w:val="0"/>
                <w:strike w:val="0"/>
              </w:rPr>
              <w:t xml:space="preserve"> Every statement of the 0.05–0.44 bp range now reads "on one-at-a-time excursions."</w:t>
            </w:r>
          </w:p>
        </w:tc>
        <w:tc>
          <w:tcPr>
            <w:tcW w:type="dxa" w:w="2160"/>
          </w:tcPr>
          <w:p>
            <w:r>
              <w:rPr>
                <w:b w:val="0"/>
                <w:i w:val="0"/>
                <w:strike w:val="0"/>
              </w:rPr>
              <w:t xml:space="preserve">Material </w:t>
            </w:r>
            <w:r>
              <w:rPr>
                <w:b/>
                <w:i w:val="0"/>
                <w:strike w:val="0"/>
              </w:rPr>
              <w:t>M-13</w:t>
            </w:r>
          </w:p>
        </w:tc>
        <w:tc>
          <w:tcPr>
            <w:tcW w:type="dxa" w:w="2160"/>
          </w:tcPr>
          <w:p>
            <w:r>
              <w:rPr>
                <w:rFonts w:ascii="Consolas" w:hAnsi="Consolas"/>
                <w:b w:val="0"/>
                <w:i w:val="0"/>
                <w:strike w:val="0"/>
                <w:color w:val="303030"/>
                <w:sz w:val="19"/>
              </w:rPr>
              <w:t>fiscal-model/run_model.py</w:t>
            </w:r>
            <w:r>
              <w:rPr>
                <w:b w:val="0"/>
                <w:i w:val="0"/>
                <w:strike w:val="0"/>
              </w:rPr>
              <w:t xml:space="preserve">, </w:t>
            </w:r>
            <w:r>
              <w:rPr>
                <w:rFonts w:ascii="Consolas" w:hAnsi="Consolas"/>
                <w:b w:val="0"/>
                <w:i w:val="0"/>
                <w:strike w:val="0"/>
                <w:color w:val="303030"/>
                <w:sz w:val="19"/>
              </w:rPr>
              <w:t>out/T5-sensitivity.csv</w:t>
            </w:r>
            <w:r>
              <w:rPr>
                <w:b w:val="0"/>
                <w:i w:val="0"/>
                <w:strike w:val="0"/>
              </w:rPr>
              <w:t>; fiscal memo §§ 1, 7.3, 13; memo Part 5.1</w:t>
            </w:r>
          </w:p>
        </w:tc>
      </w:tr>
      <w:tr>
        <w:tc>
          <w:tcPr>
            <w:tcW w:type="dxa" w:w="2160"/>
          </w:tcPr>
          <w:p>
            <w:r>
              <w:rPr>
                <w:b w:val="0"/>
                <w:i w:val="0"/>
                <w:strike w:val="0"/>
              </w:rPr>
              <w:t>7</w:t>
            </w:r>
          </w:p>
        </w:tc>
        <w:tc>
          <w:tcPr>
            <w:tcW w:type="dxa" w:w="2160"/>
          </w:tcPr>
          <w:p>
            <w:r>
              <w:rPr>
                <w:b/>
                <w:i w:val="0"/>
                <w:strike w:val="0"/>
              </w:rPr>
              <w:t>The four questions for tax counsel are now the engagement deliverable</w:t>
            </w:r>
            <w:r>
              <w:rPr>
                <w:b w:val="0"/>
                <w:i w:val="0"/>
                <w:strike w:val="0"/>
              </w:rPr>
              <w:t xml:space="preserve">, at memorandum </w:t>
            </w:r>
            <w:r>
              <w:rPr>
                <w:b/>
                <w:i w:val="0"/>
                <w:strike w:val="0"/>
              </w:rPr>
              <w:t>Part 6.3</w:t>
            </w:r>
            <w:r>
              <w:rPr>
                <w:b w:val="0"/>
                <w:i w:val="0"/>
                <w:strike w:val="0"/>
              </w:rPr>
              <w:t xml:space="preserve">, replacing the prose framing in Part 5.3 — which also reorders the three consequences so the </w:t>
            </w:r>
            <w:r>
              <w:rPr>
                <w:b/>
                <w:i w:val="0"/>
                <w:strike w:val="0"/>
              </w:rPr>
              <w:t>403(b)/457(b) funding loss leads</w:t>
            </w:r>
            <w:r>
              <w:rPr>
                <w:b w:val="0"/>
                <w:i w:val="0"/>
                <w:strike w:val="0"/>
              </w:rPr>
              <w:t xml:space="preserve"> and § 415(c) is labelled the edge case it is, and records that clause (iii) of § 415(n)(3)(A) </w:t>
            </w:r>
            <w:r>
              <w:rPr>
                <w:b/>
                <w:i w:val="0"/>
                <w:strike w:val="0"/>
              </w:rPr>
              <w:t>is</w:t>
            </w:r>
            <w:r>
              <w:rPr>
                <w:b w:val="0"/>
                <w:i w:val="0"/>
                <w:strike w:val="0"/>
              </w:rPr>
              <w:t xml:space="preserve"> satisfied, a point in the bill's favour the package had not made.</w:t>
            </w:r>
          </w:p>
        </w:tc>
        <w:tc>
          <w:tcPr>
            <w:tcW w:type="dxa" w:w="2160"/>
          </w:tcPr>
          <w:p>
            <w:r>
              <w:rPr>
                <w:b w:val="0"/>
                <w:i w:val="0"/>
                <w:strike w:val="0"/>
              </w:rPr>
              <w:t xml:space="preserve">Material </w:t>
            </w:r>
            <w:r>
              <w:rPr>
                <w:b/>
                <w:i w:val="0"/>
                <w:strike w:val="0"/>
              </w:rPr>
              <w:t>M-15</w:t>
            </w:r>
          </w:p>
        </w:tc>
        <w:tc>
          <w:tcPr>
            <w:tcW w:type="dxa" w:w="2160"/>
          </w:tcPr>
          <w:p>
            <w:r>
              <w:rPr>
                <w:b w:val="0"/>
                <w:i w:val="0"/>
                <w:strike w:val="0"/>
              </w:rPr>
              <w:t>memo Parts 5.3 and 6.3; bill note 8</w:t>
            </w:r>
          </w:p>
        </w:tc>
      </w:tr>
      <w:tr>
        <w:tc>
          <w:tcPr>
            <w:tcW w:type="dxa" w:w="2160"/>
          </w:tcPr>
          <w:p>
            <w:r>
              <w:rPr>
                <w:b w:val="0"/>
                <w:i w:val="0"/>
                <w:strike w:val="0"/>
              </w:rPr>
              <w:t>8</w:t>
            </w:r>
          </w:p>
        </w:tc>
        <w:tc>
          <w:tcPr>
            <w:tcW w:type="dxa" w:w="2160"/>
          </w:tcPr>
          <w:p>
            <w:r>
              <w:rPr>
                <w:b/>
                <w:i w:val="0"/>
                <w:strike w:val="0"/>
              </w:rPr>
              <w:t>Seven stakeholder findings answered in a new document, `13-council-engagement-answers.docx`.</w:t>
            </w:r>
            <w:r>
              <w:rPr>
                <w:b w:val="0"/>
                <w:i w:val="0"/>
                <w:strike w:val="0"/>
              </w:rPr>
              <w:t xml:space="preserve"> These are things that get </w:t>
            </w:r>
            <w:r>
              <w:rPr>
                <w:b/>
                <w:i w:val="0"/>
                <w:strike w:val="0"/>
              </w:rPr>
              <w:t>said in the room</w:t>
            </w:r>
            <w:r>
              <w:rPr>
                <w:b w:val="0"/>
                <w:i w:val="0"/>
                <w:strike w:val="0"/>
              </w:rPr>
              <w:t xml:space="preserve"> and cannot be fixed in the bill: the Council's and the Board's leadership are substantially the career retirees the bill excludes (</w:t>
            </w:r>
            <w:r>
              <w:rPr>
                <w:b/>
                <w:i w:val="0"/>
                <w:strike w:val="0"/>
              </w:rPr>
              <w:t>S-04</w:t>
            </w:r>
            <w:r>
              <w:rPr>
                <w:b w:val="0"/>
                <w:i w:val="0"/>
                <w:strike w:val="0"/>
              </w:rPr>
              <w:t>); the DVS Commissioner's documented adoption test — "investing in transitioning service members whose needs are very different than older retirees" — is adverse, and the answer is to concede it rather than claim a strategic-plan hook (</w:t>
            </w:r>
            <w:r>
              <w:rPr>
                <w:b/>
                <w:i w:val="0"/>
                <w:strike w:val="0"/>
              </w:rPr>
              <w:t>S-05</w:t>
            </w:r>
            <w:r>
              <w:rPr>
                <w:b w:val="0"/>
                <w:i w:val="0"/>
                <w:strike w:val="0"/>
              </w:rPr>
              <w:t xml:space="preserve">); </w:t>
            </w:r>
            <w:r>
              <w:rPr>
                <w:b/>
                <w:i w:val="0"/>
                <w:strike w:val="0"/>
              </w:rPr>
              <w:t>§ 2.2-2682 C</w:t>
            </w:r>
            <w:r>
              <w:rPr>
                <w:b w:val="0"/>
                <w:i w:val="0"/>
                <w:strike w:val="0"/>
              </w:rPr>
              <w:t xml:space="preserve"> ("shall not impose unreasonable burdens or costs in connection with requests of agencies") is a statutory objection available inside the Council (</w:t>
            </w:r>
            <w:r>
              <w:rPr>
                <w:b/>
                <w:i w:val="0"/>
                <w:strike w:val="0"/>
              </w:rPr>
              <w:t>S-06</w:t>
            </w:r>
            <w:r>
              <w:rPr>
                <w:b w:val="0"/>
                <w:i w:val="0"/>
                <w:strike w:val="0"/>
              </w:rPr>
              <w:t xml:space="preserve">); the venue is a </w:t>
            </w:r>
            <w:r>
              <w:rPr>
                <w:b/>
                <w:i w:val="0"/>
                <w:strike w:val="0"/>
              </w:rPr>
              <w:t>seven-member subcommittee</w:t>
            </w:r>
            <w:r>
              <w:rPr>
                <w:b w:val="0"/>
                <w:i w:val="0"/>
                <w:strike w:val="0"/>
              </w:rPr>
              <w:t xml:space="preserve"> and the patron shortlist follows from that (</w:t>
            </w:r>
            <w:r>
              <w:rPr>
                <w:b/>
                <w:i w:val="0"/>
                <w:strike w:val="0"/>
              </w:rPr>
              <w:t>S-07, S-08</w:t>
            </w:r>
            <w:r>
              <w:rPr>
                <w:b w:val="0"/>
                <w:i w:val="0"/>
                <w:strike w:val="0"/>
              </w:rPr>
              <w:t>); "closed and shrinking" needs an answer for a 2026-hire veteran (</w:t>
            </w:r>
            <w:r>
              <w:rPr>
                <w:b/>
                <w:i w:val="0"/>
                <w:strike w:val="0"/>
              </w:rPr>
              <w:t>S-09</w:t>
            </w:r>
            <w:r>
              <w:rPr>
                <w:b w:val="0"/>
                <w:i w:val="0"/>
                <w:strike w:val="0"/>
              </w:rPr>
              <w:t>); three Council member organisations represent the Guard and Reserve population the § 12736 question is about, and one of them sits on the Legislative Committee (</w:t>
            </w:r>
            <w:r>
              <w:rPr>
                <w:b/>
                <w:i w:val="0"/>
                <w:strike w:val="0"/>
              </w:rPr>
              <w:t>S-10</w:t>
            </w:r>
            <w:r>
              <w:rPr>
                <w:b w:val="0"/>
                <w:i w:val="0"/>
                <w:strike w:val="0"/>
              </w:rPr>
              <w:t xml:space="preserve">); and the </w:t>
            </w:r>
            <w:r>
              <w:rPr>
                <w:b/>
                <w:i w:val="0"/>
                <w:strike w:val="0"/>
              </w:rPr>
              <w:t>18%</w:t>
            </w:r>
            <w:r>
              <w:rPr>
                <w:b w:val="0"/>
                <w:i w:val="0"/>
                <w:strike w:val="0"/>
              </w:rPr>
              <w:t xml:space="preserve"> retired-pay exclusion share is an assumption with no source (</w:t>
            </w:r>
            <w:r>
              <w:rPr>
                <w:b/>
                <w:i w:val="0"/>
                <w:strike w:val="0"/>
              </w:rPr>
              <w:t>S-17</w:t>
            </w:r>
            <w:r>
              <w:rPr>
                <w:b w:val="0"/>
                <w:i w:val="0"/>
                <w:strike w:val="0"/>
              </w:rPr>
              <w:t>).</w:t>
            </w:r>
          </w:p>
        </w:tc>
        <w:tc>
          <w:tcPr>
            <w:tcW w:type="dxa" w:w="2160"/>
          </w:tcPr>
          <w:p>
            <w:r>
              <w:rPr>
                <w:b w:val="0"/>
                <w:i w:val="0"/>
                <w:strike w:val="0"/>
              </w:rPr>
              <w:t>S-04 … S-17</w:t>
            </w:r>
          </w:p>
        </w:tc>
        <w:tc>
          <w:tcPr>
            <w:tcW w:type="dxa" w:w="2160"/>
          </w:tcPr>
          <w:p>
            <w:r>
              <w:rPr>
                <w:b w:val="0"/>
                <w:i w:val="0"/>
                <w:strike w:val="0"/>
              </w:rPr>
              <w:t xml:space="preserve">new document </w:t>
            </w:r>
            <w:r>
              <w:rPr>
                <w:rFonts w:ascii="Consolas" w:hAnsi="Consolas"/>
                <w:b w:val="0"/>
                <w:i w:val="0"/>
                <w:strike w:val="0"/>
                <w:color w:val="303030"/>
                <w:sz w:val="19"/>
              </w:rPr>
              <w:t>13</w:t>
            </w:r>
            <w:r>
              <w:rPr>
                <w:b w:val="0"/>
                <w:i w:val="0"/>
                <w:strike w:val="0"/>
              </w:rPr>
              <w:t xml:space="preserve">; </w:t>
            </w:r>
            <w:r>
              <w:rPr>
                <w:rFonts w:ascii="Consolas" w:hAnsi="Consolas"/>
                <w:b w:val="0"/>
                <w:i w:val="0"/>
                <w:strike w:val="0"/>
                <w:color w:val="303030"/>
                <w:sz w:val="19"/>
              </w:rPr>
              <w:t>07</w:t>
            </w:r>
            <w:r>
              <w:rPr>
                <w:b w:val="0"/>
                <w:i w:val="0"/>
                <w:strike w:val="0"/>
              </w:rPr>
              <w:t xml:space="preserve"> §§ 4 and 4A</w:t>
            </w:r>
          </w:p>
        </w:tc>
      </w:tr>
      <w:tr>
        <w:tc>
          <w:tcPr>
            <w:tcW w:type="dxa" w:w="2160"/>
          </w:tcPr>
          <w:p>
            <w:r>
              <w:rPr>
                <w:b w:val="0"/>
                <w:i w:val="0"/>
                <w:strike w:val="0"/>
              </w:rPr>
              <w:t>9</w:t>
            </w:r>
          </w:p>
        </w:tc>
        <w:tc>
          <w:tcPr>
            <w:tcW w:type="dxa" w:w="2160"/>
          </w:tcPr>
          <w:p>
            <w:r>
              <w:rPr>
                <w:b/>
                <w:i w:val="0"/>
                <w:strike w:val="0"/>
              </w:rPr>
              <w:t>The Blended Retirement System is now in the package</w:t>
            </w:r>
            <w:r>
              <w:rPr>
                <w:b w:val="0"/>
                <w:i w:val="0"/>
                <w:strike w:val="0"/>
              </w:rPr>
              <w:t xml:space="preserve">, as a VRS characterisation question rather than an answer. Subdivision H 5 inherits § 51.1-142.2 B's bar on purchase where "there is a balance in a defined contribution account that serves as a primary retirement account related to such service," and a BRS Thrift Savings Plan balance is at least arguably such an account. The live case is a pre-2014 VRS member who left for active duty after 2017 and returned. </w:t>
            </w:r>
            <w:r>
              <w:rPr>
                <w:b/>
                <w:i w:val="0"/>
                <w:strike w:val="0"/>
              </w:rPr>
              <w:t>The question is stated in the form VRS can answer.</w:t>
            </w:r>
          </w:p>
        </w:tc>
        <w:tc>
          <w:tcPr>
            <w:tcW w:type="dxa" w:w="2160"/>
          </w:tcPr>
          <w:p>
            <w:r>
              <w:rPr>
                <w:b w:val="0"/>
                <w:i w:val="0"/>
                <w:strike w:val="0"/>
              </w:rPr>
              <w:t xml:space="preserve">Low </w:t>
            </w:r>
            <w:r>
              <w:rPr>
                <w:b/>
                <w:i w:val="0"/>
                <w:strike w:val="0"/>
              </w:rPr>
              <w:t>S-19</w:t>
            </w:r>
          </w:p>
        </w:tc>
        <w:tc>
          <w:tcPr>
            <w:tcW w:type="dxa" w:w="2160"/>
          </w:tcPr>
          <w:p>
            <w:r>
              <w:rPr>
                <w:b w:val="0"/>
                <w:i w:val="0"/>
                <w:strike w:val="0"/>
              </w:rPr>
              <w:t xml:space="preserve">bill note 18; </w:t>
            </w:r>
            <w:r>
              <w:rPr>
                <w:rFonts w:ascii="Consolas" w:hAnsi="Consolas"/>
                <w:b w:val="0"/>
                <w:i w:val="0"/>
                <w:strike w:val="0"/>
                <w:color w:val="303030"/>
                <w:sz w:val="19"/>
              </w:rPr>
              <w:t>13</w:t>
            </w:r>
            <w:r>
              <w:rPr>
                <w:b w:val="0"/>
                <w:i w:val="0"/>
                <w:strike w:val="0"/>
              </w:rPr>
              <w:t xml:space="preserve"> §7</w:t>
            </w:r>
          </w:p>
        </w:tc>
      </w:tr>
    </w:tbl>
    <w:p/>
    <w:p>
      <w:r>
        <w:rPr>
          <w:b/>
          <w:i w:val="0"/>
          <w:strike w:val="0"/>
        </w:rPr>
        <w:t>Why the stakeholder answers are in a new document rather than in the briefs.</w:t>
      </w:r>
      <w:r>
        <w:rPr>
          <w:b w:val="0"/>
          <w:i w:val="0"/>
          <w:strike w:val="0"/>
        </w:rPr>
        <w:t xml:space="preserve"> Both briefs are named for a page count, which makes length a correctness property, and both are </w:t>
      </w:r>
      <w:r>
        <w:rPr>
          <w:b/>
          <w:i w:val="0"/>
          <w:strike w:val="0"/>
        </w:rPr>
        <w:t>already at 95.0% fill with under one point of slack</w:t>
      </w:r>
      <w:r>
        <w:rPr>
          <w:b w:val="0"/>
          <w:i w:val="0"/>
          <w:strike w:val="0"/>
        </w:rPr>
        <w:t xml:space="preserve"> (</w:t>
      </w:r>
      <w:r>
        <w:rPr>
          <w:rFonts w:ascii="Consolas" w:hAnsi="Consolas"/>
          <w:b w:val="0"/>
          <w:i w:val="0"/>
          <w:strike w:val="0"/>
          <w:color w:val="303030"/>
          <w:sz w:val="19"/>
        </w:rPr>
        <w:t>pagecheck.py</w:t>
      </w:r>
      <w:r>
        <w:rPr>
          <w:b w:val="0"/>
          <w:i w:val="0"/>
          <w:strike w:val="0"/>
        </w:rPr>
        <w:t xml:space="preserve">, October 20, 2026). Seven additions could not go in without cutting approved content, and cutting the written case to make room for the spoken one is the wrong trade. Six of the seven items in </w:t>
      </w:r>
      <w:r>
        <w:rPr>
          <w:rFonts w:ascii="Consolas" w:hAnsi="Consolas"/>
          <w:b w:val="0"/>
          <w:i w:val="0"/>
          <w:strike w:val="0"/>
          <w:color w:val="303030"/>
          <w:sz w:val="19"/>
        </w:rPr>
        <w:t>13</w:t>
      </w:r>
      <w:r>
        <w:rPr>
          <w:b w:val="0"/>
          <w:i w:val="0"/>
          <w:strike w:val="0"/>
        </w:rPr>
        <w:t xml:space="preserve"> carry a short bracketed </w:t>
      </w:r>
      <w:r>
        <w:rPr>
          <w:rFonts w:ascii="Consolas" w:hAnsi="Consolas"/>
          <w:b w:val="0"/>
          <w:i w:val="0"/>
          <w:strike w:val="0"/>
          <w:color w:val="303030"/>
          <w:sz w:val="19"/>
        </w:rPr>
        <w:t>[FOR 03]</w:t>
      </w:r>
      <w:r>
        <w:rPr>
          <w:b w:val="0"/>
          <w:i w:val="0"/>
          <w:strike w:val="0"/>
        </w:rPr>
        <w:t xml:space="preserve"> or </w:t>
      </w:r>
      <w:r>
        <w:rPr>
          <w:rFonts w:ascii="Consolas" w:hAnsi="Consolas"/>
          <w:b w:val="0"/>
          <w:i w:val="0"/>
          <w:strike w:val="0"/>
          <w:color w:val="303030"/>
          <w:sz w:val="19"/>
        </w:rPr>
        <w:t>[FOR 04]</w:t>
      </w:r>
      <w:r>
        <w:rPr>
          <w:b w:val="0"/>
          <w:i w:val="0"/>
          <w:strike w:val="0"/>
        </w:rPr>
        <w:t xml:space="preserve"> line — a one- or two-sentence version to fold in at the next brief revision.</w:t>
      </w:r>
    </w:p>
    <w:p>
      <w:r>
        <w:rPr>
          <w:b/>
          <w:i w:val="0"/>
          <w:strike w:val="0"/>
        </w:rPr>
        <w:t>What is still open after this pass.</w:t>
      </w:r>
      <w:r>
        <w:rPr>
          <w:b w:val="0"/>
          <w:i w:val="0"/>
          <w:strike w:val="0"/>
        </w:rPr>
        <w:t xml:space="preserve"> The </w:t>
      </w:r>
      <w:r>
        <w:rPr>
          <w:b/>
          <w:i w:val="0"/>
          <w:strike w:val="0"/>
        </w:rPr>
        <w:t>fiscal model refresh against the bill as introduced</w:t>
      </w:r>
      <w:r>
        <w:rPr>
          <w:b w:val="0"/>
          <w:i w:val="0"/>
          <w:strike w:val="0"/>
        </w:rPr>
        <w:t xml:space="preserve"> — which must carry clauses B 1(iv) and B 1(v), subdivision E 3, and the FY2030–FY2039 window shift, and which is where the health insurance credit should be added to the Python model if it is to be added at all. The </w:t>
      </w:r>
      <w:r>
        <w:rPr>
          <w:b/>
          <w:i w:val="0"/>
          <w:strike w:val="0"/>
        </w:rPr>
        <w:t>three VRS confirmation items</w:t>
      </w:r>
      <w:r>
        <w:rPr>
          <w:b w:val="0"/>
          <w:i w:val="0"/>
          <w:strike w:val="0"/>
        </w:rPr>
        <w:t xml:space="preserve"> (the subdivision B 4 reading, the BRS/TSP characterisation, and the approximate normal cost rate for pre-2014 B 4 public-safety members). The </w:t>
      </w:r>
      <w:r>
        <w:rPr>
          <w:b/>
          <w:i w:val="0"/>
          <w:strike w:val="0"/>
        </w:rPr>
        <w:t>four tax-counsel questions</w:t>
      </w:r>
      <w:r>
        <w:rPr>
          <w:b w:val="0"/>
          <w:i w:val="0"/>
          <w:strike w:val="0"/>
        </w:rPr>
        <w:t xml:space="preserve">, not yet sent. The </w:t>
      </w:r>
      <w:r>
        <w:rPr>
          <w:b/>
          <w:i w:val="0"/>
          <w:strike w:val="0"/>
        </w:rPr>
        <w:t>§ 30-19.1:7 statement</w:t>
      </w:r>
      <w:r>
        <w:rPr>
          <w:b w:val="0"/>
          <w:i w:val="0"/>
          <w:strike w:val="0"/>
        </w:rPr>
        <w:t xml:space="preserve">, not yet requested. The </w:t>
      </w:r>
      <w:r>
        <w:rPr>
          <w:b/>
          <w:i w:val="0"/>
          <w:strike w:val="0"/>
        </w:rPr>
        <w:t>approved-leave question</w:t>
      </w:r>
      <w:r>
        <w:rPr>
          <w:b w:val="0"/>
          <w:i w:val="0"/>
          <w:strike w:val="0"/>
        </w:rPr>
        <w:t xml:space="preserve"> for the Council. And the two cheap verification items — the enactment clauses of 2026 c. 563, and the LIS full-text search.</w:t>
      </w:r>
    </w:p>
    <w:p>
      <w:pPr>
        <w:jc w:val="center"/>
      </w:pPr>
      <w:r>
        <w:rPr>
          <w:color w:val="909090"/>
          <w:sz w:val="18"/>
        </w:rPr>
        <w:t>* * *</w:t>
      </w:r>
    </w:p>
    <w:p>
      <w:pPr>
        <w:pStyle w:val="Heading2"/>
      </w:pPr>
      <w:r>
        <w:rPr>
          <w:b w:val="0"/>
          <w:i w:val="0"/>
          <w:strike w:val="0"/>
        </w:rPr>
        <w:t>Version 1.3 change log — External-Review Cleanup (October 20, 2026)</w:t>
      </w:r>
    </w:p>
    <w:p>
      <w:r>
        <w:rPr>
          <w:b w:val="0"/>
          <w:i w:val="0"/>
          <w:strike w:val="0"/>
        </w:rPr>
        <w:t xml:space="preserve">A consistency and accuracy pass across all nine documents before outside legal review. </w:t>
      </w:r>
      <w:r>
        <w:rPr>
          <w:b/>
          <w:i w:val="0"/>
          <w:strike w:val="0"/>
        </w:rPr>
        <w:t>No settled policy decision was reopened and no operative bill provision changed</w:t>
      </w:r>
      <w:r>
        <w:rPr>
          <w:b w:val="0"/>
          <w:i w:val="0"/>
          <w:strike w:val="0"/>
        </w:rPr>
        <w:t xml:space="preserve">; the operative text remains at </w:t>
      </w:r>
      <w:r>
        <w:rPr>
          <w:b/>
          <w:i w:val="0"/>
          <w:strike w:val="0"/>
        </w:rPr>
        <w:t>version 1.2</w:t>
      </w:r>
      <w:r>
        <w:rPr>
          <w:b w:val="0"/>
          <w:i w:val="0"/>
          <w:strike w:val="0"/>
        </w:rPr>
        <w:t>. Each correction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Correction</w:t>
            </w:r>
          </w:p>
        </w:tc>
        <w:tc>
          <w:tcPr>
            <w:tcW w:type="dxa" w:w="2880"/>
          </w:tcPr>
          <w:p>
            <w:r>
              <w:rPr>
                <w:b/>
                <w:i w:val="0"/>
                <w:strike w:val="0"/>
              </w:rPr>
              <w:t>Where</w:t>
            </w:r>
          </w:p>
        </w:tc>
      </w:tr>
      <w:tr>
        <w:tc>
          <w:tcPr>
            <w:tcW w:type="dxa" w:w="2880"/>
          </w:tcPr>
          <w:p>
            <w:r>
              <w:rPr>
                <w:b w:val="0"/>
                <w:i w:val="0"/>
                <w:strike w:val="0"/>
              </w:rPr>
              <w:t>1</w:t>
            </w:r>
          </w:p>
        </w:tc>
        <w:tc>
          <w:tcPr>
            <w:tcW w:type="dxa" w:w="2880"/>
          </w:tcPr>
          <w:p>
            <w:r>
              <w:rPr>
                <w:b w:val="0"/>
                <w:i w:val="0"/>
                <w:strike w:val="0"/>
              </w:rPr>
              <w:t xml:space="preserve">The MOO-260 adversarial pass is labeled </w:t>
            </w:r>
            <w:r>
              <w:rPr>
                <w:b/>
                <w:i w:val="0"/>
                <w:strike w:val="0"/>
              </w:rPr>
              <w:t>"internal adversarial review"</w:t>
            </w:r>
            <w:r>
              <w:rPr>
                <w:b w:val="0"/>
                <w:i w:val="0"/>
                <w:strike w:val="0"/>
              </w:rPr>
              <w:t xml:space="preserve"> throughout. Nothing describes it as independent. Residual attorney-persona references ("this office," "counsel recommended") replaced with </w:t>
            </w:r>
            <w:r>
              <w:rPr>
                <w:b/>
                <w:i w:val="0"/>
                <w:strike w:val="0"/>
              </w:rPr>
              <w:t>"policy-development team."</w:t>
            </w:r>
          </w:p>
        </w:tc>
        <w:tc>
          <w:tcPr>
            <w:tcW w:type="dxa" w:w="2880"/>
          </w:tcPr>
          <w:p>
            <w:r>
              <w:rPr>
                <w:b w:val="0"/>
                <w:i w:val="0"/>
                <w:strike w:val="0"/>
              </w:rPr>
              <w:t>All nine documents</w:t>
            </w:r>
          </w:p>
        </w:tc>
      </w:tr>
      <w:tr>
        <w:tc>
          <w:tcPr>
            <w:tcW w:type="dxa" w:w="2880"/>
          </w:tcPr>
          <w:p>
            <w:r>
              <w:rPr>
                <w:b w:val="0"/>
                <w:i w:val="0"/>
                <w:strike w:val="0"/>
              </w:rPr>
              <w:t>2</w:t>
            </w:r>
          </w:p>
        </w:tc>
        <w:tc>
          <w:tcPr>
            <w:tcW w:type="dxa" w:w="2880"/>
          </w:tcPr>
          <w:p>
            <w:r>
              <w:rPr>
                <w:b w:val="0"/>
                <w:i w:val="0"/>
                <w:strike w:val="0"/>
              </w:rPr>
              <w:t xml:space="preserve">Removed the claim that the bridge has </w:t>
            </w:r>
            <w:r>
              <w:rPr>
                <w:b/>
                <w:i w:val="0"/>
                <w:strike w:val="0"/>
              </w:rPr>
              <w:t>"no effect on any other VRS benefit."</w:t>
            </w:r>
            <w:r>
              <w:rPr>
                <w:b w:val="0"/>
                <w:i w:val="0"/>
                <w:strike w:val="0"/>
              </w:rPr>
              <w:t xml:space="preserve"> Replaced with: it does not increase benefit-calculation service, the pension formula, or service-credit-based benefits, while </w:t>
            </w:r>
            <w:r>
              <w:rPr>
                <w:b/>
                <w:i w:val="0"/>
                <w:strike w:val="0"/>
              </w:rPr>
              <w:t>ordinary consequences of an earlier retirement date remain applicable</w:t>
            </w:r>
          </w:p>
        </w:tc>
        <w:tc>
          <w:tcPr>
            <w:tcW w:type="dxa" w:w="2880"/>
          </w:tcPr>
          <w:p>
            <w:r>
              <w:rPr>
                <w:b w:val="0"/>
                <w:i w:val="0"/>
                <w:strike w:val="0"/>
              </w:rPr>
              <w:t>README core policy principle, both briefs, bill drafting note 4, memo Part 4 reading note</w:t>
            </w:r>
          </w:p>
        </w:tc>
      </w:tr>
      <w:tr>
        <w:tc>
          <w:tcPr>
            <w:tcW w:type="dxa" w:w="2880"/>
          </w:tcPr>
          <w:p>
            <w:r>
              <w:rPr>
                <w:b w:val="0"/>
                <w:i w:val="0"/>
                <w:strike w:val="0"/>
              </w:rPr>
              <w:t>3</w:t>
            </w:r>
          </w:p>
        </w:tc>
        <w:tc>
          <w:tcPr>
            <w:tcW w:type="dxa" w:w="2880"/>
          </w:tcPr>
          <w:p>
            <w:r>
              <w:rPr>
                <w:b/>
                <w:i w:val="0"/>
                <w:strike w:val="0"/>
              </w:rPr>
              <w:t>HIC and COLA</w:t>
            </w:r>
            <w:r>
              <w:rPr>
                <w:b w:val="0"/>
                <w:i w:val="0"/>
                <w:strike w:val="0"/>
              </w:rPr>
              <w:t xml:space="preserve"> standardized to: </w:t>
            </w:r>
            <w:r>
              <w:rPr>
                <w:b w:val="0"/>
                <w:i/>
                <w:strike w:val="0"/>
              </w:rPr>
              <w:t>both follow the retirement date, so preventing earlier commencement would require separate statutory changes outside the bridge</w:t>
            </w:r>
            <w:r>
              <w:rPr>
                <w:b w:val="0"/>
                <w:i w:val="0"/>
                <w:strike w:val="0"/>
              </w:rPr>
              <w:t xml:space="preserve">, and the proposal </w:t>
            </w:r>
            <w:r>
              <w:rPr>
                <w:b/>
                <w:i w:val="0"/>
                <w:strike w:val="0"/>
              </w:rPr>
              <w:t>deliberately accepts and discloses</w:t>
            </w:r>
            <w:r>
              <w:rPr>
                <w:b w:val="0"/>
                <w:i w:val="0"/>
                <w:strike w:val="0"/>
              </w:rPr>
              <w:t xml:space="preserve"> that commencement rather than adding separate delay provisions. Removed every statement that preventing it is impossible or unreachable</w:t>
            </w:r>
          </w:p>
        </w:tc>
        <w:tc>
          <w:tcPr>
            <w:tcW w:type="dxa" w:w="2880"/>
          </w:tcPr>
          <w:p>
            <w:r>
              <w:rPr>
                <w:b w:val="0"/>
                <w:i w:val="0"/>
                <w:strike w:val="0"/>
              </w:rPr>
              <w:t>README, bill notes 4 and 7(b), memo Part 6, both briefs, fiscal memo § 4, internal review F-02 disposition</w:t>
            </w:r>
          </w:p>
        </w:tc>
      </w:tr>
      <w:tr>
        <w:tc>
          <w:tcPr>
            <w:tcW w:type="dxa" w:w="2880"/>
          </w:tcPr>
          <w:p>
            <w:r>
              <w:rPr>
                <w:b w:val="0"/>
                <w:i w:val="0"/>
                <w:strike w:val="0"/>
              </w:rPr>
              <w:t>4</w:t>
            </w:r>
          </w:p>
        </w:tc>
        <w:tc>
          <w:tcPr>
            <w:tcW w:type="dxa" w:w="2880"/>
          </w:tcPr>
          <w:p>
            <w:r>
              <w:rPr>
                <w:b/>
                <w:i w:val="0"/>
                <w:strike w:val="0"/>
              </w:rPr>
              <w:t>"Every policy question is settled"</w:t>
            </w:r>
            <w:r>
              <w:rPr>
                <w:b w:val="0"/>
                <w:i w:val="0"/>
                <w:strike w:val="0"/>
              </w:rPr>
              <w:t xml:space="preserve"> → </w:t>
            </w:r>
            <w:r>
              <w:rPr>
                <w:b/>
                <w:i w:val="0"/>
                <w:strike w:val="0"/>
              </w:rPr>
              <w:t>"All principal policy questions are settled,"</w:t>
            </w:r>
            <w:r>
              <w:rPr>
                <w:b w:val="0"/>
                <w:i w:val="0"/>
                <w:strike w:val="0"/>
              </w:rPr>
              <w:t xml:space="preserve"> with the </w:t>
            </w:r>
            <w:r>
              <w:rPr>
                <w:b/>
                <w:i w:val="0"/>
                <w:strike w:val="0"/>
              </w:rPr>
              <w:t>approved-leave / long-term-disability</w:t>
            </w:r>
            <w:r>
              <w:rPr>
                <w:b w:val="0"/>
                <w:i w:val="0"/>
                <w:strike w:val="0"/>
              </w:rPr>
              <w:t xml:space="preserve"> question flagged as the one narrow item still open</w:t>
            </w:r>
          </w:p>
        </w:tc>
        <w:tc>
          <w:tcPr>
            <w:tcW w:type="dxa" w:w="2880"/>
          </w:tcPr>
          <w:p>
            <w:r>
              <w:rPr>
                <w:b w:val="0"/>
                <w:i w:val="0"/>
                <w:strike w:val="0"/>
              </w:rPr>
              <w:t>README, two-page brief, bill note 10, memo Part 6</w:t>
            </w:r>
          </w:p>
        </w:tc>
      </w:tr>
      <w:tr>
        <w:tc>
          <w:tcPr>
            <w:tcW w:type="dxa" w:w="2880"/>
          </w:tcPr>
          <w:p>
            <w:r>
              <w:rPr>
                <w:b w:val="0"/>
                <w:i w:val="0"/>
                <w:strike w:val="0"/>
              </w:rPr>
              <w:t>5</w:t>
            </w:r>
          </w:p>
        </w:tc>
        <w:tc>
          <w:tcPr>
            <w:tcW w:type="dxa" w:w="2880"/>
          </w:tcPr>
          <w:p>
            <w:r>
              <w:rPr>
                <w:b w:val="0"/>
                <w:i w:val="0"/>
                <w:strike w:val="0"/>
              </w:rPr>
              <w:t>The one-page brief's pre-patron checklist rebuilt as five required items: fiscal model re-run against version 1.2; outstanding source verifications; federal tax review by veterans' legal counsel; approved-leave/LTD question resolved or expressly deferred; VRS § 30-19.1:7 statement at the appropriate stage</w:t>
            </w:r>
          </w:p>
        </w:tc>
        <w:tc>
          <w:tcPr>
            <w:tcW w:type="dxa" w:w="2880"/>
          </w:tcPr>
          <w:p>
            <w:r>
              <w:rPr>
                <w:b w:val="0"/>
                <w:i w:val="0"/>
                <w:strike w:val="0"/>
              </w:rPr>
              <w:t>One-page brief</w:t>
            </w:r>
          </w:p>
        </w:tc>
      </w:tr>
      <w:tr>
        <w:tc>
          <w:tcPr>
            <w:tcW w:type="dxa" w:w="2880"/>
          </w:tcPr>
          <w:p>
            <w:r>
              <w:rPr>
                <w:b w:val="0"/>
                <w:i w:val="0"/>
                <w:strike w:val="0"/>
              </w:rPr>
              <w:t>6</w:t>
            </w:r>
          </w:p>
        </w:tc>
        <w:tc>
          <w:tcPr>
            <w:tcW w:type="dxa" w:w="2880"/>
          </w:tcPr>
          <w:p>
            <w:r>
              <w:rPr>
                <w:b w:val="0"/>
                <w:i w:val="0"/>
                <w:strike w:val="0"/>
              </w:rPr>
              <w:t xml:space="preserve">Fiscal model status is no longer "Complete." It reads </w:t>
            </w:r>
            <w:r>
              <w:rPr>
                <w:b/>
                <w:i w:val="0"/>
                <w:strike w:val="0"/>
              </w:rPr>
              <w:t>"Complete for version 1.1; refresh against the bill as introduced required before external use"</w:t>
            </w:r>
          </w:p>
        </w:tc>
        <w:tc>
          <w:tcPr>
            <w:tcW w:type="dxa" w:w="2880"/>
          </w:tcPr>
          <w:p>
            <w:r>
              <w:rPr>
                <w:b w:val="0"/>
                <w:i w:val="0"/>
                <w:strike w:val="0"/>
              </w:rPr>
              <w:t>README index, two-page brief, fiscal memo, memo Part 6</w:t>
            </w:r>
          </w:p>
        </w:tc>
      </w:tr>
      <w:tr>
        <w:tc>
          <w:tcPr>
            <w:tcW w:type="dxa" w:w="2880"/>
          </w:tcPr>
          <w:p>
            <w:r>
              <w:rPr>
                <w:b w:val="0"/>
                <w:i w:val="0"/>
                <w:strike w:val="0"/>
              </w:rPr>
              <w:t>7</w:t>
            </w:r>
          </w:p>
        </w:tc>
        <w:tc>
          <w:tcPr>
            <w:tcW w:type="dxa" w:w="2880"/>
          </w:tcPr>
          <w:p>
            <w:r>
              <w:rPr>
                <w:b w:val="0"/>
                <w:i w:val="0"/>
                <w:strike w:val="0"/>
              </w:rPr>
              <w:t xml:space="preserve">Every public use of </w:t>
            </w:r>
            <w:r>
              <w:rPr>
                <w:b/>
                <w:i w:val="0"/>
                <w:strike w:val="0"/>
              </w:rPr>
              <w:t>0.19 bp</w:t>
            </w:r>
            <w:r>
              <w:rPr>
                <w:b w:val="0"/>
                <w:i w:val="0"/>
                <w:strike w:val="0"/>
              </w:rPr>
              <w:t xml:space="preserve"> now states that it is the </w:t>
            </w:r>
            <w:r>
              <w:rPr>
                <w:b/>
                <w:i w:val="0"/>
                <w:strike w:val="0"/>
              </w:rPr>
              <w:t>modeled retirement-plan employer contribution impact and excludes separately funded HIC and COLA effects, including unquantified COLA exposure</w:t>
            </w:r>
          </w:p>
        </w:tc>
        <w:tc>
          <w:tcPr>
            <w:tcW w:type="dxa" w:w="2880"/>
          </w:tcPr>
          <w:p>
            <w:r>
              <w:rPr>
                <w:b w:val="0"/>
                <w:i w:val="0"/>
                <w:strike w:val="0"/>
              </w:rPr>
              <w:t>README, both briefs, bill note 7(c), memo Part 5.1, fiscal memo §§ 1 and 13</w:t>
            </w:r>
          </w:p>
        </w:tc>
      </w:tr>
      <w:tr>
        <w:tc>
          <w:tcPr>
            <w:tcW w:type="dxa" w:w="2880"/>
          </w:tcPr>
          <w:p>
            <w:r>
              <w:rPr>
                <w:b w:val="0"/>
                <w:i w:val="0"/>
                <w:strike w:val="0"/>
              </w:rPr>
              <w:t>8</w:t>
            </w:r>
          </w:p>
        </w:tc>
        <w:tc>
          <w:tcPr>
            <w:tcW w:type="dxa" w:w="2880"/>
          </w:tcPr>
          <w:p>
            <w:r>
              <w:rPr>
                <w:b/>
                <w:i w:val="0"/>
                <w:strike w:val="0"/>
              </w:rPr>
              <w:t>B-4 cutoff standardized.</w:t>
            </w:r>
            <w:r>
              <w:rPr>
                <w:b w:val="0"/>
                <w:i w:val="0"/>
                <w:strike w:val="0"/>
              </w:rPr>
              <w:t xml:space="preserve"> No document now says merely "first hired after January 1, 2014." All use the § 51.1-169 A membership test — </w:t>
            </w:r>
            <w:r>
              <w:rPr>
                <w:b/>
                <w:i w:val="0"/>
                <w:strike w:val="0"/>
              </w:rPr>
              <w:t>first entered the VRS-administered retirement system on or after the January 1, 2014 Hybrid transition</w:t>
            </w:r>
            <w:r>
              <w:rPr>
                <w:b w:val="0"/>
                <w:i w:val="0"/>
                <w:strike w:val="0"/>
              </w:rPr>
              <w:t xml:space="preserve"> — and note that a pre-2014 member rehired later remains potentially eligible</w:t>
            </w:r>
          </w:p>
        </w:tc>
        <w:tc>
          <w:tcPr>
            <w:tcW w:type="dxa" w:w="2880"/>
          </w:tcPr>
          <w:p>
            <w:r>
              <w:rPr>
                <w:b w:val="0"/>
                <w:i w:val="0"/>
                <w:strike w:val="0"/>
              </w:rPr>
              <w:t>All documents referring to clause B 1(iv)</w:t>
            </w:r>
          </w:p>
        </w:tc>
      </w:tr>
      <w:tr>
        <w:tc>
          <w:tcPr>
            <w:tcW w:type="dxa" w:w="2880"/>
          </w:tcPr>
          <w:p>
            <w:r>
              <w:rPr>
                <w:b w:val="0"/>
                <w:i w:val="0"/>
                <w:strike w:val="0"/>
              </w:rPr>
              <w:t>9</w:t>
            </w:r>
          </w:p>
        </w:tc>
        <w:tc>
          <w:tcPr>
            <w:tcW w:type="dxa" w:w="2880"/>
          </w:tcPr>
          <w:p>
            <w:r>
              <w:rPr>
                <w:b/>
                <w:i w:val="0"/>
                <w:strike w:val="0"/>
              </w:rPr>
              <w:t>12.50% / 10.74%</w:t>
            </w:r>
            <w:r>
              <w:rPr>
                <w:b w:val="0"/>
                <w:i w:val="0"/>
                <w:strike w:val="0"/>
              </w:rPr>
              <w:t xml:space="preserve"> qualified as rates for </w:t>
            </w:r>
            <w:r>
              <w:rPr>
                <w:b/>
                <w:i w:val="0"/>
                <w:strike w:val="0"/>
              </w:rPr>
              <w:t>ordinary non-hazardous members</w:t>
            </w:r>
            <w:r>
              <w:rPr>
                <w:b w:val="0"/>
                <w:i w:val="0"/>
                <w:strike w:val="0"/>
              </w:rPr>
              <w:t xml:space="preserve">, with the rate for eligible pre-2014 B 4 public-safety members stated to </w:t>
            </w:r>
            <w:r>
              <w:rPr>
                <w:b/>
                <w:i w:val="0"/>
                <w:strike w:val="0"/>
              </w:rPr>
              <w:t>require VRS confirmation</w:t>
            </w:r>
          </w:p>
        </w:tc>
        <w:tc>
          <w:tcPr>
            <w:tcW w:type="dxa" w:w="2880"/>
          </w:tcPr>
          <w:p>
            <w:r>
              <w:rPr>
                <w:b w:val="0"/>
                <w:i w:val="0"/>
                <w:strike w:val="0"/>
              </w:rPr>
              <w:t>README, both briefs, memo Parts 1.1 and 5.1, fiscal memo</w:t>
            </w:r>
          </w:p>
        </w:tc>
      </w:tr>
      <w:tr>
        <w:tc>
          <w:tcPr>
            <w:tcW w:type="dxa" w:w="2880"/>
          </w:tcPr>
          <w:p>
            <w:r>
              <w:rPr>
                <w:b w:val="0"/>
                <w:i w:val="0"/>
                <w:strike w:val="0"/>
              </w:rPr>
              <w:t>10</w:t>
            </w:r>
          </w:p>
        </w:tc>
        <w:tc>
          <w:tcPr>
            <w:tcW w:type="dxa" w:w="2880"/>
          </w:tcPr>
          <w:p>
            <w:r>
              <w:rPr>
                <w:b/>
                <w:i w:val="0"/>
                <w:strike w:val="0"/>
              </w:rPr>
              <w:t>Reserve/Guard language narrowed.</w:t>
            </w:r>
            <w:r>
              <w:rPr>
                <w:b w:val="0"/>
                <w:i w:val="0"/>
                <w:strike w:val="0"/>
              </w:rPr>
              <w:t xml:space="preserve"> No document asserts that all Reserve and Guard service is protected. Federal law protects qualifying service associated with </w:t>
            </w:r>
            <w:r>
              <w:rPr>
                <w:b/>
                <w:i w:val="0"/>
                <w:strike w:val="0"/>
              </w:rPr>
              <w:t>non-regular Reserve-component retired pay under 10 U.S.C. chapter 1223</w:t>
            </w:r>
            <w:r>
              <w:rPr>
                <w:b w:val="0"/>
                <w:i w:val="0"/>
                <w:strike w:val="0"/>
              </w:rPr>
              <w:t xml:space="preserve">, with </w:t>
            </w:r>
            <w:r>
              <w:rPr>
                <w:b/>
                <w:i w:val="0"/>
                <w:strike w:val="0"/>
              </w:rPr>
              <w:t>§ 12736 established not to preempt this bill</w:t>
            </w:r>
            <w:r>
              <w:rPr>
                <w:b w:val="0"/>
                <w:i w:val="0"/>
                <w:strike w:val="0"/>
              </w:rPr>
              <w:t xml:space="preserve"> (version 1.4: it reaches only service a plan "otherwise properly credits," and Virginia credits this service only on purchase)</w:t>
            </w:r>
          </w:p>
        </w:tc>
        <w:tc>
          <w:tcPr>
            <w:tcW w:type="dxa" w:w="2880"/>
          </w:tcPr>
          <w:p>
            <w:r>
              <w:rPr>
                <w:b w:val="0"/>
                <w:i w:val="0"/>
                <w:strike w:val="0"/>
              </w:rPr>
              <w:t>Both briefs, memo Parts 5.2 and 5.3, bill note 8</w:t>
            </w:r>
          </w:p>
        </w:tc>
      </w:tr>
      <w:tr>
        <w:tc>
          <w:tcPr>
            <w:tcW w:type="dxa" w:w="2880"/>
          </w:tcPr>
          <w:p>
            <w:r>
              <w:rPr>
                <w:b w:val="0"/>
                <w:i w:val="0"/>
                <w:strike w:val="0"/>
              </w:rPr>
              <w:t>11</w:t>
            </w:r>
          </w:p>
        </w:tc>
        <w:tc>
          <w:tcPr>
            <w:tcW w:type="dxa" w:w="2880"/>
          </w:tcPr>
          <w:p>
            <w:r>
              <w:rPr>
                <w:b w:val="0"/>
                <w:i w:val="0"/>
                <w:strike w:val="0"/>
              </w:rPr>
              <w:t>Attorney-authorship implications removed; the package attribution is retained verbatim on every document</w:t>
            </w:r>
          </w:p>
        </w:tc>
        <w:tc>
          <w:tcPr>
            <w:tcW w:type="dxa" w:w="2880"/>
          </w:tcPr>
          <w:p>
            <w:r>
              <w:rPr>
                <w:b w:val="0"/>
                <w:i w:val="0"/>
                <w:strike w:val="0"/>
              </w:rPr>
              <w:t>All nine documents</w:t>
            </w:r>
          </w:p>
        </w:tc>
      </w:tr>
      <w:tr>
        <w:tc>
          <w:tcPr>
            <w:tcW w:type="dxa" w:w="2880"/>
          </w:tcPr>
          <w:p>
            <w:r>
              <w:rPr>
                <w:b w:val="0"/>
                <w:i w:val="0"/>
                <w:strike w:val="0"/>
              </w:rPr>
              <w:t>12</w:t>
            </w:r>
          </w:p>
        </w:tc>
        <w:tc>
          <w:tcPr>
            <w:tcW w:type="dxa" w:w="2880"/>
          </w:tcPr>
          <w:p>
            <w:r>
              <w:rPr>
                <w:b w:val="0"/>
                <w:i w:val="0"/>
                <w:strike w:val="0"/>
              </w:rPr>
              <w:t>Advocacy phrasing replaced with analytical phrasing. The "new hire in their twenties, who has neither the money nor a reason to care" formulation is gone; the point is now that the low-cost window falls early in a career, when disposable income is typically lower and retirement eligibility is remote</w:t>
            </w:r>
          </w:p>
        </w:tc>
        <w:tc>
          <w:tcPr>
            <w:tcW w:type="dxa" w:w="2880"/>
          </w:tcPr>
          <w:p>
            <w:r>
              <w:rPr>
                <w:b w:val="0"/>
                <w:i w:val="0"/>
                <w:strike w:val="0"/>
              </w:rPr>
              <w:t>Both briefs</w:t>
            </w:r>
          </w:p>
        </w:tc>
      </w:tr>
      <w:tr>
        <w:tc>
          <w:tcPr>
            <w:tcW w:type="dxa" w:w="2880"/>
          </w:tcPr>
          <w:p>
            <w:r>
              <w:rPr>
                <w:b w:val="0"/>
                <w:i w:val="0"/>
                <w:strike w:val="0"/>
              </w:rPr>
              <w:t>13</w:t>
            </w:r>
          </w:p>
        </w:tc>
        <w:tc>
          <w:tcPr>
            <w:tcW w:type="dxa" w:w="2880"/>
          </w:tcPr>
          <w:p>
            <w:r>
              <w:rPr>
                <w:b/>
                <w:i w:val="0"/>
                <w:strike w:val="0"/>
              </w:rPr>
              <w:t>$341,065</w:t>
            </w:r>
            <w:r>
              <w:rPr>
                <w:b w:val="0"/>
                <w:i w:val="0"/>
                <w:strike w:val="0"/>
              </w:rPr>
              <w:t xml:space="preserve"> identified as the </w:t>
            </w:r>
            <w:r>
              <w:rPr>
                <w:b/>
                <w:i w:val="0"/>
                <w:strike w:val="0"/>
              </w:rPr>
              <w:t>modeled net value above the member purchase price in the single most favorable published profile</w:t>
            </w:r>
            <w:r>
              <w:rPr>
                <w:b w:val="0"/>
                <w:i w:val="0"/>
                <w:strike w:val="0"/>
              </w:rPr>
              <w:t xml:space="preserve"> — not a cost per veteran. The model's finding that members who would otherwise work to unreduced eligibility </w:t>
            </w:r>
            <w:r>
              <w:rPr>
                <w:b/>
                <w:i w:val="0"/>
                <w:strike w:val="0"/>
              </w:rPr>
              <w:t>overpay</w:t>
            </w:r>
            <w:r>
              <w:rPr>
                <w:b w:val="0"/>
                <w:i w:val="0"/>
                <w:strike w:val="0"/>
              </w:rPr>
              <w:t xml:space="preserve"> in the modeled WTE scenarios is carried alongside it everywhere the figure appears</w:t>
            </w:r>
          </w:p>
        </w:tc>
        <w:tc>
          <w:tcPr>
            <w:tcW w:type="dxa" w:w="2880"/>
          </w:tcPr>
          <w:p>
            <w:r>
              <w:rPr>
                <w:b w:val="0"/>
                <w:i w:val="0"/>
                <w:strike w:val="0"/>
              </w:rPr>
              <w:t>README, both briefs, bill note 7(c), memo Part 5.1, fiscal memo</w:t>
            </w:r>
          </w:p>
        </w:tc>
      </w:tr>
      <w:tr>
        <w:tc>
          <w:tcPr>
            <w:tcW w:type="dxa" w:w="2880"/>
          </w:tcPr>
          <w:p>
            <w:r>
              <w:rPr>
                <w:b w:val="0"/>
                <w:i w:val="0"/>
                <w:strike w:val="0"/>
              </w:rPr>
              <w:t>14</w:t>
            </w:r>
          </w:p>
        </w:tc>
        <w:tc>
          <w:tcPr>
            <w:tcW w:type="dxa" w:w="2880"/>
          </w:tcPr>
          <w:p>
            <w:r>
              <w:rPr>
                <w:b w:val="0"/>
                <w:i w:val="0"/>
                <w:strike w:val="0"/>
              </w:rPr>
              <w:t xml:space="preserve">Cross-document sweep: version numbers and dates; </w:t>
            </w:r>
            <w:r>
              <w:rPr>
                <w:b/>
                <w:i w:val="0"/>
                <w:strike w:val="0"/>
              </w:rPr>
              <w:t>six conforming amendments across five sections</w:t>
            </w:r>
            <w:r>
              <w:rPr>
                <w:b w:val="0"/>
                <w:i w:val="0"/>
                <w:strike w:val="0"/>
              </w:rPr>
              <w:t>; HIC/COLA treatment; deferred-retirement treatment; B-4 treatment; retired-pay bar; PLOP; fiscal figures and their exclusions; and the status of every open counsel/VRS item</w:t>
            </w:r>
          </w:p>
        </w:tc>
        <w:tc>
          <w:tcPr>
            <w:tcW w:type="dxa" w:w="2880"/>
          </w:tcPr>
          <w:p>
            <w:r>
              <w:rPr>
                <w:b w:val="0"/>
                <w:i w:val="0"/>
                <w:strike w:val="0"/>
              </w:rPr>
              <w:t>All nine documents</w:t>
            </w:r>
          </w:p>
        </w:tc>
      </w:tr>
    </w:tbl>
    <w:p/>
    <w:p>
      <w:r>
        <w:rPr>
          <w:b/>
          <w:i w:val="0"/>
          <w:strike w:val="0"/>
        </w:rPr>
        <w:t>Both briefs still fit their stated lengths</w:t>
      </w:r>
      <w:r>
        <w:rPr>
          <w:b w:val="0"/>
          <w:i w:val="0"/>
          <w:strike w:val="0"/>
        </w:rPr>
        <w:t xml:space="preserve"> after these additions, measured with </w:t>
      </w:r>
      <w:r>
        <w:rPr>
          <w:rFonts w:ascii="Consolas" w:hAnsi="Consolas"/>
          <w:b w:val="0"/>
          <w:i w:val="0"/>
          <w:strike w:val="0"/>
          <w:color w:val="303030"/>
          <w:sz w:val="19"/>
        </w:rPr>
        <w:t>source-markdown/pagecheck.py</w:t>
      </w:r>
      <w:r>
        <w:rPr>
          <w:b w:val="0"/>
          <w:i w:val="0"/>
          <w:strike w:val="0"/>
        </w:rPr>
        <w:t xml:space="preserve"> against the compact brief layout: one-pager </w:t>
      </w:r>
      <w:r>
        <w:rPr>
          <w:b/>
          <w:i w:val="0"/>
          <w:strike w:val="0"/>
        </w:rPr>
        <w:t>0.94 page</w:t>
      </w:r>
      <w:r>
        <w:rPr>
          <w:b w:val="0"/>
          <w:i w:val="0"/>
          <w:strike w:val="0"/>
        </w:rPr>
        <w:t xml:space="preserve">, two-pager </w:t>
      </w:r>
      <w:r>
        <w:rPr>
          <w:b/>
          <w:i w:val="0"/>
          <w:strike w:val="0"/>
        </w:rPr>
        <w:t>1.85 pages</w:t>
      </w:r>
      <w:r>
        <w:rPr>
          <w:b w:val="0"/>
          <w:i w:val="0"/>
          <w:strike w:val="0"/>
        </w:rPr>
        <w:t>. To hold the page budget, the briefs' section headings were converted to bold run-in headings; no item on the do-not-drop list was removed — the Plan 1 and Plan 2 worked examples, the HIC/COLA correction, the PLOP disclosure, all seven recorded decisions, the three blockers and the subsidy framing are intact.</w:t>
      </w:r>
    </w:p>
    <w:p>
      <w:pPr>
        <w:pStyle w:val="Heading3"/>
      </w:pPr>
      <w:r>
        <w:rPr>
          <w:b w:val="0"/>
          <w:i w:val="0"/>
          <w:strike w:val="0"/>
        </w:rPr>
        <w:t>Still requiring outside confirmation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Item</w:t>
            </w:r>
          </w:p>
        </w:tc>
        <w:tc>
          <w:tcPr>
            <w:tcW w:type="dxa" w:w="2880"/>
          </w:tcPr>
          <w:p>
            <w:r>
              <w:rPr>
                <w:b/>
                <w:i w:val="0"/>
                <w:strike w:val="0"/>
              </w:rPr>
              <w:t>Owner</w:t>
            </w:r>
          </w:p>
        </w:tc>
        <w:tc>
          <w:tcPr>
            <w:tcW w:type="dxa" w:w="2880"/>
          </w:tcPr>
          <w:p>
            <w:r>
              <w:rPr>
                <w:b/>
                <w:i w:val="0"/>
                <w:strike w:val="0"/>
              </w:rPr>
              <w:t>Status</w:t>
            </w:r>
          </w:p>
        </w:tc>
      </w:tr>
      <w:tr>
        <w:tc>
          <w:tcPr>
            <w:tcW w:type="dxa" w:w="2880"/>
          </w:tcPr>
          <w:p>
            <w:r>
              <w:rPr>
                <w:b/>
                <w:i w:val="0"/>
                <w:strike w:val="0"/>
              </w:rPr>
              <w:t>VRS Board impact statement under § 30-19.1:7</w:t>
            </w:r>
            <w:r>
              <w:rPr>
                <w:b w:val="0"/>
                <w:i w:val="0"/>
                <w:strike w:val="0"/>
              </w:rPr>
              <w:t xml:space="preserve"> — mandatory for every VRS bill</w:t>
            </w:r>
          </w:p>
        </w:tc>
        <w:tc>
          <w:tcPr>
            <w:tcW w:type="dxa" w:w="2880"/>
          </w:tcPr>
          <w:p>
            <w:r>
              <w:rPr>
                <w:b w:val="0"/>
                <w:i w:val="0"/>
                <w:strike w:val="0"/>
              </w:rPr>
              <w:t>VRS Board / actuary</w:t>
            </w:r>
          </w:p>
        </w:tc>
        <w:tc>
          <w:tcPr>
            <w:tcW w:type="dxa" w:w="2880"/>
          </w:tcPr>
          <w:p>
            <w:r>
              <w:rPr>
                <w:b/>
                <w:i w:val="0"/>
                <w:strike w:val="0"/>
              </w:rPr>
              <w:t>Not requested.</w:t>
            </w:r>
            <w:r>
              <w:rPr>
                <w:b w:val="0"/>
                <w:i w:val="0"/>
                <w:strike w:val="0"/>
              </w:rPr>
              <w:t xml:space="preserve"> The MOO-259 model is illustrative and is not a substitute</w:t>
            </w:r>
          </w:p>
        </w:tc>
      </w:tr>
      <w:tr>
        <w:tc>
          <w:tcPr>
            <w:tcW w:type="dxa" w:w="2880"/>
          </w:tcPr>
          <w:p>
            <w:r>
              <w:rPr>
                <w:b/>
                <w:i w:val="0"/>
                <w:strike w:val="0"/>
              </w:rPr>
              <w:t>Federal tax</w:t>
            </w:r>
            <w:r>
              <w:rPr>
                <w:b w:val="0"/>
                <w:i w:val="0"/>
                <w:strike w:val="0"/>
              </w:rPr>
              <w:t xml:space="preserve"> — IRC § 415(n)(3)(A) and § 415(c) exposure; loss of 403(b)/457(b) trustee-to-trustee funding; § 414(h)(2) pick-up</w:t>
            </w:r>
          </w:p>
        </w:tc>
        <w:tc>
          <w:tcPr>
            <w:tcW w:type="dxa" w:w="2880"/>
          </w:tcPr>
          <w:p>
            <w:r>
              <w:rPr>
                <w:b w:val="0"/>
                <w:i w:val="0"/>
                <w:strike w:val="0"/>
              </w:rPr>
              <w:t>Veterans' legal counsel</w:t>
            </w:r>
          </w:p>
        </w:tc>
        <w:tc>
          <w:tcPr>
            <w:tcW w:type="dxa" w:w="2880"/>
          </w:tcPr>
          <w:p>
            <w:r>
              <w:rPr>
                <w:b w:val="0"/>
                <w:i w:val="0"/>
                <w:strike w:val="0"/>
              </w:rPr>
              <w:t>Open. Must be met before committee, not in it</w:t>
            </w:r>
          </w:p>
        </w:tc>
      </w:tr>
      <w:tr>
        <w:tc>
          <w:tcPr>
            <w:tcW w:type="dxa" w:w="2880"/>
          </w:tcPr>
          <w:p>
            <w:r>
              <w:rPr>
                <w:b/>
                <w:i w:val="0"/>
                <w:strike w:val="0"/>
              </w:rPr>
              <w:t>10 U.S.C. § 12736</w:t>
            </w:r>
            <w:r>
              <w:rPr>
                <w:b w:val="0"/>
                <w:i w:val="0"/>
                <w:strike w:val="0"/>
              </w:rPr>
              <w:t xml:space="preserve"> application to an eligibility-only credit</w:t>
            </w:r>
          </w:p>
        </w:tc>
        <w:tc>
          <w:tcPr>
            <w:tcW w:type="dxa" w:w="2880"/>
          </w:tcPr>
          <w:p>
            <w:r>
              <w:rPr>
                <w:b w:val="0"/>
                <w:i w:val="0"/>
                <w:strike w:val="0"/>
              </w:rPr>
              <w:t>Veterans' legal counsel</w:t>
            </w:r>
          </w:p>
        </w:tc>
        <w:tc>
          <w:tcPr>
            <w:tcW w:type="dxa" w:w="2880"/>
          </w:tcPr>
          <w:p>
            <w:r>
              <w:rPr>
                <w:b w:val="0"/>
                <w:i w:val="0"/>
                <w:strike w:val="0"/>
              </w:rPr>
              <w:t xml:space="preserve">Open. The bill's entire subject is </w:t>
            </w:r>
            <w:r>
              <w:rPr>
                <w:b w:val="0"/>
                <w:i/>
                <w:strike w:val="0"/>
              </w:rPr>
              <w:t>eligibility</w:t>
            </w:r>
            <w:r>
              <w:rPr>
                <w:b w:val="0"/>
                <w:i w:val="0"/>
                <w:strike w:val="0"/>
              </w:rPr>
              <w:t>, which is § 12736's operative word</w:t>
            </w:r>
          </w:p>
        </w:tc>
      </w:tr>
      <w:tr>
        <w:tc>
          <w:tcPr>
            <w:tcW w:type="dxa" w:w="2880"/>
          </w:tcPr>
          <w:p>
            <w:r>
              <w:rPr>
                <w:b/>
                <w:i w:val="0"/>
                <w:strike w:val="0"/>
              </w:rPr>
              <w:t>Approximate normal cost rate for eligible pre-2014 § 51.1-153 B 4 public-safety members</w:t>
            </w:r>
          </w:p>
        </w:tc>
        <w:tc>
          <w:tcPr>
            <w:tcW w:type="dxa" w:w="2880"/>
          </w:tcPr>
          <w:p>
            <w:r>
              <w:rPr>
                <w:b w:val="0"/>
                <w:i w:val="0"/>
                <w:strike w:val="0"/>
              </w:rPr>
              <w:t>VRS</w:t>
            </w:r>
          </w:p>
        </w:tc>
        <w:tc>
          <w:tcPr>
            <w:tcW w:type="dxa" w:w="2880"/>
          </w:tcPr>
          <w:p>
            <w:r>
              <w:rPr>
                <w:b w:val="0"/>
                <w:i w:val="0"/>
                <w:strike w:val="0"/>
              </w:rPr>
              <w:t>Open. The non-hazardous 12.50% / 10.74% rates do not apply to them</w:t>
            </w:r>
          </w:p>
        </w:tc>
      </w:tr>
      <w:tr>
        <w:tc>
          <w:tcPr>
            <w:tcW w:type="dxa" w:w="2880"/>
          </w:tcPr>
          <w:p>
            <w:r>
              <w:rPr>
                <w:b/>
                <w:i w:val="0"/>
                <w:strike w:val="0"/>
              </w:rPr>
              <w:t>Fiscal model re-run against version 1.2</w:t>
            </w:r>
          </w:p>
        </w:tc>
        <w:tc>
          <w:tcPr>
            <w:tcW w:type="dxa" w:w="2880"/>
          </w:tcPr>
          <w:p>
            <w:r>
              <w:rPr>
                <w:b w:val="0"/>
                <w:i w:val="0"/>
                <w:strike w:val="0"/>
              </w:rPr>
              <w:t>Policy-development team / VRS actuary</w:t>
            </w:r>
          </w:p>
        </w:tc>
        <w:tc>
          <w:tcPr>
            <w:tcW w:type="dxa" w:w="2880"/>
          </w:tcPr>
          <w:p>
            <w:r>
              <w:rPr>
                <w:b w:val="0"/>
                <w:i w:val="0"/>
                <w:strike w:val="0"/>
              </w:rPr>
              <w:t>Open. Both October 20 decisions move the model downward</w:t>
            </w:r>
          </w:p>
        </w:tc>
      </w:tr>
      <w:tr>
        <w:tc>
          <w:tcPr>
            <w:tcW w:type="dxa" w:w="2880"/>
          </w:tcPr>
          <w:p>
            <w:r>
              <w:rPr>
                <w:b/>
                <w:i w:val="0"/>
                <w:strike w:val="0"/>
              </w:rPr>
              <w:t>Approved-leave / long-term-disability treatment under subdivision E 3</w:t>
            </w:r>
          </w:p>
        </w:tc>
        <w:tc>
          <w:tcPr>
            <w:tcW w:type="dxa" w:w="2880"/>
          </w:tcPr>
          <w:p>
            <w:r>
              <w:rPr>
                <w:b w:val="0"/>
                <w:i w:val="0"/>
                <w:strike w:val="0"/>
              </w:rPr>
              <w:t>JLCVSO</w:t>
            </w:r>
          </w:p>
        </w:tc>
        <w:tc>
          <w:tcPr>
            <w:tcW w:type="dxa" w:w="2880"/>
          </w:tcPr>
          <w:p>
            <w:r>
              <w:rPr>
                <w:b w:val="0"/>
                <w:i w:val="0"/>
                <w:strike w:val="0"/>
              </w:rPr>
              <w:t>Open — the one narrow policy question left. Resolve or expressly defer</w:t>
            </w:r>
          </w:p>
        </w:tc>
      </w:tr>
      <w:tr>
        <w:tc>
          <w:tcPr>
            <w:tcW w:type="dxa" w:w="2880"/>
          </w:tcPr>
          <w:p>
            <w:r>
              <w:rPr>
                <w:b/>
                <w:i w:val="0"/>
                <w:strike w:val="0"/>
              </w:rPr>
              <w:t>COLA commencement exposure</w:t>
            </w:r>
          </w:p>
        </w:tc>
        <w:tc>
          <w:tcPr>
            <w:tcW w:type="dxa" w:w="2880"/>
          </w:tcPr>
          <w:p>
            <w:r>
              <w:rPr>
                <w:b w:val="0"/>
                <w:i w:val="0"/>
                <w:strike w:val="0"/>
              </w:rPr>
              <w:t>VRS actuary</w:t>
            </w:r>
          </w:p>
        </w:tc>
        <w:tc>
          <w:tcPr>
            <w:tcW w:type="dxa" w:w="2880"/>
          </w:tcPr>
          <w:p>
            <w:r>
              <w:rPr>
                <w:b/>
                <w:i w:val="0"/>
                <w:strike w:val="0"/>
              </w:rPr>
              <w:t>Unquantified.</w:t>
            </w:r>
            <w:r>
              <w:rPr>
                <w:b w:val="0"/>
                <w:i w:val="0"/>
                <w:strike w:val="0"/>
              </w:rPr>
              <w:t xml:space="preserve"> No figure in the package covers it</w:t>
            </w:r>
          </w:p>
        </w:tc>
      </w:tr>
      <w:tr>
        <w:tc>
          <w:tcPr>
            <w:tcW w:type="dxa" w:w="2880"/>
          </w:tcPr>
          <w:p>
            <w:r>
              <w:rPr>
                <w:b/>
                <w:i w:val="0"/>
                <w:strike w:val="0"/>
              </w:rPr>
              <w:t>Enactment clauses of 2026 c. 563</w:t>
            </w:r>
            <w:r>
              <w:rPr>
                <w:b w:val="0"/>
                <w:i w:val="0"/>
                <w:strike w:val="0"/>
              </w:rPr>
              <w:t xml:space="preserve">; </w:t>
            </w:r>
            <w:r>
              <w:rPr>
                <w:b/>
                <w:i w:val="0"/>
                <w:strike w:val="0"/>
              </w:rPr>
              <w:t>LIS full-text search</w:t>
            </w:r>
            <w:r>
              <w:rPr>
                <w:b w:val="0"/>
                <w:i w:val="0"/>
                <w:strike w:val="0"/>
              </w:rPr>
              <w:t xml:space="preserve"> for a comparable bill</w:t>
            </w:r>
          </w:p>
        </w:tc>
        <w:tc>
          <w:tcPr>
            <w:tcW w:type="dxa" w:w="2880"/>
          </w:tcPr>
          <w:p>
            <w:r>
              <w:rPr>
                <w:b w:val="0"/>
                <w:i w:val="0"/>
                <w:strike w:val="0"/>
              </w:rPr>
              <w:t>Policy-development team</w:t>
            </w:r>
          </w:p>
        </w:tc>
        <w:tc>
          <w:tcPr>
            <w:tcW w:type="dxa" w:w="2880"/>
          </w:tcPr>
          <w:p>
            <w:r>
              <w:rPr>
                <w:b w:val="0"/>
                <w:i w:val="0"/>
                <w:strike w:val="0"/>
              </w:rPr>
              <w:t>Open, and cheap to close</w:t>
            </w:r>
          </w:p>
        </w:tc>
      </w:tr>
      <w:tr>
        <w:tc>
          <w:tcPr>
            <w:tcW w:type="dxa" w:w="2880"/>
          </w:tcPr>
          <w:p>
            <w:r>
              <w:rPr>
                <w:b/>
                <w:i w:val="0"/>
                <w:strike w:val="0"/>
              </w:rPr>
              <w:t>Independent read of the package</w:t>
            </w:r>
          </w:p>
        </w:tc>
        <w:tc>
          <w:tcPr>
            <w:tcW w:type="dxa" w:w="2880"/>
          </w:tcPr>
          <w:p>
            <w:r>
              <w:rPr>
                <w:b w:val="0"/>
                <w:i w:val="0"/>
                <w:strike w:val="0"/>
              </w:rPr>
              <w:t>Independent reviewer / veterans' legal counsel</w:t>
            </w:r>
          </w:p>
        </w:tc>
        <w:tc>
          <w:tcPr>
            <w:tcW w:type="dxa" w:w="2880"/>
          </w:tcPr>
          <w:p>
            <w:r>
              <w:rPr>
                <w:b w:val="0"/>
                <w:i w:val="0"/>
                <w:strike w:val="0"/>
              </w:rPr>
              <w:t>Open. MOO-260 was internal, not independent</w:t>
            </w:r>
          </w:p>
        </w:tc>
      </w:tr>
      <w:tr>
        <w:tc>
          <w:tcPr>
            <w:tcW w:type="dxa" w:w="2880"/>
          </w:tcPr>
          <w:p>
            <w:r>
              <w:rPr>
                <w:b/>
                <w:i w:val="0"/>
                <w:strike w:val="0"/>
              </w:rPr>
              <w:t>Conversion to DLS drafting convention</w:t>
            </w:r>
            <w:r>
              <w:rPr>
                <w:b w:val="0"/>
                <w:i w:val="0"/>
                <w:strike w:val="0"/>
              </w:rPr>
              <w:t xml:space="preserve"> (underscore/strikethrough)</w:t>
            </w:r>
          </w:p>
        </w:tc>
        <w:tc>
          <w:tcPr>
            <w:tcW w:type="dxa" w:w="2880"/>
          </w:tcPr>
          <w:p>
            <w:r>
              <w:rPr>
                <w:b w:val="0"/>
                <w:i w:val="0"/>
                <w:strike w:val="0"/>
              </w:rPr>
              <w:t>Division of Legislative Services</w:t>
            </w:r>
          </w:p>
        </w:tc>
        <w:tc>
          <w:tcPr>
            <w:tcW w:type="dxa" w:w="2880"/>
          </w:tcPr>
          <w:p>
            <w:r>
              <w:rPr>
                <w:b w:val="0"/>
                <w:i w:val="0"/>
                <w:strike w:val="0"/>
              </w:rPr>
              <w:t>Expected at introduction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