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Military Service Retirement Bridge — Legislative Package</w:t>
      </w:r>
    </w:p>
    <w:p>
      <w:r>
        <w:rPr>
          <w:b/>
          <w:i w:val="0"/>
          <w:strike w:val="0"/>
        </w:rPr>
        <w:t>Issue:</w:t>
      </w:r>
      <w:r>
        <w:rPr>
          <w:b w:val="0"/>
          <w:i w:val="0"/>
          <w:strike w:val="0"/>
        </w:rPr>
        <w:t xml:space="preserve"> MOO-257 · </w:t>
      </w:r>
      <w:r>
        <w:rPr>
          <w:b/>
          <w:i w:val="0"/>
          <w:strike w:val="0"/>
        </w:rPr>
        <w:t>Version 1.2, October 20, 2026</w:t>
      </w:r>
    </w:p>
    <w:p>
      <w:r>
        <w:rPr>
          <w:b/>
          <w:i w:val="0"/>
          <w:strike w:val="0"/>
        </w:rPr>
        <w:t>Prepared by Policy Development Team using legal, policy, and financial analysis tools, pending review by veterans' legal counsel.</w:t>
      </w:r>
    </w:p>
    <w:p>
      <w:pPr>
        <w:spacing w:after="80"/>
        <w:ind w:left="480"/>
      </w:pPr>
      <w:r>
        <w:rPr>
          <w:b/>
          <w:i w:val="0"/>
          <w:strike w:val="0"/>
          <w:sz w:val="20"/>
        </w:rPr>
        <w:t>Read this first.</w:t>
      </w:r>
      <w:r>
        <w:rPr>
          <w:b w:val="0"/>
          <w:i w:val="0"/>
          <w:strike w:val="0"/>
          <w:sz w:val="20"/>
        </w:rPr>
        <w:t xml:space="preserve"> </w:t>
      </w:r>
      <w:r>
        <w:rPr>
          <w:b/>
          <w:i w:val="0"/>
          <w:strike w:val="0"/>
          <w:sz w:val="20"/>
        </w:rPr>
        <w:t>Every policy question is now settled.</w:t>
      </w:r>
      <w:r>
        <w:rPr>
          <w:b w:val="0"/>
          <w:i w:val="0"/>
          <w:strike w:val="0"/>
          <w:sz w:val="20"/>
        </w:rPr>
        <w:t xml:space="preserve"> Four decisions were resolved on October 19, 2026 and the three blockers from red-team adversarial review were resolved on October 20; version 1.2 drafts all seven. The October 20 decisions were: </w:t>
      </w:r>
      <w:r>
        <w:rPr>
          <w:b/>
          <w:i w:val="0"/>
          <w:strike w:val="0"/>
          <w:sz w:val="20"/>
        </w:rPr>
        <w:t>require member-in-service status at retirement</w:t>
      </w:r>
      <w:r>
        <w:rPr>
          <w:b w:val="0"/>
          <w:i w:val="0"/>
          <w:strike w:val="0"/>
          <w:sz w:val="20"/>
        </w:rPr>
        <w:t xml:space="preserve"> (closing a buy-resign-defer path worth roughly 15 years of acceleration rather than four); </w:t>
      </w:r>
      <w:r>
        <w:rPr>
          <w:b/>
          <w:i w:val="0"/>
          <w:strike w:val="0"/>
          <w:sz w:val="20"/>
        </w:rPr>
        <w:t>accept, price and disclose</w:t>
      </w:r>
      <w:r>
        <w:rPr>
          <w:b w:val="0"/>
          <w:i w:val="0"/>
          <w:strike w:val="0"/>
          <w:sz w:val="20"/>
        </w:rPr>
        <w:t xml:space="preserve"> the earlier commencement of the health insurance credit and COLA, neither of which any exclusion clause can reach; and </w:t>
      </w:r>
      <w:r>
        <w:rPr>
          <w:b/>
          <w:i w:val="0"/>
          <w:strike w:val="0"/>
          <w:sz w:val="20"/>
        </w:rPr>
        <w:t>exclude § 51.1-153 B 4 public-safety employees first hired on or after January 1, 2014</w:t>
      </w:r>
      <w:r>
        <w:rPr>
          <w:b w:val="0"/>
          <w:i w:val="0"/>
          <w:strike w:val="0"/>
          <w:sz w:val="20"/>
        </w:rPr>
        <w:t xml:space="preserve"> — narrower than counsel recommended, and better targeted, since it removes the one population that was permanent and growing. Two claims in the version 1.0 briefs were wrong and were corrected in version 1.1: the health insurance credit and COLA are </w:t>
      </w:r>
      <w:r>
        <w:rPr>
          <w:b/>
          <w:i w:val="0"/>
          <w:strike w:val="0"/>
          <w:sz w:val="20"/>
        </w:rPr>
        <w:t>not</w:t>
      </w:r>
      <w:r>
        <w:rPr>
          <w:b w:val="0"/>
          <w:i w:val="0"/>
          <w:strike w:val="0"/>
          <w:sz w:val="20"/>
        </w:rPr>
        <w:t xml:space="preserve"> protected, and hazardous-duty members are </w:t>
      </w:r>
      <w:r>
        <w:rPr>
          <w:b/>
          <w:i w:val="0"/>
          <w:strike w:val="0"/>
          <w:sz w:val="20"/>
        </w:rPr>
        <w:t>not</w:t>
      </w:r>
      <w:r>
        <w:rPr>
          <w:b w:val="0"/>
          <w:i w:val="0"/>
          <w:strike w:val="0"/>
          <w:sz w:val="20"/>
        </w:rPr>
        <w:t xml:space="preserve"> uniformly excluded.</w:t>
      </w:r>
    </w:p>
    <w:p>
      <w:pPr>
        <w:spacing w:after="80"/>
        <w:ind w:left="480"/>
      </w:pPr>
      <w:r>
        <w:rPr>
          <w:b/>
          <w:i w:val="0"/>
          <w:strike w:val="0"/>
          <w:sz w:val="20"/>
        </w:rPr>
        <w:t>The bill is not cost neutral</w:t>
      </w:r>
      <w:r>
        <w:rPr>
          <w:b w:val="0"/>
          <w:i w:val="0"/>
          <w:strike w:val="0"/>
          <w:sz w:val="20"/>
        </w:rPr>
        <w:t xml:space="preserve">, and the package says so deliberately: a subsidy of up to $341,065 per member, at a combined employer contribution rate impact of </w:t>
      </w:r>
      <w:r>
        <w:rPr>
          <w:b/>
          <w:i w:val="0"/>
          <w:strike w:val="0"/>
          <w:sz w:val="20"/>
        </w:rPr>
        <w:t>0.19 basis points</w:t>
      </w:r>
      <w:r>
        <w:rPr>
          <w:b w:val="0"/>
          <w:i w:val="0"/>
          <w:strike w:val="0"/>
          <w:sz w:val="20"/>
        </w:rPr>
        <w:t xml:space="preserve">. </w:t>
      </w:r>
      <w:r>
        <w:rPr>
          <w:b/>
          <w:i w:val="0"/>
          <w:strike w:val="0"/>
          <w:sz w:val="20"/>
        </w:rPr>
        <w:t>What still stands between this and a patron is not JLCVSO's to decide</w:t>
      </w:r>
      <w:r>
        <w:rPr>
          <w:b w:val="0"/>
          <w:i w:val="0"/>
          <w:strike w:val="0"/>
          <w:sz w:val="20"/>
        </w:rPr>
        <w:t xml:space="preserve"> — the VRS Board statement under § 30-19.1:7 has not been requested, the federal tax questions have not gone to counsel, and the cost model should be re-run against version 1.2 (both October 20 decisions move it downward).</w:t>
      </w:r>
    </w:p>
    <w:p>
      <w:r>
        <w:rPr>
          <w:b/>
          <w:i w:val="0"/>
          <w:strike w:val="0"/>
        </w:rPr>
        <w:t>Target:</w:t>
      </w:r>
      <w:r>
        <w:rPr>
          <w:b w:val="0"/>
          <w:i w:val="0"/>
          <w:strike w:val="0"/>
        </w:rPr>
        <w:t xml:space="preserve"> 2027 Virginia General Assembly · </w:t>
      </w:r>
      <w:r>
        <w:rPr>
          <w:b/>
          <w:i w:val="0"/>
          <w:strike w:val="0"/>
        </w:rPr>
        <w:t>Client:</w:t>
      </w:r>
      <w:r>
        <w:rPr>
          <w:b w:val="0"/>
          <w:i w:val="0"/>
          <w:strike w:val="0"/>
        </w:rPr>
        <w:t xml:space="preserve"> Joint Leadership Council of Veterans Service Organizations (JLCVSO)</w:t>
      </w:r>
    </w:p>
    <w:p>
      <w:r>
        <w:rPr>
          <w:b/>
          <w:i w:val="0"/>
          <w:strike w:val="0"/>
        </w:rPr>
        <w:t>Format:</w:t>
      </w:r>
      <w:r>
        <w:rPr>
          <w:b w:val="0"/>
          <w:i w:val="0"/>
          <w:strike w:val="0"/>
        </w:rPr>
        <w:t xml:space="preserve"> every document is provided as an editable Microsoft Word file (</w:t>
      </w:r>
      <w:r>
        <w:rPr>
          <w:rFonts w:ascii="Consolas" w:hAnsi="Consolas"/>
          <w:b w:val="0"/>
          <w:i w:val="0"/>
          <w:strike w:val="0"/>
          <w:color w:val="303030"/>
          <w:sz w:val="19"/>
        </w:rPr>
        <w:t>.docx</w:t>
      </w:r>
      <w:r>
        <w:rPr>
          <w:b w:val="0"/>
          <w:i w:val="0"/>
          <w:strike w:val="0"/>
        </w:rPr>
        <w:t xml:space="preserve">) at the root of this folder. The Markdown sources used to generate them are kept in </w:t>
      </w:r>
      <w:r>
        <w:rPr>
          <w:rFonts w:ascii="Consolas" w:hAnsi="Consolas"/>
          <w:b w:val="0"/>
          <w:i w:val="0"/>
          <w:strike w:val="0"/>
          <w:color w:val="303030"/>
          <w:sz w:val="19"/>
        </w:rPr>
        <w:t>source-markdown/</w:t>
      </w:r>
      <w:r>
        <w:rPr>
          <w:b w:val="0"/>
          <w:i w:val="0"/>
          <w:strike w:val="0"/>
        </w:rPr>
        <w:t xml:space="preserve"> for version history and diffing; edit the </w:t>
      </w:r>
      <w:r>
        <w:rPr>
          <w:rFonts w:ascii="Consolas" w:hAnsi="Consolas"/>
          <w:b w:val="0"/>
          <w:i w:val="0"/>
          <w:strike w:val="0"/>
          <w:color w:val="303030"/>
          <w:sz w:val="19"/>
        </w:rPr>
        <w:t>.docx</w:t>
      </w:r>
      <w:r>
        <w:rPr>
          <w:b w:val="0"/>
          <w:i w:val="0"/>
          <w:strike w:val="0"/>
        </w:rPr>
        <w:t xml:space="preserve"> 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File</w:t>
            </w:r>
          </w:p>
        </w:tc>
        <w:tc>
          <w:tcPr>
            <w:tcW w:type="dxa" w:w="2160"/>
          </w:tcPr>
          <w:p>
            <w:r>
              <w:rPr>
                <w:b/>
                <w:i w:val="0"/>
                <w:strike w:val="0"/>
              </w:rPr>
              <w:t>Component</w:t>
            </w:r>
          </w:p>
        </w:tc>
        <w:tc>
          <w:tcPr>
            <w:tcW w:type="dxa" w:w="2160"/>
          </w:tcPr>
          <w:p>
            <w:r>
              <w:rPr>
                <w:b/>
                <w:i w:val="0"/>
                <w:strike w:val="0"/>
              </w:rPr>
              <w:t>Audience</w:t>
            </w:r>
          </w:p>
        </w:tc>
        <w:tc>
          <w:tcPr>
            <w:tcW w:type="dxa" w:w="2160"/>
          </w:tcPr>
          <w:p>
            <w:r>
              <w:rPr>
                <w:b/>
                <w:i w:val="0"/>
                <w:strike w:val="0"/>
              </w:rPr>
              <w:t>Status</w:t>
            </w:r>
          </w:p>
        </w:tc>
      </w:tr>
      <w:tr>
        <w:tc>
          <w:tcPr>
            <w:tcW w:type="dxa" w:w="2160"/>
          </w:tcPr>
          <w:p>
            <w:r>
              <w:rPr>
                <w:rFonts w:ascii="Consolas" w:hAnsi="Consolas"/>
                <w:b w:val="0"/>
                <w:i w:val="0"/>
                <w:strike w:val="0"/>
                <w:color w:val="303030"/>
                <w:sz w:val="19"/>
              </w:rPr>
              <w:t>01-bill-draft.docx</w:t>
            </w:r>
          </w:p>
        </w:tc>
        <w:tc>
          <w:tcPr>
            <w:tcW w:type="dxa" w:w="2160"/>
          </w:tcPr>
          <w:p>
            <w:r>
              <w:rPr>
                <w:b w:val="0"/>
                <w:i w:val="0"/>
                <w:strike w:val="0"/>
              </w:rPr>
              <w:t xml:space="preserve">Draft bill text: new § 51.1-142.4 plus conforming amendments to </w:t>
            </w:r>
            <w:r>
              <w:rPr>
                <w:b/>
                <w:i w:val="0"/>
                <w:strike w:val="0"/>
              </w:rPr>
              <w:t>§ 2.2-3204</w:t>
            </w:r>
            <w:r>
              <w:rPr>
                <w:b w:val="0"/>
                <w:i w:val="0"/>
                <w:strike w:val="0"/>
              </w:rPr>
              <w:t xml:space="preserve"> and §§ 51.1-124.3, 51.1-142.2, 51.1-153, 51.1-155, 51.1-162, 51.1-165.01, 51.1-166</w:t>
            </w:r>
          </w:p>
        </w:tc>
        <w:tc>
          <w:tcPr>
            <w:tcW w:type="dxa" w:w="2160"/>
          </w:tcPr>
          <w:p>
            <w:r>
              <w:rPr>
                <w:b w:val="0"/>
                <w:i w:val="0"/>
                <w:strike w:val="0"/>
              </w:rPr>
              <w:t>Patron, Division of Legislative Services</w:t>
            </w:r>
          </w:p>
        </w:tc>
        <w:tc>
          <w:tcPr>
            <w:tcW w:type="dxa" w:w="2160"/>
          </w:tcPr>
          <w:p>
            <w:r>
              <w:rPr>
                <w:b/>
                <w:i w:val="0"/>
                <w:strike w:val="0"/>
              </w:rPr>
              <w:t>Version 1.2 — all policy decisions drafted; pre-introduction items in the memo remain</w:t>
            </w:r>
          </w:p>
        </w:tc>
      </w:tr>
      <w:tr>
        <w:tc>
          <w:tcPr>
            <w:tcW w:type="dxa" w:w="2160"/>
          </w:tcPr>
          <w:p>
            <w:r>
              <w:rPr>
                <w:rFonts w:ascii="Consolas" w:hAnsi="Consolas"/>
                <w:b w:val="0"/>
                <w:i w:val="0"/>
                <w:strike w:val="0"/>
                <w:color w:val="303030"/>
                <w:sz w:val="19"/>
              </w:rPr>
              <w:t>02-legal-analysis-memo.docx</w:t>
            </w:r>
          </w:p>
        </w:tc>
        <w:tc>
          <w:tcPr>
            <w:tcW w:type="dxa" w:w="2160"/>
          </w:tcPr>
          <w:p>
            <w:r>
              <w:rPr>
                <w:b w:val="0"/>
                <w:i w:val="0"/>
                <w:strike w:val="0"/>
              </w:rPr>
              <w:t>Current-law baseline, terminology discipline, statutory conflicts and conforming amendments, unintended-effects review, risks, open questions (DECISION / ACTUARY / COUNSEL items)</w:t>
            </w:r>
          </w:p>
        </w:tc>
        <w:tc>
          <w:tcPr>
            <w:tcW w:type="dxa" w:w="2160"/>
          </w:tcPr>
          <w:p>
            <w:r>
              <w:rPr>
                <w:b w:val="0"/>
                <w:i w:val="0"/>
                <w:strike w:val="0"/>
              </w:rPr>
              <w:t>Counsel, VRS, JLCVSO leadership</w:t>
            </w:r>
          </w:p>
        </w:tc>
        <w:tc>
          <w:tcPr>
            <w:tcW w:type="dxa" w:w="2160"/>
          </w:tcPr>
          <w:p>
            <w:r>
              <w:rPr>
                <w:b w:val="0"/>
                <w:i w:val="0"/>
                <w:strike w:val="0"/>
              </w:rPr>
              <w:t>Complete</w:t>
            </w:r>
          </w:p>
        </w:tc>
      </w:tr>
      <w:tr>
        <w:tc>
          <w:tcPr>
            <w:tcW w:type="dxa" w:w="2160"/>
          </w:tcPr>
          <w:p>
            <w:r>
              <w:rPr>
                <w:rFonts w:ascii="Consolas" w:hAnsi="Consolas"/>
                <w:b w:val="0"/>
                <w:i w:val="0"/>
                <w:strike w:val="0"/>
                <w:color w:val="303030"/>
                <w:sz w:val="19"/>
              </w:rPr>
              <w:t>03-jlc-one-page-brief.docx</w:t>
            </w:r>
          </w:p>
        </w:tc>
        <w:tc>
          <w:tcPr>
            <w:tcW w:type="dxa" w:w="2160"/>
          </w:tcPr>
          <w:p>
            <w:r>
              <w:rPr>
                <w:b w:val="0"/>
                <w:i w:val="0"/>
                <w:strike w:val="0"/>
              </w:rPr>
              <w:t>One-page brief: the proposal and the gap it fills</w:t>
            </w:r>
          </w:p>
        </w:tc>
        <w:tc>
          <w:tcPr>
            <w:tcW w:type="dxa" w:w="2160"/>
          </w:tcPr>
          <w:p>
            <w:r>
              <w:rPr>
                <w:b w:val="0"/>
                <w:i w:val="0"/>
                <w:strike w:val="0"/>
              </w:rPr>
              <w:t>JLCVSO members, legislators</w:t>
            </w:r>
          </w:p>
        </w:tc>
        <w:tc>
          <w:tcPr>
            <w:tcW w:type="dxa" w:w="2160"/>
          </w:tcPr>
          <w:p>
            <w:r>
              <w:rPr>
                <w:b w:val="0"/>
                <w:i w:val="0"/>
                <w:strike w:val="0"/>
              </w:rPr>
              <w:t>Complete</w:t>
            </w:r>
          </w:p>
        </w:tc>
      </w:tr>
      <w:tr>
        <w:tc>
          <w:tcPr>
            <w:tcW w:type="dxa" w:w="2160"/>
          </w:tcPr>
          <w:p>
            <w:r>
              <w:rPr>
                <w:rFonts w:ascii="Consolas" w:hAnsi="Consolas"/>
                <w:b w:val="0"/>
                <w:i w:val="0"/>
                <w:strike w:val="0"/>
                <w:color w:val="303030"/>
                <w:sz w:val="19"/>
              </w:rPr>
              <w:t>04-jlc-two-page-brief.docx</w:t>
            </w:r>
          </w:p>
        </w:tc>
        <w:tc>
          <w:tcPr>
            <w:tcW w:type="dxa" w:w="2160"/>
          </w:tcPr>
          <w:p>
            <w:r>
              <w:rPr>
                <w:b w:val="0"/>
                <w:i w:val="0"/>
                <w:strike w:val="0"/>
              </w:rPr>
              <w:t>Two-page brief: fuller explanation, examples, all seven recorded decisions including the three resolved blockers, and what a member gives up by retiring earlier</w:t>
            </w:r>
          </w:p>
        </w:tc>
        <w:tc>
          <w:tcPr>
            <w:tcW w:type="dxa" w:w="2160"/>
          </w:tcPr>
          <w:p>
            <w:r>
              <w:rPr>
                <w:b w:val="0"/>
                <w:i w:val="0"/>
                <w:strike w:val="0"/>
              </w:rPr>
              <w:t>JLCVSO members, legislators</w:t>
            </w:r>
          </w:p>
        </w:tc>
        <w:tc>
          <w:tcPr>
            <w:tcW w:type="dxa" w:w="2160"/>
          </w:tcPr>
          <w:p>
            <w:r>
              <w:rPr>
                <w:b w:val="0"/>
                <w:i w:val="0"/>
                <w:strike w:val="0"/>
              </w:rPr>
              <w:t>Complete</w:t>
            </w:r>
          </w:p>
        </w:tc>
      </w:tr>
      <w:tr>
        <w:tc>
          <w:tcPr>
            <w:tcW w:type="dxa" w:w="2160"/>
          </w:tcPr>
          <w:p>
            <w:r>
              <w:rPr>
                <w:rFonts w:ascii="Consolas" w:hAnsi="Consolas"/>
                <w:b w:val="0"/>
                <w:i w:val="0"/>
                <w:strike w:val="0"/>
                <w:color w:val="303030"/>
                <w:sz w:val="19"/>
              </w:rPr>
              <w:t>05-source-appendix.docx</w:t>
            </w:r>
          </w:p>
        </w:tc>
        <w:tc>
          <w:tcPr>
            <w:tcW w:type="dxa" w:w="2160"/>
          </w:tcPr>
          <w:p>
            <w:r>
              <w:rPr>
                <w:b w:val="0"/>
                <w:i w:val="0"/>
                <w:strike w:val="0"/>
              </w:rPr>
              <w:t>Claim/evidence table, pinpoint citations, source links, amendment histories, a corrections log for the fourteen citation defects found on re-verification, and what is deliberately unsourced</w:t>
            </w:r>
          </w:p>
        </w:tc>
        <w:tc>
          <w:tcPr>
            <w:tcW w:type="dxa" w:w="2160"/>
          </w:tcPr>
          <w:p>
            <w:r>
              <w:rPr>
                <w:b w:val="0"/>
                <w:i w:val="0"/>
                <w:strike w:val="0"/>
              </w:rPr>
              <w:t>All</w:t>
            </w:r>
          </w:p>
        </w:tc>
        <w:tc>
          <w:tcPr>
            <w:tcW w:type="dxa" w:w="2160"/>
          </w:tcPr>
          <w:p>
            <w:r>
              <w:rPr>
                <w:b w:val="0"/>
                <w:i w:val="0"/>
                <w:strike w:val="0"/>
              </w:rPr>
              <w:t>Complete</w:t>
            </w:r>
          </w:p>
        </w:tc>
      </w:tr>
      <w:tr>
        <w:tc>
          <w:tcPr>
            <w:tcW w:type="dxa" w:w="2160"/>
          </w:tcPr>
          <w:p>
            <w:r>
              <w:rPr>
                <w:rFonts w:ascii="Consolas" w:hAnsi="Consolas"/>
                <w:b w:val="0"/>
                <w:i w:val="0"/>
                <w:strike w:val="0"/>
                <w:color w:val="303030"/>
                <w:sz w:val="19"/>
              </w:rPr>
              <w:t>06-red-team-review.docx</w:t>
            </w:r>
          </w:p>
        </w:tc>
        <w:tc>
          <w:tcPr>
            <w:tcW w:type="dxa" w:w="2160"/>
          </w:tcPr>
          <w:p>
            <w:r>
              <w:rPr>
                <w:b w:val="0"/>
                <w:i w:val="0"/>
                <w:strike w:val="0"/>
              </w:rPr>
              <w:t>Red-team adversarial review: twelve findings ranked, five blockers, citation verification results, over-reach analysis, political and messaging exposure, member-detriment disclosures</w:t>
            </w:r>
          </w:p>
        </w:tc>
        <w:tc>
          <w:tcPr>
            <w:tcW w:type="dxa" w:w="2160"/>
          </w:tcPr>
          <w:p>
            <w:r>
              <w:rPr>
                <w:b w:val="0"/>
                <w:i w:val="0"/>
                <w:strike w:val="0"/>
              </w:rPr>
              <w:t>Counsel, JLCVSO leadership</w:t>
            </w:r>
          </w:p>
        </w:tc>
        <w:tc>
          <w:tcPr>
            <w:tcW w:type="dxa" w:w="2160"/>
          </w:tcPr>
          <w:p>
            <w:r>
              <w:rPr>
                <w:b w:val="0"/>
                <w:i w:val="0"/>
                <w:strike w:val="0"/>
              </w:rPr>
              <w:t>Complete (MOO-260)</w:t>
            </w:r>
          </w:p>
        </w:tc>
      </w:tr>
      <w:tr>
        <w:tc>
          <w:tcPr>
            <w:tcW w:type="dxa" w:w="2160"/>
          </w:tcPr>
          <w:p>
            <w:r>
              <w:rPr>
                <w:rFonts w:ascii="Consolas" w:hAnsi="Consolas"/>
                <w:b w:val="0"/>
                <w:i w:val="0"/>
                <w:strike w:val="0"/>
                <w:color w:val="303030"/>
                <w:sz w:val="19"/>
              </w:rPr>
              <w:t>07-precedent-and-stakeholder-scan.docx</w:t>
            </w:r>
          </w:p>
        </w:tc>
        <w:tc>
          <w:tcPr>
            <w:tcW w:type="dxa" w:w="2160"/>
          </w:tcPr>
          <w:p>
            <w:r>
              <w:rPr>
                <w:b w:val="0"/>
                <w:i w:val="0"/>
                <w:strike w:val="0"/>
              </w:rPr>
              <w:t>Prior Virginia bills, VRS Board posture, money-committee history, JLCVSO package fit, comparative state scan</w:t>
            </w:r>
          </w:p>
        </w:tc>
        <w:tc>
          <w:tcPr>
            <w:tcW w:type="dxa" w:w="2160"/>
          </w:tcPr>
          <w:p>
            <w:r>
              <w:rPr>
                <w:b w:val="0"/>
                <w:i w:val="0"/>
                <w:strike w:val="0"/>
              </w:rPr>
              <w:t>JLCVSO leadership, patron</w:t>
            </w:r>
          </w:p>
        </w:tc>
        <w:tc>
          <w:tcPr>
            <w:tcW w:type="dxa" w:w="2160"/>
          </w:tcPr>
          <w:p>
            <w:r>
              <w:rPr>
                <w:b w:val="0"/>
                <w:i w:val="0"/>
                <w:strike w:val="0"/>
              </w:rPr>
              <w:t>Complete (MOO-261)</w:t>
            </w:r>
          </w:p>
        </w:tc>
      </w:tr>
      <w:tr>
        <w:tc>
          <w:tcPr>
            <w:tcW w:type="dxa" w:w="2160"/>
          </w:tcPr>
          <w:p>
            <w:r>
              <w:rPr>
                <w:rFonts w:ascii="Consolas" w:hAnsi="Consolas"/>
                <w:b w:val="0"/>
                <w:i w:val="0"/>
                <w:strike w:val="0"/>
                <w:color w:val="303030"/>
                <w:sz w:val="19"/>
              </w:rPr>
              <w:t>08-fiscal-model-memo.docx</w:t>
            </w:r>
          </w:p>
        </w:tc>
        <w:tc>
          <w:tcPr>
            <w:tcW w:type="dxa" w:w="2160"/>
          </w:tcPr>
          <w:p>
            <w:r>
              <w:rPr>
                <w:b w:val="0"/>
                <w:i w:val="0"/>
                <w:strike w:val="0"/>
              </w:rPr>
              <w:t xml:space="preserve">Cost model: per-member price versus value, affected population FY2029–FY2038, employer contribution rate impact, sensitivities, hybrid-inclusion variant, workforce effects, data VRS must supply. Reproducible code and tables in </w:t>
            </w:r>
            <w:r>
              <w:rPr>
                <w:rFonts w:ascii="Consolas" w:hAnsi="Consolas"/>
                <w:b w:val="0"/>
                <w:i w:val="0"/>
                <w:strike w:val="0"/>
                <w:color w:val="303030"/>
                <w:sz w:val="19"/>
              </w:rPr>
              <w:t>fiscal-model/</w:t>
            </w:r>
          </w:p>
        </w:tc>
        <w:tc>
          <w:tcPr>
            <w:tcW w:type="dxa" w:w="2160"/>
          </w:tcPr>
          <w:p>
            <w:r>
              <w:rPr>
                <w:b w:val="0"/>
                <w:i w:val="0"/>
                <w:strike w:val="0"/>
              </w:rPr>
              <w:t>Money committees, VRS, JLCVSO leadership, patron</w:t>
            </w:r>
          </w:p>
        </w:tc>
        <w:tc>
          <w:tcPr>
            <w:tcW w:type="dxa" w:w="2160"/>
          </w:tcPr>
          <w:p>
            <w:r>
              <w:rPr>
                <w:b w:val="0"/>
                <w:i w:val="0"/>
                <w:strike w:val="0"/>
              </w:rPr>
              <w:t xml:space="preserve">Complete (MOO-259) — </w:t>
            </w:r>
            <w:r>
              <w:rPr>
                <w:b/>
                <w:i w:val="0"/>
                <w:strike w:val="0"/>
              </w:rPr>
              <w:t>illustrative, not the Board's § 30-19.1:7 statement</w:t>
            </w:r>
          </w:p>
        </w:tc>
      </w:tr>
    </w:tbl>
    <w:p/>
    <w:p>
      <w:r>
        <w:rPr>
          <w:b w:val="0"/>
          <w:i w:val="0"/>
          <w:strike w:val="0"/>
        </w:rPr>
        <w:t xml:space="preserve">In the bill draft, </w:t>
      </w:r>
      <w:r>
        <w:rPr>
          <w:b/>
          <w:i w:val="0"/>
          <w:strike w:val="0"/>
        </w:rPr>
        <w:t>bold</w:t>
      </w:r>
      <w:r>
        <w:rPr>
          <w:b w:val="0"/>
          <w:i w:val="0"/>
          <w:strike w:val="0"/>
        </w:rPr>
        <w:t xml:space="preserve"> marks language proposed to be added and </w:t>
      </w:r>
      <w:r>
        <w:rPr>
          <w:b w:val="0"/>
          <w:i w:val="0"/>
          <w:strike/>
        </w:rPr>
        <w:t>strikethrough</w:t>
      </w:r>
      <w:r>
        <w:rPr>
          <w:b w:val="0"/>
          <w:i w:val="0"/>
          <w:strike w:val="0"/>
        </w:rPr>
        <w:t xml:space="preserve"> marks language proposed to be struck. DLS will convert to the underscore/strikethrough convention used in introduced bills.</w:t>
      </w:r>
    </w:p>
    <w:p>
      <w:pPr>
        <w:pStyle w:val="Heading2"/>
      </w:pPr>
      <w:r>
        <w:rPr>
          <w:b w:val="0"/>
          <w:i w:val="0"/>
          <w:strike w:val="0"/>
        </w:rPr>
        <w:t>Core policy principle</w:t>
      </w:r>
    </w:p>
    <w:p>
      <w:r>
        <w:rPr>
          <w:b w:val="0"/>
          <w:i w:val="0"/>
          <w:strike w:val="0"/>
        </w:rPr>
        <w:t xml:space="preserve">The bridge is an </w:t>
      </w:r>
      <w:r>
        <w:rPr>
          <w:b/>
          <w:i w:val="0"/>
          <w:strike w:val="0"/>
        </w:rPr>
        <w:t>eligibility benefit, not a pension-accrual benefit</w:t>
      </w:r>
      <w:r>
        <w:rPr>
          <w:b w:val="0"/>
          <w:i w:val="0"/>
          <w:strike w:val="0"/>
        </w:rPr>
        <w:t xml:space="preserve">. It lets a vested VRS Plan 1 or Plan 2 member use up to four years of prior active duty military service, at approximate normal cost after the existing 24-month window has closed, </w:t>
      </w:r>
      <w:r>
        <w:rPr>
          <w:b/>
          <w:i w:val="0"/>
          <w:strike w:val="0"/>
        </w:rPr>
        <w:t>solely</w:t>
      </w:r>
      <w:r>
        <w:rPr>
          <w:b w:val="0"/>
          <w:i w:val="0"/>
          <w:strike w:val="0"/>
        </w:rPr>
        <w:t xml:space="preserve"> to reach the threshold for an unreduced retirement allowance — with no increase in the retirement allowance and no effect on any other VRS benefit.</w:t>
      </w:r>
    </w:p>
    <w:p>
      <w:pPr>
        <w:pStyle w:val="Heading2"/>
      </w:pPr>
      <w:r>
        <w:rPr>
          <w:b w:val="0"/>
          <w:i w:val="0"/>
          <w:strike w:val="0"/>
        </w:rPr>
        <w:t>The three moves that make it work</w:t>
      </w:r>
    </w:p>
    <w:p>
      <w:pPr>
        <w:pStyle w:val="ListNumber"/>
      </w:pPr>
      <w:r>
        <w:rPr>
          <w:b/>
          <w:i w:val="0"/>
          <w:strike w:val="0"/>
        </w:rPr>
        <w:t>New § 51.1-142.4</w:t>
      </w:r>
      <w:r>
        <w:rPr>
          <w:b w:val="0"/>
          <w:i w:val="0"/>
          <w:strike w:val="0"/>
        </w:rPr>
        <w:t>, not an amendment inside § 51.1-142.2 — because "creditable service" is defined as "prior service as set forth in § 51.1-142.2 plus membership service," so anything added there becomes creditable service automatically.</w:t>
      </w:r>
    </w:p>
    <w:p>
      <w:pPr>
        <w:pStyle w:val="ListNumber"/>
      </w:pPr>
      <w:r>
        <w:rPr>
          <w:b/>
          <w:i w:val="0"/>
          <w:strike w:val="0"/>
        </w:rPr>
        <w:t>Express carve-out from the "creditable service" definition</w:t>
      </w:r>
      <w:r>
        <w:rPr>
          <w:b w:val="0"/>
          <w:i w:val="0"/>
          <w:strike w:val="0"/>
        </w:rPr>
        <w:t xml:space="preserve"> in § 51.1-124.3, which protects the benefit formula, AFC, the health insurance credit's </w:t>
      </w:r>
      <w:r>
        <w:rPr>
          <w:b/>
          <w:i w:val="0"/>
          <w:strike w:val="0"/>
        </w:rPr>
        <w:t>threshold and amount</w:t>
      </w:r>
      <w:r>
        <w:rPr>
          <w:b w:val="0"/>
          <w:i w:val="0"/>
          <w:strike w:val="0"/>
        </w:rPr>
        <w:t xml:space="preserve"> (not its commencement date — see below), group life thresholds, disability allowances, and the five-year vesting analogue in one stroke.</w:t>
      </w:r>
    </w:p>
    <w:p>
      <w:pPr>
        <w:pStyle w:val="ListNumber"/>
      </w:pPr>
      <w:r>
        <w:rPr>
          <w:b/>
          <w:i w:val="0"/>
          <w:strike w:val="0"/>
        </w:rPr>
        <w:t>Six conforming amendments across five sections</w:t>
      </w:r>
      <w:r>
        <w:rPr>
          <w:b w:val="0"/>
          <w:i w:val="0"/>
          <w:strike w:val="0"/>
        </w:rPr>
        <w:t xml:space="preserve"> — to §§ 51.1-162, 51.1-165.01 and 51.1-166, which key off the </w:t>
      </w:r>
      <w:r>
        <w:rPr>
          <w:b w:val="0"/>
          <w:i/>
          <w:strike w:val="0"/>
        </w:rPr>
        <w:t>date of unreduced-retirement eligibility</w:t>
      </w:r>
      <w:r>
        <w:rPr>
          <w:b w:val="0"/>
          <w:i w:val="0"/>
          <w:strike w:val="0"/>
        </w:rPr>
        <w:t xml:space="preserve"> rather than off creditable service; to </w:t>
      </w:r>
      <w:r>
        <w:rPr>
          <w:b/>
          <w:i w:val="0"/>
          <w:strike w:val="0"/>
        </w:rPr>
        <w:t>§ 2.2-3204 in Title 2.2</w:t>
      </w:r>
      <w:r>
        <w:rPr>
          <w:b w:val="0"/>
          <w:i w:val="0"/>
          <w:strike w:val="0"/>
        </w:rPr>
        <w:t xml:space="preserve"> (version 1.1), under which Workforce Transition Act severance years convert from </w:t>
      </w:r>
      <w:r>
        <w:rPr>
          <w:b w:val="0"/>
          <w:i/>
          <w:strike w:val="0"/>
        </w:rPr>
        <w:t>age</w:t>
      </w:r>
      <w:r>
        <w:rPr>
          <w:b w:val="0"/>
          <w:i w:val="0"/>
          <w:strike w:val="0"/>
        </w:rPr>
        <w:t xml:space="preserve"> into </w:t>
      </w:r>
      <w:r>
        <w:rPr>
          <w:b w:val="0"/>
          <w:i/>
          <w:strike w:val="0"/>
        </w:rPr>
        <w:t>creditable service</w:t>
      </w:r>
      <w:r>
        <w:rPr>
          <w:b w:val="0"/>
          <w:i w:val="0"/>
          <w:strike w:val="0"/>
        </w:rPr>
        <w:t xml:space="preserve"> once an employee is eligible for unreduced retirement; and to </w:t>
      </w:r>
      <w:r>
        <w:rPr>
          <w:b/>
          <w:i w:val="0"/>
          <w:strike w:val="0"/>
        </w:rPr>
        <w:t>§ 51.1-153 C</w:t>
      </w:r>
      <w:r>
        <w:rPr>
          <w:b w:val="0"/>
          <w:i w:val="0"/>
          <w:strike w:val="0"/>
        </w:rPr>
        <w:t xml:space="preserve"> (version 1.2), the deferred-retirement subsection, which expressly waives in-service requirements and would otherwise have swallowed the new in-service-at-retirement condition. Without these, the credit leaks into PLOP, the death-in-service benefit, deferred retirement, and an employer-funded increase in the allowance itself, even though it is not creditable service.</w:t>
      </w:r>
    </w:p>
    <w:p>
      <w:r>
        <w:rPr>
          <w:b/>
          <w:i w:val="0"/>
          <w:strike w:val="0"/>
        </w:rPr>
        <w:t>What the three moves do not reach.</w:t>
      </w:r>
      <w:r>
        <w:rPr>
          <w:b w:val="0"/>
          <w:i w:val="0"/>
          <w:strike w:val="0"/>
        </w:rPr>
        <w:t xml:space="preserve"> They control what the credit </w:t>
      </w:r>
      <w:r>
        <w:rPr>
          <w:b w:val="0"/>
          <w:i/>
          <w:strike w:val="0"/>
        </w:rPr>
        <w:t>is</w:t>
      </w:r>
      <w:r>
        <w:rPr>
          <w:b w:val="0"/>
          <w:i w:val="0"/>
          <w:strike w:val="0"/>
        </w:rPr>
        <w:t xml:space="preserve">. They do not control what an </w:t>
      </w:r>
      <w:r>
        <w:rPr>
          <w:b/>
          <w:i w:val="0"/>
          <w:strike w:val="0"/>
        </w:rPr>
        <w:t>earlier retirement date</w:t>
      </w:r>
      <w:r>
        <w:rPr>
          <w:b w:val="0"/>
          <w:i w:val="0"/>
          <w:strike w:val="0"/>
        </w:rPr>
        <w:t xml:space="preserve"> does. The health insurance credit and ordinary COLA both commence at retirement, so both start up to four years earlier and neither is reachable by exclusion drafting. </w:t>
      </w:r>
      <w:r>
        <w:rPr>
          <w:b/>
          <w:i w:val="0"/>
          <w:strike w:val="0"/>
        </w:rPr>
        <w:t>Per DECISION 9 that cost is accepted, priced and disclosed rather than cured</w:t>
      </w:r>
      <w:r>
        <w:rPr>
          <w:b w:val="0"/>
          <w:i w:val="0"/>
          <w:strike w:val="0"/>
        </w:rPr>
        <w:t>, and the savings paragraph at the end of § 51.1-142.4 F says so affirmatively so no one misreads subdivision F 8 as delaying commencement.</w:t>
      </w:r>
    </w:p>
    <w:p>
      <w:pPr>
        <w:pStyle w:val="Heading2"/>
      </w:pPr>
      <w:r>
        <w:rPr>
          <w:b w:val="0"/>
          <w:i w:val="0"/>
          <w:strike w:val="0"/>
        </w:rPr>
        <w:t>Policy decisions — all seven settled</w:t>
      </w:r>
    </w:p>
    <w:p>
      <w:r>
        <w:rPr>
          <w:b w:val="0"/>
          <w:i w:val="0"/>
          <w:strike w:val="0"/>
        </w:rPr>
        <w:t xml:space="preserve">See </w:t>
      </w:r>
      <w:r>
        <w:rPr>
          <w:rFonts w:ascii="Consolas" w:hAnsi="Consolas"/>
          <w:b w:val="0"/>
          <w:i w:val="0"/>
          <w:strike w:val="0"/>
          <w:color w:val="303030"/>
          <w:sz w:val="19"/>
        </w:rPr>
        <w:t>02-legal-analysis-memo.docx</w:t>
      </w:r>
      <w:r>
        <w:rPr>
          <w:b w:val="0"/>
          <w:i w:val="0"/>
          <w:strike w:val="0"/>
        </w:rPr>
        <w:t>, Part 6.</w:t>
      </w:r>
    </w:p>
    <w:p>
      <w:r>
        <w:rPr>
          <w:b/>
          <w:i w:val="0"/>
          <w:strike w:val="0"/>
        </w:rPr>
        <w:t>Settled October 19, 2026:</w:t>
      </w:r>
      <w:r>
        <w:rPr>
          <w:b w:val="0"/>
          <w:i w:val="0"/>
          <w:strike w:val="0"/>
        </w:rPr>
        <w:t xml:space="preserve"> hybrid plan participants excluded (Plan 1 / Plan 2 only); the military retired pay bar inherited without exception; the PLOP eligibility date frozen, with the trade-off disclosed in both briefs; partial purchase capped at the shortfall permitted.</w:t>
      </w:r>
    </w:p>
    <w:p>
      <w:r>
        <w:rPr>
          <w:b/>
          <w:i w:val="0"/>
          <w:strike w:val="0"/>
        </w:rPr>
        <w:t>Settled October 20, 2026 — the three blockers from red-team adversarial review:</w:t>
      </w:r>
    </w:p>
    <w:p>
      <w:pPr>
        <w:pStyle w:val="ListBullet"/>
      </w:pPr>
      <w:r>
        <w:rPr>
          <w:b/>
          <w:i w:val="0"/>
          <w:strike w:val="0"/>
        </w:rPr>
        <w:t>DECISION 8 — deferred-member acceleration.</w:t>
      </w:r>
      <w:r>
        <w:rPr>
          <w:b w:val="0"/>
          <w:i w:val="0"/>
          <w:strike w:val="0"/>
        </w:rPr>
        <w:t xml:space="preserve"> </w:t>
      </w:r>
      <w:r>
        <w:rPr>
          <w:b w:val="0"/>
          <w:i/>
          <w:strike w:val="0"/>
        </w:rPr>
        <w:t>Require member-in-service status at retirement, not only at purchase.</w:t>
      </w:r>
      <w:r>
        <w:rPr>
          <w:b w:val="0"/>
          <w:i w:val="0"/>
          <w:strike w:val="0"/>
        </w:rPr>
        <w:t xml:space="preserve"> Implemented in new § 51.1-142.4 E 3 </w:t>
      </w:r>
      <w:r>
        <w:rPr>
          <w:b/>
          <w:i w:val="0"/>
          <w:strike w:val="0"/>
        </w:rPr>
        <w:t>and</w:t>
      </w:r>
      <w:r>
        <w:rPr>
          <w:b w:val="0"/>
          <w:i w:val="0"/>
          <w:strike w:val="0"/>
        </w:rPr>
        <w:t xml:space="preserve"> in an amendment to § 51.1-153 C — both were necessary, because that subsection's general waiver of in-service requirements would otherwise have consumed the new condition. A member who leaves before retiring is refunded with interest (K 1 c, K 1 d) and must be told so in writing before purchase (I 2(vii)).</w:t>
      </w:r>
    </w:p>
    <w:p>
      <w:pPr>
        <w:pStyle w:val="ListBullet"/>
      </w:pPr>
      <w:r>
        <w:rPr>
          <w:b/>
          <w:i w:val="0"/>
          <w:strike w:val="0"/>
        </w:rPr>
        <w:t>DECISION 9 — health insurance credit and COLA commencement.</w:t>
      </w:r>
      <w:r>
        <w:rPr>
          <w:b w:val="0"/>
          <w:i w:val="0"/>
          <w:strike w:val="0"/>
        </w:rPr>
        <w:t xml:space="preserve"> </w:t>
      </w:r>
      <w:r>
        <w:rPr>
          <w:b w:val="0"/>
          <w:i/>
          <w:strike w:val="0"/>
        </w:rPr>
        <w:t>Accept and price both; disclose them in the briefs and to the money committees.</w:t>
      </w:r>
      <w:r>
        <w:rPr>
          <w:b w:val="0"/>
          <w:i w:val="0"/>
          <w:strike w:val="0"/>
        </w:rPr>
        <w:t xml:space="preserve"> No exclusion is attempted because none is possible. Clause 3(vi) of the enactment requires the Board to report both by trust. The COLA exposure is the one figure the cost model does not quantify.</w:t>
      </w:r>
    </w:p>
    <w:p>
      <w:pPr>
        <w:pStyle w:val="ListBullet"/>
      </w:pPr>
      <w:r>
        <w:rPr>
          <w:b/>
          <w:i w:val="0"/>
          <w:strike w:val="0"/>
        </w:rPr>
        <w:t>DECISION 10 — § 51.1-153 B 4 public-safety scope.</w:t>
      </w:r>
      <w:r>
        <w:rPr>
          <w:b w:val="0"/>
          <w:i w:val="0"/>
          <w:strike w:val="0"/>
        </w:rPr>
        <w:t xml:space="preserve"> </w:t>
      </w:r>
      <w:r>
        <w:rPr>
          <w:b w:val="0"/>
          <w:i/>
          <w:strike w:val="0"/>
        </w:rPr>
        <w:t>Exclude only those whose first VRS membership began on or after January 1, 2014.</w:t>
      </w:r>
      <w:r>
        <w:rPr>
          <w:b w:val="0"/>
          <w:i w:val="0"/>
          <w:strike w:val="0"/>
        </w:rPr>
        <w:t xml:space="preserve"> Implemented in new clause B 1(iv) and subsection J, with new subdivision C 1 c resolving which deficit formula applies to the still-eligible pre-2014 class. Narrower than counsel recommended and adopted without reservation: the defect was that the class was permanent and growing, and this removes exactly that while keeping the bridge for pre-2014 public-safety veterans. </w:t>
      </w:r>
      <w:r>
        <w:rPr>
          <w:b/>
          <w:i w:val="0"/>
          <w:strike w:val="0"/>
        </w:rPr>
        <w:t>The beneficiary class is now closed and shrinking across the entire bill.</w:t>
      </w:r>
      <w:r>
        <w:rPr>
          <w:b w:val="0"/>
          <w:i w:val="0"/>
          <w:strike w:val="0"/>
        </w:rPr>
        <w:t xml:space="preserve"> The resolved wording was conformed to the statute without changing its substance; its verbatim text is recorded in Part 6.1 of the memorandum.</w:t>
      </w:r>
    </w:p>
    <w:p>
      <w:r>
        <w:rPr>
          <w:b/>
          <w:i w:val="0"/>
          <w:strike w:val="0"/>
        </w:rPr>
        <w:t>Remaining open items are not JLCVSO policy questions:</w:t>
      </w:r>
      <w:r>
        <w:rPr>
          <w:b w:val="0"/>
          <w:i w:val="0"/>
          <w:strike w:val="0"/>
        </w:rPr>
        <w:t xml:space="preserve"> the VRS Board's § 30-19.1:7 statement, the federal tax questions in Part 5.2 of the memorandum, a re-run of the cost model against version 1.2, and the two verification items in Part 7.5. Drafting note 10 also flags one sub-question the Council has not been asked — whether a member on approved leave or long-term disability at retirement should count as in service for DECISION 8 purposes.</w:t>
      </w:r>
    </w:p>
    <w:p>
      <w:pPr>
        <w:pStyle w:val="Heading2"/>
      </w:pPr>
      <w:r>
        <w:rPr>
          <w:b w:val="0"/>
          <w:i w:val="0"/>
          <w:strike w:val="0"/>
        </w:rPr>
        <w:t>What it costs</w:t>
      </w:r>
    </w:p>
    <w:p>
      <w:r>
        <w:rPr>
          <w:b w:val="0"/>
          <w:i w:val="0"/>
          <w:strike w:val="0"/>
        </w:rPr>
        <w:t xml:space="preserve">ACTUARY 1 and ACTUARY 2 are </w:t>
      </w:r>
      <w:r>
        <w:rPr>
          <w:b/>
          <w:i w:val="0"/>
          <w:strike w:val="0"/>
        </w:rPr>
        <w:t>answered</w:t>
      </w:r>
      <w:r>
        <w:rPr>
          <w:b w:val="0"/>
          <w:i w:val="0"/>
          <w:strike w:val="0"/>
        </w:rPr>
        <w:t xml:space="preserve"> (MOO-259). Two numbers, and the package must always carry both:</w:t>
      </w:r>
    </w:p>
    <w:p>
      <w:pPr>
        <w:pStyle w:val="ListBullet"/>
      </w:pPr>
      <w:r>
        <w:rPr>
          <w:b/>
          <w:i w:val="0"/>
          <w:strike w:val="0"/>
        </w:rPr>
        <w:t>Per member, the price does not cover the value.</w:t>
      </w:r>
      <w:r>
        <w:rPr>
          <w:b w:val="0"/>
          <w:i w:val="0"/>
          <w:strike w:val="0"/>
        </w:rPr>
        <w:t xml:space="preserve"> Approximate normal cost recovers </w:t>
      </w:r>
      <w:r>
        <w:rPr>
          <w:b/>
          <w:i w:val="0"/>
          <w:strike w:val="0"/>
        </w:rPr>
        <w:t>11% to 78%</w:t>
      </w:r>
      <w:r>
        <w:rPr>
          <w:b w:val="0"/>
          <w:i w:val="0"/>
          <w:strike w:val="0"/>
        </w:rPr>
        <w:t xml:space="preserve"> of the value of the acceleration. The maximum-acceleration Plan 1 case pays </w:t>
      </w:r>
      <w:r>
        <w:rPr>
          <w:b/>
          <w:i w:val="0"/>
          <w:strike w:val="0"/>
        </w:rPr>
        <w:t>$42,500</w:t>
      </w:r>
      <w:r>
        <w:rPr>
          <w:b w:val="0"/>
          <w:i w:val="0"/>
          <w:strike w:val="0"/>
        </w:rPr>
        <w:t xml:space="preserve"> for </w:t>
      </w:r>
      <w:r>
        <w:rPr>
          <w:b/>
          <w:i w:val="0"/>
          <w:strike w:val="0"/>
        </w:rPr>
        <w:t>$383,565</w:t>
      </w:r>
      <w:r>
        <w:rPr>
          <w:b w:val="0"/>
          <w:i w:val="0"/>
          <w:strike w:val="0"/>
        </w:rPr>
        <w:t xml:space="preserve"> — a </w:t>
      </w:r>
      <w:r>
        <w:rPr>
          <w:b/>
          <w:i w:val="0"/>
          <w:strike w:val="0"/>
        </w:rPr>
        <w:t>$341,065 subsidy at 11.1% recovery</w:t>
      </w:r>
      <w:r>
        <w:rPr>
          <w:b w:val="0"/>
          <w:i w:val="0"/>
          <w:strike w:val="0"/>
        </w:rPr>
        <w:t xml:space="preserve">. The bill is </w:t>
      </w:r>
      <w:r>
        <w:rPr>
          <w:b/>
          <w:i w:val="0"/>
          <w:strike w:val="0"/>
        </w:rPr>
        <w:t>not cost neutral and must not be presented as cost neutral.</w:t>
      </w:r>
    </w:p>
    <w:p>
      <w:pPr>
        <w:pStyle w:val="ListBullet"/>
      </w:pPr>
      <w:r>
        <w:rPr>
          <w:b/>
          <w:i w:val="0"/>
          <w:strike w:val="0"/>
        </w:rPr>
        <w:t>In aggregate it is very small.</w:t>
      </w:r>
      <w:r>
        <w:rPr>
          <w:b w:val="0"/>
          <w:i w:val="0"/>
          <w:strike w:val="0"/>
        </w:rPr>
        <w:t xml:space="preserve"> Employer contribution rate impact over FY2029–FY2038: </w:t>
      </w:r>
      <w:r>
        <w:rPr>
          <w:b/>
          <w:i w:val="0"/>
          <w:strike w:val="0"/>
        </w:rPr>
        <w:t>0.22 bp</w:t>
      </w:r>
      <w:r>
        <w:rPr>
          <w:b w:val="0"/>
          <w:i w:val="0"/>
          <w:strike w:val="0"/>
        </w:rPr>
        <w:t xml:space="preserve"> state, </w:t>
      </w:r>
      <w:r>
        <w:rPr>
          <w:b/>
          <w:i w:val="0"/>
          <w:strike w:val="0"/>
        </w:rPr>
        <w:t>0.20 bp</w:t>
      </w:r>
      <w:r>
        <w:rPr>
          <w:b w:val="0"/>
          <w:i w:val="0"/>
          <w:strike w:val="0"/>
        </w:rPr>
        <w:t xml:space="preserve"> teacher, </w:t>
      </w:r>
      <w:r>
        <w:rPr>
          <w:b/>
          <w:i w:val="0"/>
          <w:strike w:val="0"/>
        </w:rPr>
        <w:t>0.14 bp</w:t>
      </w:r>
      <w:r>
        <w:rPr>
          <w:b w:val="0"/>
          <w:i w:val="0"/>
          <w:strike w:val="0"/>
        </w:rPr>
        <w:t xml:space="preserve"> political subdivisions, </w:t>
      </w:r>
      <w:r>
        <w:rPr>
          <w:b/>
          <w:i w:val="0"/>
          <w:strike w:val="0"/>
        </w:rPr>
        <w:t>0.19 bp</w:t>
      </w:r>
      <w:r>
        <w:rPr>
          <w:b w:val="0"/>
          <w:i w:val="0"/>
          <w:strike w:val="0"/>
        </w:rPr>
        <w:t xml:space="preserve"> combined — about </w:t>
      </w:r>
      <w:r>
        <w:rPr>
          <w:b/>
          <w:i w:val="0"/>
          <w:strike w:val="0"/>
        </w:rPr>
        <w:t>222 purchasers</w:t>
      </w:r>
      <w:r>
        <w:rPr>
          <w:b w:val="0"/>
          <w:i w:val="0"/>
          <w:strike w:val="0"/>
        </w:rPr>
        <w:t xml:space="preserve"> against </w:t>
      </w:r>
      <w:r>
        <w:rPr>
          <w:b/>
          <w:i w:val="0"/>
          <w:strike w:val="0"/>
        </w:rPr>
        <w:t>$26.05 billion</w:t>
      </w:r>
      <w:r>
        <w:rPr>
          <w:b w:val="0"/>
          <w:i w:val="0"/>
          <w:strike w:val="0"/>
        </w:rPr>
        <w:t xml:space="preserve"> of covered payroll. To the nearest basis point, no plan's rate changes. Across every sensitivity tested the aggregate stays between </w:t>
      </w:r>
      <w:r>
        <w:rPr>
          <w:b/>
          <w:i w:val="0"/>
          <w:strike w:val="0"/>
        </w:rPr>
        <w:t>0.05 and 0.44 bp</w:t>
      </w:r>
      <w:r>
        <w:rPr>
          <w:b w:val="0"/>
          <w:i w:val="0"/>
          <w:strike w:val="0"/>
        </w:rPr>
        <w:t>.</w:t>
      </w:r>
    </w:p>
    <w:p>
      <w:r>
        <w:rPr>
          <w:b w:val="0"/>
          <w:i w:val="0"/>
          <w:strike w:val="0"/>
        </w:rPr>
        <w:t xml:space="preserve">Three things that follow. The § 51.1-124.3 carve-out is worth a </w:t>
      </w:r>
      <w:r>
        <w:rPr>
          <w:b/>
          <w:i w:val="0"/>
          <w:strike w:val="0"/>
        </w:rPr>
        <w:t>5.7×</w:t>
      </w:r>
      <w:r>
        <w:rPr>
          <w:b w:val="0"/>
          <w:i w:val="0"/>
          <w:strike w:val="0"/>
        </w:rPr>
        <w:t xml:space="preserve"> difference in the liability increase and is the single most important provision in the bill. A member who would have worked on to unreduced eligibility </w:t>
      </w:r>
      <w:r>
        <w:rPr>
          <w:b/>
          <w:i w:val="0"/>
          <w:strike w:val="0"/>
        </w:rPr>
        <w:t>overpays</w:t>
      </w:r>
      <w:r>
        <w:rPr>
          <w:b w:val="0"/>
          <w:i w:val="0"/>
          <w:strike w:val="0"/>
        </w:rPr>
        <w:t xml:space="preserve"> in every profile modeled, so the subsidy exists only for members who were leaving anyway. And hybrid inclusion would change the ten-year number by </w:t>
      </w:r>
      <w:r>
        <w:rPr>
          <w:b/>
          <w:i w:val="0"/>
          <w:strike w:val="0"/>
        </w:rPr>
        <w:t>less than one hundredth of a basis point</w:t>
      </w:r>
      <w:r>
        <w:rPr>
          <w:b w:val="0"/>
          <w:i w:val="0"/>
          <w:strike w:val="0"/>
        </w:rPr>
        <w:t>, so DECISION 2 stands on equity and precedent, not on near-term cost.</w:t>
      </w:r>
    </w:p>
    <w:p>
      <w:r>
        <w:rPr>
          <w:b/>
          <w:i w:val="0"/>
          <w:strike w:val="0"/>
        </w:rPr>
        <w:t>Three limits on that model, stated plainly.</w:t>
      </w:r>
      <w:r>
        <w:rPr>
          <w:b w:val="0"/>
          <w:i w:val="0"/>
          <w:strike w:val="0"/>
        </w:rPr>
        <w:t xml:space="preserve"> It is an illustrative public-finance model, </w:t>
      </w:r>
      <w:r>
        <w:rPr>
          <w:b/>
          <w:i w:val="0"/>
          <w:strike w:val="0"/>
        </w:rPr>
        <w:t>not</w:t>
      </w:r>
      <w:r>
        <w:rPr>
          <w:b w:val="0"/>
          <w:i w:val="0"/>
          <w:strike w:val="0"/>
        </w:rPr>
        <w:t xml:space="preserve"> an actuarial certification and </w:t>
      </w:r>
      <w:r>
        <w:rPr>
          <w:b/>
          <w:i w:val="0"/>
          <w:strike w:val="0"/>
        </w:rPr>
        <w:t>not</w:t>
      </w:r>
      <w:r>
        <w:rPr>
          <w:b w:val="0"/>
          <w:i w:val="0"/>
          <w:strike w:val="0"/>
        </w:rPr>
        <w:t xml:space="preserve"> the VRS Board's mandatory statement under § 30-19.1:7, which has not been requested. Its weakest input is the veteran-population funnel — one published anchor and four assumed filters — which alone moves the aggregate from 0.07 to 0.44 bp. And it was built against </w:t>
      </w:r>
      <w:r>
        <w:rPr>
          <w:b/>
          <w:i w:val="0"/>
          <w:strike w:val="0"/>
        </w:rPr>
        <w:t>version 1.1</w:t>
      </w:r>
      <w:r>
        <w:rPr>
          <w:b w:val="0"/>
          <w:i w:val="0"/>
          <w:strike w:val="0"/>
        </w:rPr>
        <w:t xml:space="preserve">, so it should be re-run: it does not price the DECISION 8 deferred path, which version 1.2 has now </w:t>
      </w:r>
      <w:r>
        <w:rPr>
          <w:b/>
          <w:i w:val="0"/>
          <w:strike w:val="0"/>
        </w:rPr>
        <w:t>closed</w:t>
      </w:r>
      <w:r>
        <w:rPr>
          <w:b w:val="0"/>
          <w:i w:val="0"/>
          <w:strike w:val="0"/>
        </w:rPr>
        <w:t xml:space="preserve">, and its population includes the post-2014 B 4 public-safety employees whom clause B 1(iv) now </w:t>
      </w:r>
      <w:r>
        <w:rPr>
          <w:b/>
          <w:i w:val="0"/>
          <w:strike w:val="0"/>
        </w:rPr>
        <w:t>excludes</w:t>
      </w:r>
      <w:r>
        <w:rPr>
          <w:b w:val="0"/>
          <w:i w:val="0"/>
          <w:strike w:val="0"/>
        </w:rPr>
        <w:t>. Both corrections run downward, so no figure above is an understatement on their account.</w:t>
      </w:r>
    </w:p>
    <w:p>
      <w:pPr>
        <w:pStyle w:val="Heading2"/>
      </w:pPr>
      <w:r>
        <w:rPr>
          <w:b w:val="0"/>
          <w:i w:val="0"/>
          <w:strike w:val="0"/>
        </w:rPr>
        <w:t>Verification note</w:t>
      </w:r>
    </w:p>
    <w:p>
      <w:r>
        <w:rPr>
          <w:b w:val="0"/>
          <w:i w:val="0"/>
          <w:strike w:val="0"/>
        </w:rPr>
        <w:t>All statutory text was read in the official Code of Virginia at law.lis.virginia.gov on October 19–20, 2026, including the 2026 amendments to § 51.1-142.2 and, for version 1.2, the full text of § 51.1-153 C, § 51.1-153 B 4 and § 51.1-169 A. § 51.1-142.4 was confirmed unoccupied. No Code section was inferred. "Plan 1," "Plan 2," "vesting," "earned service," and "benefit-calculation service" are not operative terms in Title 51.1 and are not used in the bill.</w:t>
      </w:r>
    </w:p>
    <w:p>
      <w:pPr>
        <w:pStyle w:val="Heading2"/>
      </w:pPr>
      <w:r>
        <w:rPr>
          <w:b w:val="0"/>
          <w:i w:val="0"/>
          <w:strike w:val="0"/>
        </w:rPr>
        <w:t>Final sign-off record (version 1.1, October 19, 2026)</w:t>
      </w:r>
    </w:p>
    <w:p>
      <w:r>
        <w:rPr>
          <w:b w:val="0"/>
          <w:i w:val="0"/>
          <w:strike w:val="0"/>
        </w:rPr>
        <w:t>Title 51.1 sign-off review of the integrated package found no defect in the operative bill text and three cross-document inconsistencies, all corrected:</w:t>
      </w:r>
    </w:p>
    <w:p>
      <w:pPr>
        <w:pStyle w:val="ListNumber"/>
      </w:pPr>
      <w:r>
        <w:rPr>
          <w:b/>
          <w:i w:val="0"/>
          <w:strike w:val="0"/>
        </w:rPr>
        <w:t>Drafting note 4 of the bill</w:t>
      </w:r>
      <w:r>
        <w:rPr>
          <w:b w:val="0"/>
          <w:i w:val="0"/>
          <w:strike w:val="0"/>
        </w:rPr>
        <w:t xml:space="preserve"> still described "four express conforming amendments to §§ 51.1-162, 51.1-165.01, and 51.1-166," omitting the § 2.2-3204 amendment that version 1.1 added. Corrected to five amendments across four sections, with the Workforce Transition Act leak named and the "what these moves do not reach" caveat carried into the note DLS will read.</w:t>
      </w:r>
    </w:p>
    <w:p>
      <w:pPr>
        <w:pStyle w:val="ListNumber"/>
      </w:pPr>
      <w:r>
        <w:rPr>
          <w:b/>
          <w:i w:val="0"/>
          <w:strike w:val="0"/>
        </w:rPr>
        <w:t>This README's three-moves list</w:t>
      </w:r>
      <w:r>
        <w:rPr>
          <w:b w:val="0"/>
          <w:i w:val="0"/>
          <w:strike w:val="0"/>
        </w:rPr>
        <w:t xml:space="preserve"> said the § 51.1-124.3 carve-out protects "the health insurance credit," contradicting the correction recorded above it. Narrowed to the credit's threshold and amount, which is all the carve-out reaches.</w:t>
      </w:r>
    </w:p>
    <w:p>
      <w:pPr>
        <w:pStyle w:val="ListNumber"/>
      </w:pPr>
      <w:r>
        <w:rPr>
          <w:b/>
          <w:i w:val="0"/>
          <w:strike w:val="0"/>
        </w:rPr>
        <w:t>The comparison table in the fiscal model memorandum</w:t>
      </w:r>
      <w:r>
        <w:rPr>
          <w:b w:val="0"/>
          <w:i w:val="0"/>
          <w:strike w:val="0"/>
        </w:rPr>
        <w:t xml:space="preserve"> (§ 4) listed the health insurance credit and post-retirement supplement commencement among items "all expressly excluded or frozen." Split into its own row stating that neither is reached by the bill and that both sit outside the 0.19 bp figure.</w:t>
      </w:r>
    </w:p>
    <w:p>
      <w:r>
        <w:rPr>
          <w:b w:val="0"/>
          <w:i w:val="0"/>
          <w:strike w:val="0"/>
        </w:rPr>
        <w:t xml:space="preserve">Sign-off is limited to internal consistency and Title 51.1 correctness of the text as drafted. </w:t>
      </w:r>
      <w:r>
        <w:rPr>
          <w:b/>
          <w:i w:val="0"/>
          <w:strike w:val="0"/>
        </w:rPr>
        <w:t>It is not an authorization to introduce.</w:t>
      </w:r>
    </w:p>
    <w:p>
      <w:pPr>
        <w:pStyle w:val="Heading2"/>
      </w:pPr>
      <w:r>
        <w:rPr>
          <w:b w:val="0"/>
          <w:i w:val="0"/>
          <w:strike w:val="0"/>
        </w:rPr>
        <w:t>Version 1.2 record (October 20, 2026)</w:t>
      </w:r>
    </w:p>
    <w:p>
      <w:r>
        <w:rPr>
          <w:b w:val="0"/>
          <w:i w:val="0"/>
          <w:strike w:val="0"/>
        </w:rPr>
        <w:t>The three blockers were resolved on October 20, 2026 and drafted. Changes to the operative text: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Change</w:t>
            </w:r>
          </w:p>
        </w:tc>
        <w:tc>
          <w:tcPr>
            <w:tcW w:type="dxa" w:w="2880"/>
          </w:tcPr>
          <w:p>
            <w:r>
              <w:rPr>
                <w:b/>
                <w:i w:val="0"/>
                <w:strike w:val="0"/>
              </w:rPr>
              <w:t>Where</w:t>
            </w:r>
          </w:p>
        </w:tc>
        <w:tc>
          <w:tcPr>
            <w:tcW w:type="dxa" w:w="2880"/>
          </w:tcPr>
          <w:p>
            <w:r>
              <w:rPr>
                <w:b/>
                <w:i w:val="0"/>
                <w:strike w:val="0"/>
              </w:rPr>
              <w:t>Why</w:t>
            </w:r>
          </w:p>
        </w:tc>
      </w:tr>
      <w:tr>
        <w:tc>
          <w:tcPr>
            <w:tcW w:type="dxa" w:w="2880"/>
          </w:tcPr>
          <w:p>
            <w:r>
              <w:rPr>
                <w:b w:val="0"/>
                <w:i w:val="0"/>
                <w:strike w:val="0"/>
              </w:rPr>
              <w:t xml:space="preserve">In-service status required </w:t>
            </w:r>
            <w:r>
              <w:rPr>
                <w:b/>
                <w:i w:val="0"/>
                <w:strike w:val="0"/>
              </w:rPr>
              <w:t>at retirement</w:t>
            </w:r>
            <w:r>
              <w:rPr>
                <w:b w:val="0"/>
                <w:i w:val="0"/>
                <w:strike w:val="0"/>
              </w:rPr>
              <w:t>, not only at purchase</w:t>
            </w:r>
          </w:p>
        </w:tc>
        <w:tc>
          <w:tcPr>
            <w:tcW w:type="dxa" w:w="2880"/>
          </w:tcPr>
          <w:p>
            <w:r>
              <w:rPr>
                <w:b w:val="0"/>
                <w:i w:val="0"/>
                <w:strike w:val="0"/>
              </w:rPr>
              <w:t xml:space="preserve">New § 51.1-142.4 </w:t>
            </w:r>
            <w:r>
              <w:rPr>
                <w:b/>
                <w:i w:val="0"/>
                <w:strike w:val="0"/>
              </w:rPr>
              <w:t>E 3</w:t>
            </w:r>
            <w:r>
              <w:rPr>
                <w:b w:val="0"/>
                <w:i w:val="0"/>
                <w:strike w:val="0"/>
              </w:rPr>
              <w:t xml:space="preserve">; new conforming amendment to </w:t>
            </w:r>
            <w:r>
              <w:rPr>
                <w:b/>
                <w:i w:val="0"/>
                <w:strike w:val="0"/>
              </w:rPr>
              <w:t>§ 51.1-153 C</w:t>
            </w:r>
          </w:p>
        </w:tc>
        <w:tc>
          <w:tcPr>
            <w:tcW w:type="dxa" w:w="2880"/>
          </w:tcPr>
          <w:p>
            <w:r>
              <w:rPr>
                <w:b w:val="0"/>
                <w:i w:val="0"/>
                <w:strike w:val="0"/>
              </w:rPr>
              <w:t>DECISION 8. Closes the buy-resign-defer path. The § 51.1-153 C amendment is load-bearing, not belt-and-braces: that subsection's second sentence waives in-service requirements outright</w:t>
            </w:r>
          </w:p>
        </w:tc>
      </w:tr>
      <w:tr>
        <w:tc>
          <w:tcPr>
            <w:tcW w:type="dxa" w:w="2880"/>
          </w:tcPr>
          <w:p>
            <w:r>
              <w:rPr>
                <w:b w:val="0"/>
                <w:i w:val="0"/>
                <w:strike w:val="0"/>
              </w:rPr>
              <w:t>Refund triggers on termination and on deferred-retirement application</w:t>
            </w:r>
          </w:p>
        </w:tc>
        <w:tc>
          <w:tcPr>
            <w:tcW w:type="dxa" w:w="2880"/>
          </w:tcPr>
          <w:p>
            <w:r>
              <w:rPr>
                <w:b/>
                <w:i w:val="0"/>
                <w:strike w:val="0"/>
              </w:rPr>
              <w:t>K 1 c</w:t>
            </w:r>
            <w:r>
              <w:rPr>
                <w:b w:val="0"/>
                <w:i w:val="0"/>
                <w:strike w:val="0"/>
              </w:rPr>
              <w:t xml:space="preserve">, </w:t>
            </w:r>
            <w:r>
              <w:rPr>
                <w:b/>
                <w:i w:val="0"/>
                <w:strike w:val="0"/>
              </w:rPr>
              <w:t>K 1 d</w:t>
            </w:r>
          </w:p>
        </w:tc>
        <w:tc>
          <w:tcPr>
            <w:tcW w:type="dxa" w:w="2880"/>
          </w:tcPr>
          <w:p>
            <w:r>
              <w:rPr>
                <w:b w:val="0"/>
                <w:i w:val="0"/>
                <w:strike w:val="0"/>
              </w:rPr>
              <w:t>A member who can no longer use the credit gets her money back with interest</w:t>
            </w:r>
          </w:p>
        </w:tc>
      </w:tr>
      <w:tr>
        <w:tc>
          <w:tcPr>
            <w:tcW w:type="dxa" w:w="2880"/>
          </w:tcPr>
          <w:p>
            <w:r>
              <w:rPr>
                <w:b w:val="0"/>
                <w:i w:val="0"/>
                <w:strike w:val="0"/>
              </w:rPr>
              <w:t>Pre-purchase disclosure of the in-service condition</w:t>
            </w:r>
          </w:p>
        </w:tc>
        <w:tc>
          <w:tcPr>
            <w:tcW w:type="dxa" w:w="2880"/>
          </w:tcPr>
          <w:p>
            <w:r>
              <w:rPr>
                <w:b/>
                <w:i w:val="0"/>
                <w:strike w:val="0"/>
              </w:rPr>
              <w:t>I 2(vii)</w:t>
            </w:r>
          </w:p>
        </w:tc>
        <w:tc>
          <w:tcPr>
            <w:tcW w:type="dxa" w:w="2880"/>
          </w:tcPr>
          <w:p>
            <w:r>
              <w:rPr>
                <w:b w:val="0"/>
                <w:i w:val="0"/>
                <w:strike w:val="0"/>
              </w:rPr>
              <w:t>A member must not pay for credit she will forfeit by leaving</w:t>
            </w:r>
          </w:p>
        </w:tc>
      </w:tr>
      <w:tr>
        <w:tc>
          <w:tcPr>
            <w:tcW w:type="dxa" w:w="2880"/>
          </w:tcPr>
          <w:p>
            <w:r>
              <w:rPr>
                <w:b w:val="0"/>
                <w:i w:val="0"/>
                <w:strike w:val="0"/>
              </w:rPr>
              <w:t>Post-2014 B 4-resolution public-safety employees excluded</w:t>
            </w:r>
          </w:p>
        </w:tc>
        <w:tc>
          <w:tcPr>
            <w:tcW w:type="dxa" w:w="2880"/>
          </w:tcPr>
          <w:p>
            <w:r>
              <w:rPr>
                <w:b w:val="0"/>
                <w:i w:val="0"/>
                <w:strike w:val="0"/>
              </w:rPr>
              <w:t xml:space="preserve">New clause </w:t>
            </w:r>
            <w:r>
              <w:rPr>
                <w:b/>
                <w:i w:val="0"/>
                <w:strike w:val="0"/>
              </w:rPr>
              <w:t>B 1(iv)</w:t>
            </w:r>
            <w:r>
              <w:rPr>
                <w:b w:val="0"/>
                <w:i w:val="0"/>
                <w:strike w:val="0"/>
              </w:rPr>
              <w:t xml:space="preserve">; </w:t>
            </w:r>
            <w:r>
              <w:rPr>
                <w:b/>
                <w:i w:val="0"/>
                <w:strike w:val="0"/>
              </w:rPr>
              <w:t>subsection J</w:t>
            </w:r>
          </w:p>
        </w:tc>
        <w:tc>
          <w:tcPr>
            <w:tcW w:type="dxa" w:w="2880"/>
          </w:tcPr>
          <w:p>
            <w:r>
              <w:rPr>
                <w:b w:val="0"/>
                <w:i w:val="0"/>
                <w:strike w:val="0"/>
              </w:rPr>
              <w:t>DECISION 10, in its narrower resolved form</w:t>
            </w:r>
          </w:p>
        </w:tc>
      </w:tr>
      <w:tr>
        <w:tc>
          <w:tcPr>
            <w:tcW w:type="dxa" w:w="2880"/>
          </w:tcPr>
          <w:p>
            <w:r>
              <w:rPr>
                <w:b w:val="0"/>
                <w:i w:val="0"/>
                <w:strike w:val="0"/>
              </w:rPr>
              <w:t>B 4 members routed to the subdivision B 2 deficit formula</w:t>
            </w:r>
          </w:p>
        </w:tc>
        <w:tc>
          <w:tcPr>
            <w:tcW w:type="dxa" w:w="2880"/>
          </w:tcPr>
          <w:p>
            <w:r>
              <w:rPr>
                <w:b w:val="0"/>
                <w:i w:val="0"/>
                <w:strike w:val="0"/>
              </w:rPr>
              <w:t xml:space="preserve">New </w:t>
            </w:r>
            <w:r>
              <w:rPr>
                <w:b/>
                <w:i w:val="0"/>
                <w:strike w:val="0"/>
              </w:rPr>
              <w:t>C 1 c</w:t>
            </w:r>
          </w:p>
        </w:tc>
        <w:tc>
          <w:tcPr>
            <w:tcW w:type="dxa" w:w="2880"/>
          </w:tcPr>
          <w:p>
            <w:r>
              <w:rPr>
                <w:b w:val="0"/>
                <w:i w:val="0"/>
                <w:strike w:val="0"/>
              </w:rPr>
              <w:t>The B 4 deeming does not reach subdivision B 2, leaving the formula indeterminate for the still-eligible pre-2014 class</w:t>
            </w:r>
          </w:p>
        </w:tc>
      </w:tr>
      <w:tr>
        <w:tc>
          <w:tcPr>
            <w:tcW w:type="dxa" w:w="2880"/>
          </w:tcPr>
          <w:p>
            <w:r>
              <w:rPr>
                <w:b w:val="0"/>
                <w:i w:val="0"/>
                <w:strike w:val="0"/>
              </w:rPr>
              <w:t xml:space="preserve">Savings paragraph: the bill does </w:t>
            </w:r>
            <w:r>
              <w:rPr>
                <w:b/>
                <w:i w:val="0"/>
                <w:strike w:val="0"/>
              </w:rPr>
              <w:t>not</w:t>
            </w:r>
            <w:r>
              <w:rPr>
                <w:b w:val="0"/>
                <w:i w:val="0"/>
                <w:strike w:val="0"/>
              </w:rPr>
              <w:t xml:space="preserve"> delay health insurance credit or COLA commencement</w:t>
            </w:r>
          </w:p>
        </w:tc>
        <w:tc>
          <w:tcPr>
            <w:tcW w:type="dxa" w:w="2880"/>
          </w:tcPr>
          <w:p>
            <w:r>
              <w:rPr>
                <w:b w:val="0"/>
                <w:i w:val="0"/>
                <w:strike w:val="0"/>
              </w:rPr>
              <w:t xml:space="preserve">End of </w:t>
            </w:r>
            <w:r>
              <w:rPr>
                <w:b/>
                <w:i w:val="0"/>
                <w:strike w:val="0"/>
              </w:rPr>
              <w:t>subsection F</w:t>
            </w:r>
          </w:p>
        </w:tc>
        <w:tc>
          <w:tcPr>
            <w:tcW w:type="dxa" w:w="2880"/>
          </w:tcPr>
          <w:p>
            <w:r>
              <w:rPr>
                <w:b w:val="0"/>
                <w:i w:val="0"/>
                <w:strike w:val="0"/>
              </w:rPr>
              <w:t>DECISION 9. Makes the acceptance affirmative rather than an ambiguity in subdivision F 8</w:t>
            </w:r>
          </w:p>
        </w:tc>
      </w:tr>
      <w:tr>
        <w:tc>
          <w:tcPr>
            <w:tcW w:type="dxa" w:w="2880"/>
          </w:tcPr>
          <w:p>
            <w:r>
              <w:rPr>
                <w:b w:val="0"/>
                <w:i w:val="0"/>
                <w:strike w:val="0"/>
              </w:rPr>
              <w:t>Reporting item (vii) refocused from deferred-retirement cost to refund cost</w:t>
            </w:r>
          </w:p>
        </w:tc>
        <w:tc>
          <w:tcPr>
            <w:tcW w:type="dxa" w:w="2880"/>
          </w:tcPr>
          <w:p>
            <w:r>
              <w:rPr>
                <w:b w:val="0"/>
                <w:i w:val="0"/>
                <w:strike w:val="0"/>
              </w:rPr>
              <w:t xml:space="preserve">Enactment clause </w:t>
            </w:r>
            <w:r>
              <w:rPr>
                <w:b/>
                <w:i w:val="0"/>
                <w:strike w:val="0"/>
              </w:rPr>
              <w:t>3(vii)</w:t>
            </w:r>
          </w:p>
        </w:tc>
        <w:tc>
          <w:tcPr>
            <w:tcW w:type="dxa" w:w="2880"/>
          </w:tcPr>
          <w:p>
            <w:r>
              <w:rPr>
                <w:b w:val="0"/>
                <w:i w:val="0"/>
                <w:strike w:val="0"/>
              </w:rPr>
              <w:t>The deferred path it was written to measure is now closed</w:t>
            </w:r>
          </w:p>
        </w:tc>
      </w:tr>
    </w:tbl>
    <w:p/>
    <w:p>
      <w:r>
        <w:rPr>
          <w:b/>
          <w:i w:val="0"/>
          <w:strike w:val="0"/>
        </w:rPr>
        <w:t>Also recorded:</w:t>
      </w:r>
      <w:r>
        <w:rPr>
          <w:b w:val="0"/>
          <w:i w:val="0"/>
          <w:strike w:val="0"/>
        </w:rPr>
        <w:t xml:space="preserve"> "member in service," on which both in-service conditions turn, is used in Chapter 1 (§§ 51.1-142.2 B 2, 51.1-153 A, 51.1-153 C) but is </w:t>
      </w:r>
      <w:r>
        <w:rPr>
          <w:b/>
          <w:i w:val="0"/>
          <w:strike w:val="0"/>
        </w:rPr>
        <w:t>not defined</w:t>
      </w:r>
      <w:r>
        <w:rPr>
          <w:b w:val="0"/>
          <w:i w:val="0"/>
          <w:strike w:val="0"/>
        </w:rPr>
        <w:t xml:space="preserve"> in § 51.1-124.3. Drafting note 10 flags it for DLS along with the approved-leave and long-term-disability question.</w:t>
      </w:r>
    </w:p>
    <w:p>
      <w:r>
        <w:rPr>
          <w:b/>
          <w:i w:val="0"/>
          <w:strike w:val="0"/>
        </w:rPr>
        <w:t>Standing caveat.</w:t>
      </w:r>
      <w:r>
        <w:rPr>
          <w:b w:val="0"/>
          <w:i w:val="0"/>
          <w:strike w:val="0"/>
        </w:rPr>
        <w:t xml:space="preserve"> The red-team adversarial review in MOO-260 was run by the same team that drafted the package, because no independent reviewer was available. The October 19 sign-off pass then found three stale statements that review had missed, which is exactly what self-review misses. </w:t>
      </w:r>
      <w:r>
        <w:rPr>
          <w:b/>
          <w:i w:val="0"/>
          <w:strike w:val="0"/>
        </w:rPr>
        <w:t>An independent read of version 1.2 is advisable before this reaches a patron.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