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From:</w:t>
      </w:r>
      <w:r>
        <w:rPr>
          <w:b w:val="0"/>
          <w:i w:val="0"/>
          <w:strike w:val="0"/>
        </w:rPr>
        <w:t xml:space="preserve"> VRS2 — Virginia Public Pension Benefits Attorney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keys off the date of retirement, which no exclusion in this bill reaches;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are resolved</w:t>
      </w:r>
      <w:r>
        <w:rPr>
          <w:b w:val="0"/>
          <w:i w:val="0"/>
          <w:strike w:val="0"/>
          <w:sz w:val="20"/>
        </w:rPr>
        <w:t xml:space="preserve"> by JLCVSO as of this date and are recorded in Part 6. Three new blocking items replace them.</w:t>
      </w:r>
    </w:p>
    <w:p>
      <w:pPr>
        <w:spacing w:after="80"/>
        <w:ind w:left="480"/>
      </w:pPr>
      <w:r>
        <w:rPr>
          <w:b w:val="0"/>
          <w:i w:val="0"/>
          <w:strike w:val="0"/>
          <w:sz w:val="20"/>
        </w:rPr>
        <w:t>Both changes come from the independent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state, teacher, local non-hazardous</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state, teacher, local non-hazardous</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See the new </w:t>
      </w:r>
      <w:r>
        <w:rPr>
          <w:b/>
          <w:i w:val="0"/>
          <w:strike w:val="0"/>
        </w:rPr>
        <w:t>DECISION 9</w:t>
      </w:r>
      <w:r>
        <w:rPr>
          <w:b w:val="0"/>
          <w:i w:val="0"/>
          <w:strike w:val="0"/>
        </w:rPr>
        <w:t xml:space="preserve"> in Part 6.</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NOT closed by this bill.</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so the deferred-member path in DECISION 8 accelerates this too. Closing it requires amending Chapter 14 to delay commencement for bridge retirees. See </w:t>
            </w:r>
            <w:r>
              <w:rPr>
                <w:b/>
                <w:i w:val="0"/>
                <w:strike w:val="0"/>
              </w:rPr>
              <w:t>DECISION 9</w:t>
            </w:r>
            <w:r>
              <w:rPr>
                <w:b w:val="0"/>
                <w:i w:val="0"/>
                <w:strike w:val="0"/>
              </w:rPr>
              <w:t>.</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NOT closed by this bill.</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partially constrained, not closed</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 51.1-142.4 B 1 requires member-in-service status only at purchase. Acceleration for such a member can reach roughly 15 years, not four. The new C 2 d cap measures acceleration against the member's own unaffected eligibility date, which constrains abuse but does not foreclose the strategy.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sentence</w:t>
            </w:r>
            <w:r>
              <w:rPr>
                <w:b w:val="0"/>
                <w:i w:val="0"/>
                <w:strike w:val="0"/>
              </w:rPr>
              <w:t>; § 51.1-155 A 3</w:t>
            </w:r>
          </w:p>
        </w:tc>
        <w:tc>
          <w:tcPr>
            <w:tcW w:type="dxa" w:w="2160"/>
          </w:tcPr>
          <w:p>
            <w:r>
              <w:rPr>
                <w:b/>
                <w:i w:val="0"/>
                <w:strike w:val="0"/>
              </w:rPr>
              <w:t>YES — these employees are INSIDE the bill, permanently, including current hires.</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excluding § 51.1-138 employees, which is conclusive that the two local elections are distinct. Such an employee, hired in any year, is therefore caught by none of clauses B 1(i), (ii) or (iii), and the pathway left open is </w:t>
            </w:r>
            <w:r>
              <w:rPr>
                <w:b/>
                <w:i w:val="0"/>
                <w:strike w:val="0"/>
              </w:rPr>
              <w:t>B 2 — age 50 plus 30 years, one-for-one</w:t>
            </w:r>
            <w:r>
              <w:rPr>
                <w:b w:val="0"/>
                <w:i w:val="0"/>
                <w:strike w:val="0"/>
              </w:rPr>
              <w:t xml:space="preserve"> — the most generous acceleration in the bill. Two further problems: the B 4 deeming is scoped to B 1, B 3, subsection D and § 51.1-155 A 3, and </w:t>
            </w:r>
            <w:r>
              <w:rPr>
                <w:b/>
                <w:i w:val="0"/>
                <w:strike w:val="0"/>
              </w:rPr>
              <w:t>B 2 is not in that list</w:t>
            </w:r>
            <w:r>
              <w:rPr>
                <w:b w:val="0"/>
                <w:i w:val="0"/>
                <w:strike w:val="0"/>
              </w:rPr>
              <w:t xml:space="preserve">, so it is indeterminate whether such a member uses the C 1 a or C 1 b deficit formula or neither; and the applicable approximate normal cost rate for the class needs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versus the 12.50% charged.</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Aggregate employer contribution rate impact, FY2029–FY2038</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The § 51.1-124.3 carve-out is doing more work than any other provision.</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and the annual allowance from $35,696 to $41,188 for life. The three-move architecture in Part 3 is vindicated quantitatively, not merely conceptually.</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JLCVSO chose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JLCVSO chose the partial-purchase rule, and </w:t>
      </w:r>
      <w:r>
        <w:rPr>
          <w:b/>
          <w:i w:val="0"/>
          <w:strike w:val="0"/>
        </w:rPr>
        <w:t>0.06 bp is its measured price</w:t>
      </w:r>
      <w:r>
        <w:rPr>
          <w:b w:val="0"/>
          <w:i w:val="0"/>
          <w:strike w:val="0"/>
        </w:rPr>
        <w:t xml:space="preserve"> — a defensible trade to put to a committee.</w:t>
      </w:r>
    </w:p>
    <w:p>
      <w:r>
        <w:rPr>
          <w:b/>
          <w:i w:val="0"/>
          <w:strike w:val="0"/>
        </w:rPr>
        <w:t>What the model does not price, and it matters.</w:t>
      </w:r>
      <w:r>
        <w:rPr>
          <w:b w:val="0"/>
          <w:i w:val="0"/>
          <w:strike w:val="0"/>
        </w:rPr>
        <w:t xml:space="preserve"> The deferred-member strategy in DECISION 8 is </w:t>
      </w:r>
      <w:r>
        <w:rPr>
          <w:b/>
          <w:i w:val="0"/>
          <w:strike w:val="0"/>
        </w:rPr>
        <w:t>not</w:t>
      </w:r>
      <w:r>
        <w:rPr>
          <w:b w:val="0"/>
          <w:i w:val="0"/>
          <w:strike w:val="0"/>
        </w:rPr>
        <w:t xml:space="preserve"> in any figure above; the model prices four years of acceleration, not fifteen. If DECISION 8 is resolved by keeping the deferred path open, every aggregate in this Part is an understatement and the bill must be re-costed with the deferred case modeled as the dominant strategy. Likewise the DECISION 9 health insurance credit and COLA commencement costs sit on </w:t>
      </w:r>
      <w:r>
        <w:rPr>
          <w:b/>
          <w:i w:val="0"/>
          <w:strike w:val="0"/>
        </w:rPr>
        <w:t>separately funded trusts</w:t>
      </w:r>
      <w:r>
        <w:rPr>
          <w:b w:val="0"/>
          <w:i w:val="0"/>
          <w:strike w:val="0"/>
        </w:rPr>
        <w:t xml:space="preserve"> and are outside the contribution-rate figures; only the per-member health insurance credit order of magnitude (≈ $5,300) has been estimated.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plus reserve/Guard members protected by 10 U.S.C. ch. 1223.</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 12736 provides that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Virginia has long read chapter 1223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chapter 1223 service must count toward § 51.1-153 B 2 and B 3 eligibility </w:t>
      </w:r>
      <w:r>
        <w:rPr>
          <w:b/>
          <w:i w:val="0"/>
          <w:strike w:val="0"/>
        </w:rPr>
        <w:t>at no cost</w:t>
      </w:r>
      <w:r>
        <w:rPr>
          <w:b w:val="0"/>
          <w:i w:val="0"/>
          <w:strike w:val="0"/>
        </w:rPr>
        <w:t>. Put that question to legislative counsel with § 12736 in front of them before introduction.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and it changes the whole argument.</w:t>
      </w:r>
      <w:r>
        <w:rPr>
          <w:b w:val="0"/>
          <w:i w:val="0"/>
          <w:strike w:val="0"/>
        </w:rPr>
        <w:t xml:space="preserve"> Version 1.0 stated flatly that hazardous-duty members are excluded. That is wrong for the largest group of them. Public-safety employees in § 51.1-153 B 4 resolution localities are </w:t>
      </w:r>
      <w:r>
        <w:rPr>
          <w:b/>
          <w:i w:val="0"/>
          <w:strike w:val="0"/>
        </w:rPr>
        <w:t>inside</w:t>
      </w:r>
      <w:r>
        <w:rPr>
          <w:b w:val="0"/>
          <w:i w:val="0"/>
          <w:strike w:val="0"/>
        </w:rPr>
        <w:t xml:space="preserve"> the bill, permanently, including employees hired this year — see the new Part 4 row and DECISION 10. So as currently drafted the operative line is not "veterans vs. non-veterans." It is </w:t>
      </w:r>
      <w:r>
        <w:rPr>
          <w:b/>
          <w:i w:val="0"/>
          <w:strike w:val="0"/>
        </w:rPr>
        <w:t>"public-safety employees in resolution localities vs. everyone hired since January 1, 2014"</w:t>
      </w:r>
      <w:r>
        <w:rPr>
          <w:b w:val="0"/>
          <w:i w:val="0"/>
          <w:strike w:val="0"/>
        </w:rPr>
        <w:t xml:space="preserve"> — a distinction that has nothing to do with military service and is considerably harder to defend than the one this memorandum previously prepared for. It also weakens the answer to (iii), because a de facto beneficiary class defined by occupation rather than by service is exactly the precedent other occupations will cite. Resolving DECISION 10 is the fix; until it is resolved, do not deploy the equal-treatment answer above.</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by JLCVSO,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No text change — B 1(i) and J already implement it. But see DECISION 10: the exclusion does </w:t>
            </w:r>
            <w:r>
              <w:rPr>
                <w:b/>
                <w:i w:val="0"/>
                <w:strike w:val="0"/>
              </w:rPr>
              <w:t>not</w:t>
            </w:r>
            <w:r>
              <w:rPr>
                <w:b w:val="0"/>
                <w:i w:val="0"/>
                <w:strike w:val="0"/>
              </w:rPr>
              <w:t xml:space="preserve"> produce a uniformly closing cohort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6.1 New blocking items — the bill should not go to a patron until these are resolved</w:t>
      </w:r>
    </w:p>
    <w:p>
      <w:pPr>
        <w:pStyle w:val="ListBullet"/>
      </w:pPr>
      <w:r>
        <w:rPr>
          <w:b/>
          <w:i w:val="0"/>
          <w:strike w:val="0"/>
        </w:rPr>
        <w:t>DECISION 8 — Deferred-member acceleration (supersedes DECISION 5; highest priority).</w:t>
      </w:r>
      <w:r>
        <w:rPr>
          <w:b w:val="0"/>
          <w:i w:val="0"/>
          <w:strike w:val="0"/>
        </w:rPr>
        <w:t xml:space="preserv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 51.1-142.4 B 1 requires member-in-service status only on the purchase date. A member who buys four years at age 44 with 26 years of service, resigns, and defers can take an </w:t>
      </w:r>
      <w:r>
        <w:rPr>
          <w:b/>
          <w:i w:val="0"/>
          <w:strike w:val="0"/>
        </w:rPr>
        <w:t>unreduced</w:t>
      </w:r>
      <w:r>
        <w:rPr>
          <w:b w:val="0"/>
          <w:i w:val="0"/>
          <w:strike w:val="0"/>
        </w:rPr>
        <w:t xml:space="preserve"> allowance at age 50 that she could otherwise obtain only at 65, since with frozen service the clause (ii) date in § 51.1-155 A 2 never arrives. That is roughly </w:t>
      </w:r>
      <w:r>
        <w:rPr>
          <w:b/>
          <w:i w:val="0"/>
          <w:strike w:val="0"/>
        </w:rPr>
        <w:t>15 years of acceleration for about $35,000</w:t>
      </w:r>
      <w:r>
        <w:rPr>
          <w:b w:val="0"/>
          <w:i w:val="0"/>
          <w:strike w:val="0"/>
        </w:rPr>
        <w:t xml:space="preserve"> — an order of magnitude beyond the four-year illustration in Part 5.1. The same defect runs on the B 3 pathway at smaller magnitude, and it corrects a statement in Part 1.2: four bridge points accelerate B 3 eligibility by only two years for a member who </w:t>
      </w:r>
      <w:r>
        <w:rPr>
          <w:b/>
          <w:i w:val="0"/>
          <w:strike w:val="0"/>
        </w:rPr>
        <w:t>stays</w:t>
      </w:r>
      <w:r>
        <w:rPr>
          <w:b w:val="0"/>
          <w:i w:val="0"/>
          <w:strike w:val="0"/>
        </w:rPr>
        <w:t xml:space="preserve"> (age and service each advance), but by a full </w:t>
      </w:r>
      <w:r>
        <w:rPr>
          <w:b/>
          <w:i w:val="0"/>
          <w:strike w:val="0"/>
        </w:rPr>
        <w:t>four</w:t>
      </w:r>
      <w:r>
        <w:rPr>
          <w:b w:val="0"/>
          <w:i w:val="0"/>
          <w:strike w:val="0"/>
        </w:rPr>
        <w:t xml:space="preserve"> years for a deferred member whose service is frozen. The deferred case is the dominant strategy and must be priced as such. Options: (i) require member-in-service status at retirement, not merely at purchase; (ii) forfeit or pro-rate the credit on termination; (iii) make the credit usable only in combination with creditable service earned after purchase; (iv) keep it deliberately and have the actuary model the deferred case separately. </w:t>
      </w:r>
      <w:r>
        <w:rPr>
          <w:b w:val="0"/>
          <w:i/>
          <w:strike w:val="0"/>
        </w:rPr>
        <w:t>Owner: JLCVSO, with VRS actuarial input.</w:t>
      </w:r>
    </w:p>
    <w:p>
      <w:pPr>
        <w:pStyle w:val="ListBullet"/>
      </w:pPr>
      <w:r>
        <w:rPr>
          <w:b/>
          <w:i w:val="0"/>
          <w:strike w:val="0"/>
        </w:rPr>
        <w:t>DECISION 9 — Health insurance credit and COLA commencement.</w:t>
      </w:r>
      <w:r>
        <w:rPr>
          <w:b w:val="0"/>
          <w:i w:val="0"/>
          <w:strike w:val="0"/>
        </w:rPr>
        <w:t xml:space="preserve"> See the two new Part 4 rows and Part 3.4 as corrected. Neither cost is reachable by exclusion drafting, because both key off the </w:t>
      </w:r>
      <w:r>
        <w:rPr>
          <w:b/>
          <w:i w:val="0"/>
          <w:strike w:val="0"/>
        </w:rPr>
        <w:t>date of retirement</w:t>
      </w:r>
      <w:r>
        <w:rPr>
          <w:b w:val="0"/>
          <w:i w:val="0"/>
          <w:strike w:val="0"/>
        </w:rPr>
        <w:t xml:space="preserve">. Options: (i) accept and price both, and say so in the brief and to the money committees; (ii) amend Chapter 14 and § 51.1-166 to delay commencement for bridge retirees by the period of acceleration — which is more intrusive than anything else in the bill and will be read as creating a second class of retiree; or (iii) offset by raising the bridge price above approximate normal cost, which abandons the proposal's central pricing premise. </w:t>
      </w:r>
      <w:r>
        <w:rPr>
          <w:b/>
          <w:i w:val="0"/>
          <w:strike w:val="0"/>
        </w:rPr>
        <w:t>Magnitude as modeled (MOO-259):</w:t>
      </w:r>
      <w:r>
        <w:rPr>
          <w:b w:val="0"/>
          <w:i w:val="0"/>
          <w:strike w:val="0"/>
        </w:rPr>
        <w:t xml:space="preserve"> the health insurance credit exposure is roughly </w:t>
      </w:r>
      <w:r>
        <w:rPr>
          <w:b/>
          <w:i w:val="0"/>
          <w:strike w:val="0"/>
        </w:rPr>
        <w:t>$5,300 per state retiree</w:t>
      </w:r>
      <w:r>
        <w:rPr>
          <w:b w:val="0"/>
          <w:i w:val="0"/>
          <w:strike w:val="0"/>
        </w:rPr>
        <w:t xml:space="preserve"> with 26 years of service, on a separately funded trust; the COLA exposure is not separately quantified. Neither sits inside the 0.19 bp contribution-rate figure in Part 5.1, because both run on trusts outside the retirement allowance funds — a committee will ask for them separately. </w:t>
      </w:r>
      <w:r>
        <w:rPr>
          <w:b w:val="0"/>
          <w:i/>
          <w:strike w:val="0"/>
        </w:rPr>
        <w:t>Owner: JLCVSO.</w:t>
      </w:r>
    </w:p>
    <w:p>
      <w:pPr>
        <w:pStyle w:val="ListBullet"/>
      </w:pPr>
      <w:r>
        <w:rPr>
          <w:b/>
          <w:i w:val="0"/>
          <w:strike w:val="0"/>
        </w:rPr>
        <w:t>DECISION 10 — § 51.1-153 B 4 public-safety scope.</w:t>
      </w:r>
      <w:r>
        <w:rPr>
          <w:b w:val="0"/>
          <w:i w:val="0"/>
          <w:strike w:val="0"/>
        </w:rPr>
        <w:t xml:space="preserve"> See the new Part 4 row. Either add an express exclusion for B 4-resolution employees in B 1 and J, or include them knowingly and give the actuary a permanent, growing population. This decision also determines the equal-treatment answer in Part 5.5: as currently drafted the operative line is </w:t>
      </w:r>
      <w:r>
        <w:rPr>
          <w:b/>
          <w:i w:val="0"/>
          <w:strike w:val="0"/>
        </w:rPr>
        <w:t>not</w:t>
      </w:r>
      <w:r>
        <w:rPr>
          <w:b w:val="0"/>
          <w:i w:val="0"/>
          <w:strike w:val="0"/>
        </w:rPr>
        <w:t xml:space="preserve"> "veterans vs. non-veterans" but "public-safety employees in resolution localities vs. everyone hired since January 1, 2014," which has nothing to do with veteran status. Resolving this also requires an express rule for which deficit formula applies to a B 4 member, since the B 4 deeming does not reach B 2. </w:t>
      </w:r>
      <w:r>
        <w:rPr>
          <w:b w:val="0"/>
          <w:i/>
          <w:strike w:val="0"/>
        </w:rPr>
        <w:t>Owner: JLCVSO.</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w:t>
      </w:r>
      <w:r>
        <w:rPr>
          <w:b w:val="0"/>
          <w:i w:val="0"/>
          <w:strike w:val="0"/>
        </w:rPr>
        <w:t xml:space="preserve"> Version 1.0 proposed to let a deferred member keep purchased credit, and treated that as a member-favorable confirmation item. Independent review showed it is the bill's largest unpriced exposure, not a detail. It is now a blocker.</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Correction:</w:t>
      </w:r>
      <w:r>
        <w:rPr>
          <w:b w:val="0"/>
          <w:i w:val="0"/>
          <w:strike w:val="0"/>
        </w:rPr>
        <w:t xml:space="preserve"> for a </w:t>
      </w:r>
      <w:r>
        <w:rPr>
          <w:b/>
          <w:i w:val="0"/>
          <w:strike w:val="0"/>
        </w:rPr>
        <w:t>deferred</w:t>
      </w:r>
      <w:r>
        <w:rPr>
          <w:b w:val="0"/>
          <w:i w:val="0"/>
          <w:strike w:val="0"/>
        </w:rPr>
        <w:t xml:space="preserve"> member whose creditable service is frozen, the sum advances by only one point a year, so four bridge points accelerate B 3 eligibility by a full </w:t>
      </w:r>
      <w:r>
        <w:rPr>
          <w:b/>
          <w:i w:val="0"/>
          <w:strike w:val="0"/>
        </w:rPr>
        <w:t>four</w:t>
      </w:r>
      <w:r>
        <w:rPr>
          <w:b w:val="0"/>
          <w:i w:val="0"/>
          <w:strike w:val="0"/>
        </w:rPr>
        <w:t xml:space="preserve"> years. The two-year figure stated in version 1.0 holds only for members who stay.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maximum per-member subsidy $341,065; employer rate impact 0.19 bp combined.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this office.</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1.1 update:</w:t>
      </w:r>
      <w:r>
        <w:rPr>
          <w:b w:val="0"/>
          <w:i w:val="0"/>
          <w:strike w:val="0"/>
        </w:rPr>
        <w:t xml:space="preserve"> the independent adversarial pass has reported (MOO-260) and returned twelve findings and fourteen citation defects, two of which falsified Part 4 conclusions; the precedent and stakeholder scan has reported (MOO-261); and the cost model for ACTUARY 1 and ACTUARY 2 has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and it does </w:t>
      </w:r>
      <w:r>
        <w:rPr>
          <w:b/>
          <w:i w:val="0"/>
          <w:strike w:val="0"/>
        </w:rPr>
        <w:t>not</w:t>
      </w:r>
      <w:r>
        <w:rPr>
          <w:b w:val="0"/>
          <w:i w:val="0"/>
          <w:strike w:val="0"/>
        </w:rPr>
        <w:t xml:space="preserve"> price the DECISION 8 deferred-member case. The adversarial pass was performed by the same attorney who drafted the package, because the independent Red Team / Counsel Reviewer was unavailable. That is a real limitation on its value and it should be re-run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