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20, 2026 for bill version 1.2.</w:t>
      </w:r>
      <w:r>
        <w:rPr>
          <w:b w:val="0"/>
          <w:i w:val="0"/>
          <w:strike w:val="0"/>
          <w:sz w:val="20"/>
        </w:rPr>
        <w:t xml:space="preserve"> The three blocking items that version 1.1 left open — DECISION 8 (deferred-member acceleration), DECISION 9 (health insurance credit and COLA commencement) and DECISION 10 (§ 51.1-153 B 4 public-safety scope) — were resolved on October 20, 2026 and are drafted into version 1.2. Part 6.1 records each decision, the drafting that implements it, and what is left over. The affected Part 4 rows and the equal-treatment answer in Part 5.5 are updated. </w:t>
      </w:r>
      <w:r>
        <w:rPr>
          <w:b/>
          <w:i w:val="0"/>
          <w:strike w:val="0"/>
          <w:sz w:val="20"/>
        </w:rPr>
        <w:t>No DECISION item in this memorandum is now blocking.</w:t>
      </w:r>
      <w:r>
        <w:rPr>
          <w:b w:val="0"/>
          <w:i w:val="0"/>
          <w:strike w:val="0"/>
          <w:sz w:val="20"/>
        </w:rPr>
        <w:t xml:space="preserve"> What remains before introduction is the VRS Board statement under § 30-19.1:7, the federal tax questions in Part 5.2, a re-run of the cost model against version 1.2, and two verification items in Part 7.5.</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keys off the date of retirement, which no exclusion in this bill reaches;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were resolved on October 19, 2026</w:t>
      </w:r>
      <w:r>
        <w:rPr>
          <w:b w:val="0"/>
          <w:i w:val="0"/>
          <w:strike w:val="0"/>
          <w:sz w:val="20"/>
        </w:rPr>
        <w:t xml:space="preserve"> and are recorded in Part 6. Three new blocking items replace them.</w:t>
      </w:r>
    </w:p>
    <w:p>
      <w:pPr>
        <w:spacing w:after="80"/>
        <w:ind w:left="480"/>
      </w:pPr>
      <w:r>
        <w:rPr>
          <w:b w:val="0"/>
          <w:i w:val="0"/>
          <w:strike w:val="0"/>
          <w:sz w:val="20"/>
        </w:rPr>
        <w:t>Both changes come from the independent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state, teacher, local non-hazardous</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state, teacher, local non-hazardous</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w:t>
      </w:r>
      <w:r>
        <w:rPr>
          <w:b/>
          <w:i w:val="0"/>
          <w:strike w:val="0"/>
        </w:rPr>
        <w:t>Version 1.2: this is accepted rather than cured</w:t>
      </w:r>
      <w:r>
        <w:rPr>
          <w:b w:val="0"/>
          <w:i w:val="0"/>
          <w:strike w:val="0"/>
        </w:rPr>
        <w:t xml:space="preserve"> — see </w:t>
      </w:r>
      <w:r>
        <w:rPr>
          <w:b/>
          <w:i w:val="0"/>
          <w:strike w:val="0"/>
        </w:rPr>
        <w:t>DECISION 9</w:t>
      </w:r>
      <w:r>
        <w:rPr>
          <w:b w:val="0"/>
          <w:i w:val="0"/>
          <w:strike w:val="0"/>
        </w:rPr>
        <w:t xml:space="preserve"> in Part 6 — and the savings paragraph at the end of § 51.1-142.4 F states the acceptance on the face of the bill.</w:t>
      </w:r>
    </w:p>
    <w:p>
      <w:r>
        <w:rPr>
          <w:b/>
          <w:i w:val="0"/>
          <w:strike w:val="0"/>
        </w:rPr>
        <w:t>§ 51.1-166 D 3 — flagged in Part 2 but not previously analyzed; on review it is safe.</w:t>
      </w:r>
      <w:r>
        <w:rPr>
          <w:b w:val="0"/>
          <w:i w:val="0"/>
          <w:strike w:val="0"/>
        </w:rPr>
        <w:t xml:space="preserve"> D 3's test is fixed "as of January 1, 2013," and no credit granted on or after July 1, 2028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deliberately NOT cured: accepted and priced (DECISION 9).</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w:t>
            </w:r>
            <w:r>
              <w:rPr>
                <w:b/>
                <w:i w:val="0"/>
                <w:strike w:val="0"/>
              </w:rPr>
              <w:t>Resolved in version 1.2 by acceptance, not cure (DECISION 9):</w:t>
            </w:r>
            <w:r>
              <w:rPr>
                <w:b w:val="0"/>
                <w:i w:val="0"/>
                <w:strike w:val="0"/>
              </w:rPr>
              <w:t xml:space="preserve"> the cost is accepted, priced and disclosed, and the savings paragraph at the end of § 51.1-142.4 F says so affirmatively so that F 8 is not misread as delaying commencement. Clause 3(vi) of the enactment requires the Board to report it by trust. Note that DECISION 8 reduces this exposure as a side effect, since the deferred path that would have accelerated the credit furthest is now closed.</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deliberately NOT cured: accepted and priced (DECISION 9).</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The § 51.1-166 D 4 amendment does not reach this and must not be presented as if it did. Accepted per DECISION 9; the savings paragraph at the end of § 51.1-142.4 F states the acceptance affirmatively, and clause 3(vi) requires the Board to report the cost. </w:t>
            </w:r>
            <w:r>
              <w:rPr>
                <w:b/>
                <w:i w:val="0"/>
                <w:strike w:val="0"/>
              </w:rPr>
              <w:t>Not separately quantified in the MOO-259 model</w:t>
            </w:r>
            <w:r>
              <w:rPr>
                <w:b w:val="0"/>
                <w:i w:val="0"/>
                <w:strike w:val="0"/>
              </w:rPr>
              <w:t xml:space="preserve"> — the one acknowledged gap in the fiscal case.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and CLOSED in version 1.2 by an express amendment to § 51.1-153 C</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Version 1.1 required member-in-service status only at purchase, so acceleration for such a member could reach roughly 15 years rather than four; the C 2 d cap constrained but did not foreclose it. Version 1.2 adds § 51.1-142.4 E 3, which conditions the credit's </w:t>
            </w:r>
            <w:r>
              <w:rPr>
                <w:b w:val="0"/>
                <w:i/>
                <w:strike w:val="0"/>
              </w:rPr>
              <w:t>effect</w:t>
            </w:r>
            <w:r>
              <w:rPr>
                <w:b w:val="0"/>
                <w:i w:val="0"/>
                <w:strike w:val="0"/>
              </w:rPr>
              <w:t xml:space="preserve"> on in-service status immediately before retirement, </w:t>
            </w:r>
            <w:r>
              <w:rPr>
                <w:b/>
                <w:i w:val="0"/>
                <w:strike w:val="0"/>
              </w:rPr>
              <w:t>and amends § 51.1-153 C itself</w:t>
            </w:r>
            <w:r>
              <w:rPr>
                <w:b w:val="0"/>
                <w:i w:val="0"/>
                <w:strike w:val="0"/>
              </w:rPr>
              <w:t xml:space="preserve"> — necessarily, because that subsection's second sentence would otherwise have waived the new requirement. Refund with interest under K 1 c and K 1 d; pre-purchase disclosure under I 2(vii).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The 30-year floor ($8,000) and the 20-year double-salary provision run on creditable service; the retiree-coverage condition runs on "five or more years of service as an employee." Reinforced by F 11.</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and fourth sentences</w:t>
            </w:r>
            <w:r>
              <w:rPr>
                <w:b w:val="0"/>
                <w:i w:val="0"/>
                <w:strike w:val="0"/>
              </w:rPr>
              <w:t>; § 51.1-155 A 3</w:t>
            </w:r>
          </w:p>
        </w:tc>
        <w:tc>
          <w:tcPr>
            <w:tcW w:type="dxa" w:w="2160"/>
          </w:tcPr>
          <w:p>
            <w:r>
              <w:rPr>
                <w:b/>
                <w:i w:val="0"/>
                <w:strike w:val="0"/>
              </w:rPr>
              <w:t>YES — inside the bill, and in version 1.2 the post-2014 entrants among them are now EXCLUDED.</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at least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covering § 51.1-138 employees, which is conclusive that the two local elections are distinct. Such an employee, hired in any year, was therefore caught by none of clauses B 1(i), (ii) or (iii), and the pathway left open was </w:t>
            </w:r>
            <w:r>
              <w:rPr>
                <w:b/>
                <w:i w:val="0"/>
                <w:strike w:val="0"/>
              </w:rPr>
              <w:t>B 2 — age 50 plus 30 years, one-for-one</w:t>
            </w:r>
            <w:r>
              <w:rPr>
                <w:b w:val="0"/>
                <w:i w:val="0"/>
                <w:strike w:val="0"/>
              </w:rPr>
              <w:t xml:space="preserve"> — the most generous acceleration in the bill. </w:t>
            </w:r>
            <w:r>
              <w:rPr>
                <w:b/>
                <w:i w:val="0"/>
                <w:strike w:val="0"/>
              </w:rPr>
              <w:t>Version 1.2 (DECISION 10)</w:t>
            </w:r>
            <w:r>
              <w:rPr>
                <w:b w:val="0"/>
                <w:i w:val="0"/>
                <w:strike w:val="0"/>
              </w:rPr>
              <w:t xml:space="preserve"> adds clause B 1(iv), excluding those whose first VRS membership began on or after January 1, 2014, which eliminates the permanent and growing share of this class; pre-2014 public-safety veterans remain eligible by deliberate choice. The residual technical problem for that remaining class — the B 4 deeming is scoped to B 1, B 3, subsection D and § 51.1-155 A 3, and </w:t>
            </w:r>
            <w:r>
              <w:rPr>
                <w:b/>
                <w:i w:val="0"/>
                <w:strike w:val="0"/>
              </w:rPr>
              <w:t>B 2 is not in that list</w:t>
            </w:r>
            <w:r>
              <w:rPr>
                <w:b w:val="0"/>
                <w:i w:val="0"/>
                <w:strike w:val="0"/>
              </w:rPr>
              <w:t xml:space="preserve"> — is fixed by new C 1 c, which routes them to the C 1 a deficit formula. The approximate normal cost rate for the class still needs VRS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versus the 12.50% charged.</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Aggregate employer contribution rate impact, FY2029–FY2038</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no single plan exceeds </w:t>
            </w:r>
            <w:r>
              <w:rPr>
                <w:b/>
                <w:i w:val="0"/>
                <w:strike w:val="0"/>
              </w:rPr>
              <w:t>0.84 bp</w:t>
            </w:r>
            <w:r>
              <w:rPr>
                <w:b w:val="0"/>
                <w:i w:val="0"/>
                <w:strike w:val="0"/>
              </w:rPr>
              <w:t xml:space="preserve"> in any scenario tested.</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The § 51.1-124.3 carve-out is doing more work than any other provision.</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and the annual allowance from $35,696 to $41,188 for life. The three-move architecture in Part 3 is vindicated quantitatively, not merely conceptually.</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resolved on October 19, 2026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require an appropriation to offset the liability.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The partial-purchase rule was resolved on October 19, 2026, and </w:t>
      </w:r>
      <w:r>
        <w:rPr>
          <w:b/>
          <w:i w:val="0"/>
          <w:strike w:val="0"/>
        </w:rPr>
        <w:t>0.06 bp is its measured price</w:t>
      </w:r>
      <w:r>
        <w:rPr>
          <w:b w:val="0"/>
          <w:i w:val="0"/>
          <w:strike w:val="0"/>
        </w:rPr>
        <w:t xml:space="preserve"> — a defensible trade to put to a committee.</w:t>
      </w:r>
    </w:p>
    <w:p>
      <w:r>
        <w:rPr>
          <w:b/>
          <w:i w:val="0"/>
          <w:strike w:val="0"/>
        </w:rPr>
        <w:t>What the model does not price.</w:t>
      </w:r>
      <w:r>
        <w:rPr>
          <w:b w:val="0"/>
          <w:i w:val="0"/>
          <w:strike w:val="0"/>
        </w:rPr>
        <w:t xml:space="preserve"> </w:t>
      </w:r>
      <w:r>
        <w:rPr>
          <w:b/>
          <w:i w:val="0"/>
          <w:strike w:val="0"/>
        </w:rPr>
        <w:t>Version 1.2 update:</w:t>
      </w:r>
      <w:r>
        <w:rPr>
          <w:b w:val="0"/>
          <w:i w:val="0"/>
          <w:strike w:val="0"/>
        </w:rPr>
        <w:t xml:space="preserve"> the model was built against version 1.1 and needs re-running, but both of the corrections now run in the </w:t>
      </w:r>
      <w:r>
        <w:rPr>
          <w:b/>
          <w:i w:val="0"/>
          <w:strike w:val="0"/>
        </w:rPr>
        <w:t>favorable</w:t>
      </w:r>
      <w:r>
        <w:rPr>
          <w:b w:val="0"/>
          <w:i w:val="0"/>
          <w:strike w:val="0"/>
        </w:rPr>
        <w:t xml:space="preserve"> direction, so no figure above is an understatement on their account. (i) The deferred-member strategy is not in any figure above — the model prices four years of acceleration, not fifteen — and DECISION 8 has now </w:t>
      </w:r>
      <w:r>
        <w:rPr>
          <w:b/>
          <w:i w:val="0"/>
          <w:strike w:val="0"/>
        </w:rPr>
        <w:t>closed</w:t>
      </w:r>
      <w:r>
        <w:rPr>
          <w:b w:val="0"/>
          <w:i w:val="0"/>
          <w:strike w:val="0"/>
        </w:rPr>
        <w:t xml:space="preserve"> that path, so the omission no longer understates the cost. (ii) The model's population includes post-2014 B 4-resolution public-safety employees whom clause B 1(iv) now </w:t>
      </w:r>
      <w:r>
        <w:rPr>
          <w:b/>
          <w:i w:val="0"/>
          <w:strike w:val="0"/>
        </w:rPr>
        <w:t>excludes</w:t>
      </w:r>
      <w:r>
        <w:rPr>
          <w:b w:val="0"/>
          <w:i w:val="0"/>
          <w:strike w:val="0"/>
        </w:rPr>
        <w:t xml:space="preserve">, so the modeled population is too large rather than too small. What remains genuinely outside the contribution-rate figures is the DECISION 9 health insurance credit and COLA commencement cost, which sits on </w:t>
      </w:r>
      <w:r>
        <w:rPr>
          <w:b/>
          <w:i w:val="0"/>
          <w:strike w:val="0"/>
        </w:rPr>
        <w:t>separately funded trusts</w:t>
      </w:r>
      <w:r>
        <w:rPr>
          <w:b w:val="0"/>
          <w:i w:val="0"/>
          <w:strike w:val="0"/>
        </w:rPr>
        <w:t>; only the per-member health insurance credit order of magnitude (≈ $5,300) has been estimated, and the COLA exposure has not been quantified at all. The model should nonetheless be restated against the bill actually introduced.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plus reserve/Guard members protected by 10 U.S.C. ch. 1223.</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Three consequences follow:</w:t>
      </w:r>
    </w:p>
    <w:p>
      <w:pPr>
        <w:pStyle w:val="ListNumber"/>
      </w:pPr>
      <w:r>
        <w:rPr>
          <w:b/>
          <w:i w:val="0"/>
          <w:strike w:val="0"/>
        </w:rPr>
        <w:t>§ 415(c) exposure.</w:t>
      </w:r>
      <w:r>
        <w:rPr>
          <w:b w:val="0"/>
          <w:i w:val="0"/>
          <w:strike w:val="0"/>
        </w:rPr>
        <w:t xml:space="preserve"> Voluntary after-tax employee contributions to a governmental defined benefit plan are annual additions (Treas. Reg. § 1.415(c)-1(a)(2)(ii)(B)). § 415(n)(1)(B) is the relief that lets a governmental plan avoid an annual-additions failure on a service purchase. Without it, a lump sum of roughly $35,000 could exceed the § 415(c) limit in the year of purchase. § 51.1-168 addresses §§ 415(b) and 415(d), not this.</w:t>
      </w:r>
    </w:p>
    <w:p>
      <w:pPr>
        <w:pStyle w:val="ListNumber"/>
      </w:pPr>
      <w:r>
        <w:rPr>
          <w:b/>
          <w:i w:val="0"/>
          <w:strike w:val="0"/>
        </w:rPr>
        <w:t>Funding sources disappear — a design fact, not a footnote.</w:t>
      </w:r>
      <w:r>
        <w:rPr>
          <w:b w:val="0"/>
          <w:i w:val="0"/>
          <w:strike w:val="0"/>
        </w:rPr>
        <w:t xml:space="preserve"> IRC §§ 403(b)(13) and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JLCVSO should know this before the bill is introduced, because it materially changes who can afford the bridge.</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Downgraded:</w:t>
      </w:r>
      <w:r>
        <w:rPr>
          <w:b w:val="0"/>
          <w:i w:val="0"/>
          <w:strike w:val="0"/>
        </w:rPr>
        <w:t xml:space="preserve"> § 401(a) definitely-determinable benefits. The benefit </w:t>
      </w:r>
      <w:r>
        <w:rPr>
          <w:b w:val="0"/>
          <w:i/>
          <w:strike w:val="0"/>
        </w:rPr>
        <w:t>amount</w:t>
      </w:r>
      <w:r>
        <w:rPr>
          <w:b w:val="0"/>
          <w:i w:val="0"/>
          <w:strike w:val="0"/>
        </w:rPr>
        <w:t xml:space="preserve"> is untouched and the eligibility condition is objective and fixed in statute, so Treas. Reg. § 1.401-1(b)(1)(i) is satisfied on its face; the governmental-plan exemptions in IRC §§ 401(a)(5)(G) and 401(a)(26)(G) also take § 401(a)(4) and § 401(a)(26) off the table. Counsel's time belongs on § 415(n)/§ 415(c).</w:t>
      </w:r>
    </w:p>
    <w:p>
      <w:r>
        <w:rPr>
          <w:b/>
          <w:i w:val="0"/>
          <w:strike w:val="0"/>
        </w:rPr>
        <w:t>Added: 10 U.S.C. § 12736 is the operative federal provision, and this package previously cited only the chapter.</w:t>
      </w:r>
      <w:r>
        <w:rPr>
          <w:b w:val="0"/>
          <w:i w:val="0"/>
          <w:strike w:val="0"/>
        </w:rPr>
        <w:t xml:space="preserve"> § 12736 provides that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Virginia has long read chapter 1223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chapter 1223 service must count toward § 51.1-153 B 2 and B 3 eligibility </w:t>
      </w:r>
      <w:r>
        <w:rPr>
          <w:b/>
          <w:i w:val="0"/>
          <w:strike w:val="0"/>
        </w:rPr>
        <w:t>at no cost</w:t>
      </w:r>
      <w:r>
        <w:rPr>
          <w:b w:val="0"/>
          <w:i w:val="0"/>
          <w:strike w:val="0"/>
        </w:rPr>
        <w:t>. Put that question to legislative counsel with § 12736 in front of them before introduction.</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 and its repair in version 1.2.</w:t>
      </w:r>
      <w:r>
        <w:rPr>
          <w:b w:val="0"/>
          <w:i w:val="0"/>
          <w:strike w:val="0"/>
        </w:rPr>
        <w:t xml:space="preserve"> Version 1.0 stated flatly that hazardous-duty members are excluded. That was wrong for the largest group of them: public-safety employees in § 51.1-153 B 4 resolution localities were </w:t>
      </w:r>
      <w:r>
        <w:rPr>
          <w:b/>
          <w:i w:val="0"/>
          <w:strike w:val="0"/>
        </w:rPr>
        <w:t>inside</w:t>
      </w:r>
      <w:r>
        <w:rPr>
          <w:b w:val="0"/>
          <w:i w:val="0"/>
          <w:strike w:val="0"/>
        </w:rPr>
        <w:t xml:space="preserve"> the bill, permanently, including employees hired this year — see the Part 4 row and DECISION 10. On version 1.1 the operative line was therefore not "veterans vs. non-veterans" but </w:t>
      </w:r>
      <w:r>
        <w:rPr>
          <w:b/>
          <w:i w:val="0"/>
          <w:strike w:val="0"/>
        </w:rPr>
        <w:t>"public-safety employees in resolution localities vs. everyone hired since January 1, 2014,"</w:t>
      </w:r>
      <w:r>
        <w:rPr>
          <w:b w:val="0"/>
          <w:i w:val="0"/>
          <w:strike w:val="0"/>
        </w:rPr>
        <w:t xml:space="preserve"> a distinction with nothing to do with military service and considerably harder to defend.</w:t>
      </w:r>
    </w:p>
    <w:p>
      <w:r>
        <w:rPr>
          <w:b/>
          <w:i w:val="0"/>
          <w:strike w:val="0"/>
        </w:rPr>
        <w:t>Version 1.2 fixes it, and the equal-treatment answer above is now deployable.</w:t>
      </w:r>
      <w:r>
        <w:rPr>
          <w:b w:val="0"/>
          <w:i w:val="0"/>
          <w:strike w:val="0"/>
        </w:rPr>
        <w:t xml:space="preserve"> Clause B 1(iv) excludes B 4-resolution employees whose first VRS membership began on or after January 1, 2014, so the bill's boundary now tracks the </w:t>
      </w:r>
      <w:r>
        <w:rPr>
          <w:b/>
          <w:i w:val="0"/>
          <w:strike w:val="0"/>
        </w:rPr>
        <w:t>hybrid-program line that already applies to every other post-2014 hire</w:t>
      </w:r>
      <w:r>
        <w:rPr>
          <w:b w:val="0"/>
          <w:i w:val="0"/>
          <w:strike w:val="0"/>
        </w:rPr>
        <w:t xml:space="preserve"> rather than carving out an occupation. The remaining eligible class — members whose first membership predates January 1, 2014 — is defined by hire date and plan structure, not by occupation, and it is closed and shrinking. Two residual points to hold in reserve rather than volunteer: pre-2014 B 4-resolution public-safety employees do retain access through the B 2 pathway, which is the most generous in the bill, and they pay the hazardous-duty approximate normal cost rate (23.78% Plan 1 / 19.15% Plan 2) rather than the 12.50% / 10.74% non-hazardous rate, which is a fair answer on price if the point is raised. The answer to (iii) is correspondingly restored: the beneficiary class is defined by military service within a closed pre-2014 membership cohort, not by occupation.</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on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B 1(i) and J implement it. </w:t>
            </w:r>
            <w:r>
              <w:rPr>
                <w:b/>
                <w:i w:val="0"/>
                <w:strike w:val="0"/>
              </w:rPr>
              <w:t>Version 1.2:</w:t>
            </w:r>
            <w:r>
              <w:rPr>
                <w:b w:val="0"/>
                <w:i w:val="0"/>
                <w:strike w:val="0"/>
              </w:rPr>
              <w:t xml:space="preserve"> with clause B 1(iv) added under DECISION 10, the exclusion now </w:t>
            </w:r>
            <w:r>
              <w:rPr>
                <w:b w:val="0"/>
                <w:i/>
                <w:strike w:val="0"/>
              </w:rPr>
              <w:t>does</w:t>
            </w:r>
            <w:r>
              <w:rPr>
                <w:b w:val="0"/>
                <w:i w:val="0"/>
                <w:strike w:val="0"/>
              </w:rPr>
              <w:t xml:space="preserve"> produce a uniformly closing cohort — the earlier caveat is spent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 xml:space="preserve">6.1 The three blocking items — </w:t>
      </w:r>
      <w:r>
        <w:rPr>
          <w:b/>
          <w:i w:val="0"/>
          <w:strike w:val="0"/>
        </w:rPr>
        <w:t>resolved on October 20, 2026</w:t>
      </w:r>
      <w:r>
        <w:rPr>
          <w:b w:val="0"/>
          <w:i w:val="0"/>
          <w:strike w:val="0"/>
        </w:rPr>
        <w:t xml:space="preserve"> and implemented in version 1.2</w:t>
      </w:r>
    </w:p>
    <w:p>
      <w:pPr>
        <w:pStyle w:val="ListBullet"/>
      </w:pPr>
      <w:r>
        <w:rPr>
          <w:b/>
          <w:i w:val="0"/>
          <w:strike w:val="0"/>
        </w:rPr>
        <w:t>DECISION 8 — Deferred-member acceleration (supersedes DECISION 5). RESOLVED: "Require member-in-service status at retirement, not only at purchase."</w:t>
      </w:r>
      <w:r>
        <w:rPr>
          <w:b w:val="0"/>
          <w:i w:val="0"/>
          <w:strike w:val="0"/>
        </w:rPr>
        <w:t xml:space="preserve"> The exposure: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Version 1.1's § 51.1-142.4 B 1 required member-in-service status only on the purchase date. A member who bought four years at age 44 with 26 years of service, resigned, and deferred could take an </w:t>
      </w:r>
      <w:r>
        <w:rPr>
          <w:b/>
          <w:i w:val="0"/>
          <w:strike w:val="0"/>
        </w:rPr>
        <w:t>unreduced</w:t>
      </w:r>
      <w:r>
        <w:rPr>
          <w:b w:val="0"/>
          <w:i w:val="0"/>
          <w:strike w:val="0"/>
        </w:rPr>
        <w:t xml:space="preserve"> allowance at age 50 that she could otherwise obtain only at 65, since with frozen service the clause (ii) date in § 51.1-155 A 2 never arrives — roughly </w:t>
      </w:r>
      <w:r>
        <w:rPr>
          <w:b/>
          <w:i w:val="0"/>
          <w:strike w:val="0"/>
        </w:rPr>
        <w:t>15 years of acceleration for about $35,000</w:t>
      </w:r>
      <w:r>
        <w:rPr>
          <w:b w:val="0"/>
          <w:i w:val="0"/>
          <w:strike w:val="0"/>
        </w:rPr>
        <w:t>, an order of magnitude beyond the four-year illustration in Part 5.1.</w:t>
      </w:r>
    </w:p>
    <w:p>
      <w:r>
        <w:rPr>
          <w:b/>
          <w:i w:val="0"/>
          <w:strike w:val="0"/>
        </w:rPr>
        <w:t>How version 1.2 implements it.</w:t>
      </w:r>
      <w:r>
        <w:rPr>
          <w:b w:val="0"/>
          <w:i w:val="0"/>
          <w:strike w:val="0"/>
        </w:rPr>
        <w:t xml:space="preserve"> New § 51.1-142.4 E 3 conditions the </w:t>
      </w:r>
      <w:r>
        <w:rPr>
          <w:b w:val="0"/>
          <w:i/>
          <w:strike w:val="0"/>
        </w:rPr>
        <w:t>authorized effect</w:t>
      </w:r>
      <w:r>
        <w:rPr>
          <w:b w:val="0"/>
          <w:i w:val="0"/>
          <w:strike w:val="0"/>
        </w:rPr>
        <w:t xml:space="preserve"> of the credit — not the purchase — on the member having been a member in service on the day immediately preceding the effective date of retirement, and a new conforming amendment to § 51.1-153 C carries the same carve-out. </w:t>
      </w:r>
      <w:r>
        <w:rPr>
          <w:b/>
          <w:i w:val="0"/>
          <w:strike w:val="0"/>
        </w:rPr>
        <w:t>Both were necessary.</w:t>
      </w:r>
      <w:r>
        <w:rPr>
          <w:b w:val="0"/>
          <w:i w:val="0"/>
          <w:strike w:val="0"/>
        </w:rPr>
        <w:t xml:space="preserve"> The second sentence of § 51.1-153 C is a general waiver of "any requirements as to the member being in service," and it opens up the very subdivisions this bill operates on, so a condition stated only in § 51.1-142.4 would have been waived by the provision it was written to reach. Placing the condition on effect rather than on purchase also means a member who buys in good faith and is later separated does not simply lose her money: new subdivisions K 1 c and K 1 d refund it with interest, on application for deferred retirement or on written request, and subdivision I 2(vii) requires that this be disclosed in writing before purchase. </w:t>
      </w:r>
      <w:r>
        <w:rPr>
          <w:b/>
          <w:i w:val="0"/>
          <w:strike w:val="0"/>
        </w:rPr>
        <w:t>Residual.</w:t>
      </w:r>
      <w:r>
        <w:rPr>
          <w:b w:val="0"/>
          <w:i w:val="0"/>
          <w:strike w:val="0"/>
        </w:rPr>
        <w:t xml:space="preserve"> Part 1.2's corrected acceleration arithmetic still stands and is now the </w:t>
      </w:r>
      <w:r>
        <w:rPr>
          <w:b w:val="0"/>
          <w:i/>
          <w:strike w:val="0"/>
        </w:rPr>
        <w:t>only</w:t>
      </w:r>
      <w:r>
        <w:rPr>
          <w:b w:val="0"/>
          <w:i w:val="0"/>
          <w:strike w:val="0"/>
        </w:rPr>
        <w:t xml:space="preserve"> live version: four bridge points accelerate B 3 by about two years for a member who stays, because age and service each advance. The four-year deferred figure is no longer reachable. One sub-question is </w:t>
      </w:r>
      <w:r>
        <w:rPr>
          <w:b/>
          <w:i w:val="0"/>
          <w:strike w:val="0"/>
        </w:rPr>
        <w:t>flagged but not drafted</w:t>
      </w:r>
      <w:r>
        <w:rPr>
          <w:b w:val="0"/>
          <w:i w:val="0"/>
          <w:strike w:val="0"/>
        </w:rPr>
        <w:t xml:space="preserve"> — whether a member on approved leave or receiving long-term disability benefits at the moment of retirement should be deemed in service for E 3 purposes. Drafting note 10 states the options; the Council has not been asked. </w:t>
      </w:r>
      <w:r>
        <w:rPr>
          <w:b w:val="0"/>
          <w:i/>
          <w:strike w:val="0"/>
        </w:rPr>
        <w:t>Owner: JLCVSO, if it wants the softening.</w:t>
      </w:r>
    </w:p>
    <w:p>
      <w:pPr>
        <w:pStyle w:val="ListBullet"/>
      </w:pPr>
      <w:r>
        <w:rPr>
          <w:b/>
          <w:i w:val="0"/>
          <w:strike w:val="0"/>
        </w:rPr>
        <w:t>DECISION 9 — Health insurance credit and COLA commencement. RESOLVED: "Accept and price both; disclose them in the briefs and to the money committees."</w:t>
      </w:r>
      <w:r>
        <w:rPr>
          <w:b w:val="0"/>
          <w:i w:val="0"/>
          <w:strike w:val="0"/>
        </w:rPr>
        <w:t xml:space="preserve"> Neither cost is reachable by exclusion drafting, because both key off the </w:t>
      </w:r>
      <w:r>
        <w:rPr>
          <w:b/>
          <w:i w:val="0"/>
          <w:strike w:val="0"/>
        </w:rPr>
        <w:t>date of retirement</w:t>
      </w:r>
      <w:r>
        <w:rPr>
          <w:b w:val="0"/>
          <w:i w:val="0"/>
          <w:strike w:val="0"/>
        </w:rPr>
        <w:t xml:space="preserve"> rather than creditable service or the unreduced-eligibility date. The resolution rejected the two alternatives for stated reasons worth preserving: amending Chapter 14 and § 51.1-166 to delay commencement for bridge retirees would create a second class of retiree and would single out veterans for worse ancillary treatment than other early retirees, and raising the price above approximate normal cost would abandon the proposal's central pricing premise.</w:t>
      </w:r>
    </w:p>
    <w:p>
      <w:r>
        <w:rPr>
          <w:b/>
          <w:i w:val="0"/>
          <w:strike w:val="0"/>
        </w:rPr>
        <w:t>How version 1.2 implements it.</w:t>
      </w:r>
      <w:r>
        <w:rPr>
          <w:b w:val="0"/>
          <w:i w:val="0"/>
          <w:strike w:val="0"/>
        </w:rPr>
        <w:t xml:space="preserve"> No exclusion is attempted. Instead a savings paragraph at the end of § 51.1-142.4 F states affirmatively that nothing in subdivisions F 7 or F 8, or in the § 51.1-166 amendment, delays commencement or shortens duration — so the acceptance is deliberate on the face of the bill rather than an ambiguity for a later Board interpretation to resolve. </w:t>
      </w:r>
      <w:r>
        <w:rPr>
          <w:b/>
          <w:i w:val="0"/>
          <w:strike w:val="0"/>
        </w:rPr>
        <w:t>Magnitude as modeled (MOO-259):</w:t>
      </w:r>
      <w:r>
        <w:rPr>
          <w:b w:val="0"/>
          <w:i w:val="0"/>
          <w:strike w:val="0"/>
        </w:rPr>
        <w:t xml:space="preserve"> health insurance credit exposure roughly </w:t>
      </w:r>
      <w:r>
        <w:rPr>
          <w:b/>
          <w:i w:val="0"/>
          <w:strike w:val="0"/>
        </w:rPr>
        <w:t>$5,300 per state retiree</w:t>
      </w:r>
      <w:r>
        <w:rPr>
          <w:b w:val="0"/>
          <w:i w:val="0"/>
          <w:strike w:val="0"/>
        </w:rPr>
        <w:t xml:space="preserve"> with 26 years of service, on a separately funded trust; COLA exposure not separately quantified. Neither sits inside the 0.19 bp contribution-rate figure in Part 5.1, because both run on trusts outside the retirement allowance funds. Clause 3(vi) of the enactment requires the Board to report both, stated separately by trust, and both briefs now carry the disclosure. </w:t>
      </w:r>
      <w:r>
        <w:rPr>
          <w:b/>
          <w:i w:val="0"/>
          <w:strike w:val="0"/>
        </w:rPr>
        <w:t>This is a disclosed cost of the bill, not a defect in it — but it must be disclosed before a committee finds it.</w:t>
      </w:r>
    </w:p>
    <w:p>
      <w:pPr>
        <w:pStyle w:val="ListBullet"/>
      </w:pPr>
      <w:r>
        <w:rPr>
          <w:b/>
          <w:i w:val="0"/>
          <w:strike w:val="0"/>
        </w:rPr>
        <w:t>DECISION 10 — § 51.1-153 B 4 public-safety scope. RESOLVED, and narrower than this office recommended.</w:t>
      </w:r>
      <w:r>
        <w:rPr>
          <w:b w:val="0"/>
          <w:i w:val="0"/>
          <w:strike w:val="0"/>
        </w:rPr>
        <w:t xml:space="preserve"> The answer resolved on October 20, 2026, verbatim:</w:t>
      </w:r>
    </w:p>
    <w:p>
      <w:pPr>
        <w:spacing w:after="80"/>
        <w:ind w:left="480"/>
      </w:pPr>
      <w:r>
        <w:rPr>
          <w:b w:val="0"/>
          <w:i w:val="0"/>
          <w:strike w:val="0"/>
          <w:sz w:val="20"/>
        </w:rPr>
        <w:t>"No person whose first membership in the Virginia Retirement System commenced on or after January 1, 2014, and whose exclusion from the hybrid retirement program results from a resolution adopted pursuant to subdivision B 4 of § 51.1-153, shall be eligible for Military Retirement Bridge Credit."</w:t>
      </w:r>
    </w:p>
    <w:p>
      <w:r>
        <w:rPr>
          <w:b w:val="0"/>
          <w:i w:val="0"/>
          <w:strike w:val="0"/>
        </w:rPr>
        <w:t xml:space="preserve">Counsel had recommended excluding the whole B 4-resolution class. </w:t>
      </w:r>
      <w:r>
        <w:rPr>
          <w:b/>
          <w:i w:val="0"/>
          <w:strike w:val="0"/>
        </w:rPr>
        <w:t>The resolved line is the better-targeted fix and is adopted without reservation.</w:t>
      </w:r>
      <w:r>
        <w:rPr>
          <w:b w:val="0"/>
          <w:i w:val="0"/>
          <w:strike w:val="0"/>
        </w:rPr>
        <w:t xml:space="preserve"> The defect was never that B 4 public-safety employees benefit; it was that the class was </w:t>
      </w:r>
      <w:r>
        <w:rPr>
          <w:b w:val="0"/>
          <w:i/>
          <w:strike w:val="0"/>
        </w:rPr>
        <w:t>permanent and growing</w:t>
      </w:r>
      <w:r>
        <w:rPr>
          <w:b w:val="0"/>
          <w:i w:val="0"/>
          <w:strike w:val="0"/>
        </w:rPr>
        <w:t xml:space="preserve">, because § 51.1-169 A's third sentence makes B 4-resolution employees hybrid-ineligible in every hire year, so clause B 1(i) never caught them. Excluding only post-2014 entrants removes exactly that growth while preserving the bridge for pre-2014 public-safety veterans, who are Plan 1 / Plan 2-era employees squarely within the class this bill is for. The result is that the beneficiary class is now </w:t>
      </w:r>
      <w:r>
        <w:rPr>
          <w:b/>
          <w:i w:val="0"/>
          <w:strike w:val="0"/>
        </w:rPr>
        <w:t>closed and shrinking across the entire bill</w:t>
      </w:r>
      <w:r>
        <w:rPr>
          <w:b w:val="0"/>
          <w:i w:val="0"/>
          <w:strike w:val="0"/>
        </w:rPr>
        <w:t xml:space="preserve"> — the single most useful fact for the money committees, and one the narrower resolved line secures just as completely as a blanket exclusion would have. </w:t>
      </w:r>
      <w:r>
        <w:rPr>
          <w:b/>
          <w:i w:val="0"/>
          <w:strike w:val="0"/>
        </w:rPr>
        <w:t>How version 1.2 implements it.</w:t>
      </w:r>
      <w:r>
        <w:rPr>
          <w:b w:val="0"/>
          <w:i w:val="0"/>
          <w:strike w:val="0"/>
        </w:rPr>
        <w:t xml:space="preserve"> New clause B 1(iv) and a cross-reference in subsection J. </w:t>
      </w:r>
      <w:r>
        <w:rPr>
          <w:b/>
          <w:i w:val="0"/>
          <w:strike w:val="0"/>
        </w:rPr>
        <w:t>The wording was conformed to the statute and the substance was not changed:</w:t>
      </w:r>
      <w:r>
        <w:rPr>
          <w:b w:val="0"/>
          <w:i w:val="0"/>
          <w:strike w:val="0"/>
        </w:rPr>
        <w:t xml:space="preserve"> Title 51.1 does not use "first membership … commenced," and expresses the concept as not having been "a member of a retirement plan administered by the Virginia Retirement System the first time he is hired or rehired on or after January 1, 2014, in a covered position" (§ 51.1-169 A, fourth sentence); the operative defined term is "military retirement eligibility credit," not "Military Retirement Bridge Credit," which is the bill's short title. The resolved text is recorded verbatim above so the decision and the drafting are separately auditable. </w:t>
      </w:r>
      <w:r>
        <w:rPr>
          <w:b/>
          <w:i w:val="0"/>
          <w:strike w:val="0"/>
        </w:rPr>
        <w:t>Two consequences.</w:t>
      </w:r>
      <w:r>
        <w:rPr>
          <w:b w:val="0"/>
          <w:i w:val="0"/>
          <w:strike w:val="0"/>
        </w:rPr>
        <w:t xml:space="preserve"> (i) The equal-treatment answer in Part 5.5 is now clean: the operative line tracks the hybrid-program boundary that already applies to every other post-2014 hire, rather than drawing a distinction among veterans or singling out resolution localities. (ii) The </w:t>
      </w:r>
      <w:r>
        <w:rPr>
          <w:b/>
          <w:i w:val="0"/>
          <w:strike w:val="0"/>
        </w:rPr>
        <w:t>technical</w:t>
      </w:r>
      <w:r>
        <w:rPr>
          <w:b w:val="0"/>
          <w:i w:val="0"/>
          <w:strike w:val="0"/>
        </w:rPr>
        <w:t xml:space="preserve"> half of this finding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specifies that such a member is treated as a subdivision B 2 member and uses the C 1 a deficit formula. The approximate normal cost rate applicable to that class still needs VRS confirmation. </w:t>
      </w:r>
      <w:r>
        <w:rPr>
          <w:b w:val="0"/>
          <w:i/>
          <w:strike w:val="0"/>
        </w:rPr>
        <w:t>Owner: VRS.</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 now resolved.</w:t>
      </w:r>
      <w:r>
        <w:rPr>
          <w:b w:val="0"/>
          <w:i w:val="0"/>
          <w:strike w:val="0"/>
        </w:rPr>
        <w:t xml:space="preserve"> Version 1.0 proposed to let a deferred member keep purchased credit, and treated that as a member-favorable confirmation item. Independent review showed it was the bill's largest unpriced exposure, not a detail, and it was closed on October 20, 2026 by requiring member-in-service status at retirement.</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Version 1.2:</w:t>
      </w:r>
      <w:r>
        <w:rPr>
          <w:b w:val="0"/>
          <w:i w:val="0"/>
          <w:strike w:val="0"/>
        </w:rPr>
        <w:t xml:space="preserve"> the four-year deferred variant of this arithmetic is </w:t>
      </w:r>
      <w:r>
        <w:rPr>
          <w:b/>
          <w:i w:val="0"/>
          <w:strike w:val="0"/>
        </w:rPr>
        <w:t>no longer reachable</w:t>
      </w:r>
      <w:r>
        <w:rPr>
          <w:b w:val="0"/>
          <w:i w:val="0"/>
          <w:strike w:val="0"/>
        </w:rPr>
        <w:t xml:space="preserve"> — DECISION 8 requires in-service status at retirement, so the two-year figure is now the only live one for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maximum per-member subsidy $341,065; employer rate impact 0.19 bp combined.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this office.</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1.2 update:</w:t>
      </w:r>
      <w:r>
        <w:rPr>
          <w:b w:val="0"/>
          <w:i w:val="0"/>
          <w:strike w:val="0"/>
        </w:rPr>
        <w:t xml:space="preserve"> all three blocking items in Part 6.1 are resolved and drafted. The independent adversarial pass reported (MOO-260) with twelve findings and fourteen citation defects, two of which falsified Part 4 conclusions; the precedent and stakeholder scan reported (MOO-261); and the cost model for ACTUARY 1 and ACTUARY 2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w:t>
      </w:r>
      <w:r>
        <w:rPr>
          <w:b/>
          <w:i w:val="0"/>
          <w:strike w:val="0"/>
        </w:rPr>
        <w:t>The model now needs re-running against version 1.2</w:t>
      </w:r>
      <w:r>
        <w:rPr>
          <w:b w:val="0"/>
          <w:i w:val="0"/>
          <w:strike w:val="0"/>
        </w:rPr>
        <w:t>, in the favorable direction on both counts: it priced four years of acceleration on a bill that then still left the DECISION 8 deferred path open, and it included a population that clause B 1(iv) now excludes. The adversarial pass was performed by the same attorney who drafted the package, because the independent Red Team / Counsel Reviewer was unavailable. That is a real limitation on its value — the October 20 sign-off pass found three stale cross-document statements that the adversarial pass had not caught — and version 1.2 should be re-read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