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Package version:</w:t>
      </w:r>
      <w:r>
        <w:rPr>
          <w:b w:val="0"/>
          <w:i w:val="0"/>
          <w:strike w:val="0"/>
        </w:rPr>
        <w:t xml:space="preserve"> 1.4 — Independent-Review Integration (October 20, 2026); operative bill text at version 1.3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resolved on October 20, 2026 and are drafted into version 1.2. Part 6.1 records each decision, the drafting that implements it, and what is left over. The affected Part 4 rows and the equal-treatment answer in Part 5.5 are updated. </w:t>
      </w:r>
      <w:r>
        <w:rPr>
          <w:b/>
          <w:i w:val="0"/>
          <w:strike w:val="0"/>
          <w:sz w:val="20"/>
        </w:rPr>
        <w:t>All principal policy questions are settled, and no DECISION item in this memorandum is now blocking.</w:t>
      </w:r>
      <w:r>
        <w:rPr>
          <w:b w:val="0"/>
          <w:i w:val="0"/>
          <w:strike w:val="0"/>
          <w:sz w:val="20"/>
        </w:rPr>
        <w:t xml:space="preserve"> One narrow policy question remains open: how the in-service-at-retirement requirement in subdivision E 3 applies to a member on approved leave or receiving long-term disability benefits (bill drafting note 10) — it must be resolved or expressly deferred before external or patron use. What else remains before introduction is the VRS Board statement under § 30-19.1:7, the federal tax questions in Part 5.2, a re-run of the MOO-259 cost model against version 1.2 (</w:t>
      </w:r>
      <w:r>
        <w:rPr>
          <w:b/>
          <w:i w:val="0"/>
          <w:strike w:val="0"/>
          <w:sz w:val="20"/>
        </w:rPr>
        <w:t>the model is complete for version 1.1; a version 1.2 refresh is required before external use</w:t>
      </w:r>
      <w:r>
        <w:rPr>
          <w:b w:val="0"/>
          <w:i w:val="0"/>
          <w:strike w:val="0"/>
          <w:sz w:val="20"/>
        </w:rPr>
        <w:t>),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follows the retirement date, so preventing earlier commencement would require separate statutory changes outside the bridge;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were resolved on October 19, 2026</w:t>
      </w:r>
      <w:r>
        <w:rPr>
          <w:b w:val="0"/>
          <w:i w:val="0"/>
          <w:strike w:val="0"/>
          <w:sz w:val="20"/>
        </w:rPr>
        <w:t xml:space="preserve"> and are recorded in Part 6. Three new blocking items replace them.</w:t>
      </w:r>
    </w:p>
    <w:p>
      <w:pPr>
        <w:spacing w:after="80"/>
        <w:ind w:left="480"/>
      </w:pPr>
      <w:r>
        <w:rPr>
          <w:b w:val="0"/>
          <w:i w:val="0"/>
          <w:strike w:val="0"/>
          <w:sz w:val="20"/>
        </w:rPr>
        <w:t>Both changes come from the internal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ordinary non-hazardous (state, teacher, local)</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ordinary non-hazardous (state, teacher, local)</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p>
      <w:r>
        <w:rPr>
          <w:b/>
          <w:i w:val="0"/>
          <w:strike w:val="0"/>
        </w:rPr>
        <w:t>How to read this table, and how not to.</w:t>
      </w:r>
      <w:r>
        <w:rPr>
          <w:b w:val="0"/>
          <w:i w:val="0"/>
          <w:strike w:val="0"/>
        </w:rPr>
        <w:t xml:space="preserve"> The bridge does </w:t>
      </w:r>
      <w:r>
        <w:rPr>
          <w:b/>
          <w:i w:val="0"/>
          <w:strike w:val="0"/>
        </w:rPr>
        <w:t>not</w:t>
      </w:r>
      <w:r>
        <w:rPr>
          <w:b w:val="0"/>
          <w:i w:val="0"/>
          <w:strike w:val="0"/>
        </w:rPr>
        <w:t xml:space="preserve"> increase benefit-calculation service, the pension formula, or any benefit calculated by reference to service credit. It is </w:t>
      </w:r>
      <w:r>
        <w:rPr>
          <w:b/>
          <w:i w:val="0"/>
          <w:strike w:val="0"/>
        </w:rPr>
        <w:t>not</w:t>
      </w:r>
      <w:r>
        <w:rPr>
          <w:b w:val="0"/>
          <w:i w:val="0"/>
          <w:strike w:val="0"/>
        </w:rPr>
        <w:t xml:space="preserve"> correct to say that it has "no effect on any other VRS benefit." The exclusion architecture controls what the credit </w:t>
      </w:r>
      <w:r>
        <w:rPr>
          <w:b w:val="0"/>
          <w:i/>
          <w:strike w:val="0"/>
        </w:rPr>
        <w:t>is</w:t>
      </w:r>
      <w:r>
        <w:rPr>
          <w:b w:val="0"/>
          <w:i w:val="0"/>
          <w:strike w:val="0"/>
        </w:rPr>
        <w:t xml:space="preserve">; it does not control what an </w:t>
      </w:r>
      <w:r>
        <w:rPr>
          <w:b/>
          <w:i w:val="0"/>
          <w:strike w:val="0"/>
        </w:rPr>
        <w:t>earlier retirement date</w:t>
      </w:r>
      <w:r>
        <w:rPr>
          <w:b w:val="0"/>
          <w:i w:val="0"/>
          <w:strike w:val="0"/>
        </w:rPr>
        <w:t xml:space="preserve"> does, and </w:t>
      </w:r>
      <w:r>
        <w:rPr>
          <w:b/>
          <w:i w:val="0"/>
          <w:strike w:val="0"/>
        </w:rPr>
        <w:t>the ordinary consequences of an earlier retirement date remain applicable</w:t>
      </w:r>
      <w:r>
        <w:rPr>
          <w:b w:val="0"/>
          <w:i w:val="0"/>
          <w:strike w:val="0"/>
        </w:rPr>
        <w:t>. The health insurance credit and COLA rows below are the clearest instance: both follow the retirement date, so preventing earlier commencement would require separate statutory changes outside the bridge, and the proposal deliberately accepts and discloses that earlier commencement rather than adding separate delay provisions.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closed in version 1.3 by a continuity-of-service condition plus an express amendment to § 51.1-153 C</w:t>
            </w:r>
            <w:r>
              <w:rPr>
                <w:b w:val="0"/>
                <w:i w:val="0"/>
                <w:strike w:val="0"/>
              </w:rPr>
              <w:t xml:space="preserve"> (the version 1.2 drafting did not in fact close it — see memorandum Part 6.1)</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Thresholds and amounts: No</w:t>
            </w:r>
            <w:r>
              <w:rPr>
                <w:b w:val="0"/>
                <w:i w:val="0"/>
                <w:strike w:val="0"/>
              </w:rPr>
              <w:t xml:space="preserve"> — protected by definition. </w:t>
            </w:r>
            <w:r>
              <w:rPr>
                <w:b/>
                <w:i w:val="0"/>
                <w:strike w:val="0"/>
              </w:rPr>
              <w:t>Reduction schedule: YES — affected, and not cured.</w:t>
            </w:r>
          </w:p>
        </w:tc>
        <w:tc>
          <w:tcPr>
            <w:tcW w:type="dxa" w:w="2160"/>
          </w:tcPr>
          <w:p>
            <w:r>
              <w:rPr>
                <w:b w:val="0"/>
                <w:i w:val="0"/>
                <w:strike w:val="0"/>
              </w:rPr>
              <w:t xml:space="preserve">The 30-year floor ($8,000) and the 20-year double-salary provision run on creditable service, the retiree-coverage condition runs on "five or more years of service as an employee," and F 11 bars the credit from supplying any of them. </w:t>
            </w:r>
            <w:r>
              <w:rPr>
                <w:b/>
                <w:i w:val="0"/>
                <w:strike w:val="0"/>
              </w:rPr>
              <w:t>But § 51.1-505 B measures the 25%-per-year retiree reduction from "the date the employee is separated from service"</w:t>
            </w:r>
            <w:r>
              <w:rPr>
                <w:b w:val="0"/>
                <w:i w:val="0"/>
                <w:strike w:val="0"/>
              </w:rPr>
              <w:t xml:space="preserve"> — separation date, not normal retirement date, which governs only the disability retiree in the same subsection — so an earlier retirement starts the step-down </w:t>
            </w:r>
            <w:r>
              <w:rPr>
                <w:b/>
                <w:i w:val="0"/>
                <w:strike w:val="0"/>
              </w:rPr>
              <w:t>up to four years earlier</w:t>
            </w:r>
            <w:r>
              <w:rPr>
                <w:b w:val="0"/>
                <w:i w:val="0"/>
                <w:strike w:val="0"/>
              </w:rPr>
              <w:t xml:space="preserve">. Illustratively, a member retiring at 50 with 26 years at $85,000 has $170,000 of coverage and reaches the $42,500 floor at about age 54 instead of about 58. F 11 does not reach this, because it bars only </w:t>
            </w:r>
            <w:r>
              <w:rPr>
                <w:b w:val="0"/>
                <w:i/>
                <w:strike w:val="0"/>
              </w:rPr>
              <w:t>establishing eligibility for</w:t>
            </w:r>
            <w:r>
              <w:rPr>
                <w:b w:val="0"/>
                <w:i w:val="0"/>
                <w:strike w:val="0"/>
              </w:rPr>
              <w:t xml:space="preserve"> or </w:t>
            </w:r>
            <w:r>
              <w:rPr>
                <w:b w:val="0"/>
                <w:i/>
                <w:strike w:val="0"/>
              </w:rPr>
              <w:t>increasing</w:t>
            </w:r>
            <w:r>
              <w:rPr>
                <w:b w:val="0"/>
                <w:i w:val="0"/>
                <w:strike w:val="0"/>
              </w:rPr>
              <w:t xml:space="preserve"> group life, not a </w:t>
            </w:r>
            <w:r>
              <w:rPr>
                <w:b/>
                <w:i w:val="0"/>
                <w:strike w:val="0"/>
              </w:rPr>
              <w:t>decrease</w:t>
            </w:r>
            <w:r>
              <w:rPr>
                <w:b w:val="0"/>
                <w:i w:val="0"/>
                <w:strike w:val="0"/>
              </w:rPr>
              <w:t xml:space="preserve">. This is a member detriment rather than a trust cost, and it follows the separation date in the same way the health insurance credit and COLA follow the retirement date. </w:t>
            </w:r>
            <w:r>
              <w:rPr>
                <w:b/>
                <w:i w:val="0"/>
                <w:strike w:val="0"/>
              </w:rPr>
              <w:t>Disclosed in subdivision I 2(viii) as of version 1.3.</w:t>
            </w:r>
          </w:p>
        </w:tc>
      </w:tr>
      <w:tr>
        <w:tc>
          <w:tcPr>
            <w:tcW w:type="dxa" w:w="2160"/>
          </w:tcPr>
          <w:p>
            <w:r>
              <w:rPr>
                <w:b w:val="0"/>
                <w:i w:val="0"/>
                <w:strike w:val="0"/>
              </w:rPr>
              <w:t>Death-before-retirement allowance</w:t>
            </w:r>
          </w:p>
        </w:tc>
        <w:tc>
          <w:tcPr>
            <w:tcW w:type="dxa" w:w="2160"/>
          </w:tcPr>
          <w:p>
            <w:r>
              <w:rPr>
                <w:b w:val="0"/>
                <w:i w:val="0"/>
                <w:strike w:val="0"/>
              </w:rPr>
              <w:t>§ 51.1-162 B</w:t>
            </w:r>
          </w:p>
        </w:tc>
        <w:tc>
          <w:tcPr>
            <w:tcW w:type="dxa" w:w="2160"/>
          </w:tcPr>
          <w:p>
            <w:r>
              <w:rPr>
                <w:b/>
                <w:i w:val="0"/>
                <w:strike w:val="0"/>
              </w:rPr>
              <w:t>YES — affected, and not cured</w:t>
            </w:r>
          </w:p>
        </w:tc>
        <w:tc>
          <w:tcPr>
            <w:tcW w:type="dxa" w:w="2160"/>
          </w:tcPr>
          <w:p>
            <w:r>
              <w:rPr>
                <w:b w:val="0"/>
                <w:i w:val="0"/>
                <w:strike w:val="0"/>
              </w:rPr>
              <w:t xml:space="preserve">Retiring at the accelerated date ends death-in-service coverage. Had the member died in service, her survivor would have received a § 51.1-162 B allowance for life; having retired, the survivor receives only the § 51.1-163 excess-of-contributions payment unless the member elected a § 51.1-165 option and accepted the actuarial reduction. The § 51.1-162 B conforming amendment prevents the credit from </w:t>
            </w:r>
            <w:r>
              <w:rPr>
                <w:b w:val="0"/>
                <w:i/>
                <w:strike w:val="0"/>
              </w:rPr>
              <w:t>raising</w:t>
            </w:r>
            <w:r>
              <w:rPr>
                <w:b w:val="0"/>
                <w:i w:val="0"/>
                <w:strike w:val="0"/>
              </w:rPr>
              <w:t xml:space="preserve"> the allowance; it cannot preserve coverage the member has ended by retiring. </w:t>
            </w:r>
            <w:r>
              <w:rPr>
                <w:b/>
                <w:i w:val="0"/>
                <w:strike w:val="0"/>
              </w:rPr>
              <w:t>Disclosed in subdivision I 2(viii) as of version 1.3.</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those who first entered the VRS-administered retirement system on or after the January 1, 2014 Hybrid transition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qualifying B 4 employees who first entered the VRS-administered retirement system on or after the January 1, 2014 Hybrid transition — tracking the § 51.1-169 A membership test, so a member already in a VRS-administered plan before that date remains potentially eligible even if rehired later —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xml:space="preserve">, versus the </w:t>
            </w:r>
            <w:r>
              <w:rPr>
                <w:b/>
                <w:i w:val="0"/>
                <w:strike w:val="0"/>
              </w:rPr>
              <w:t>12.50%</w:t>
            </w:r>
            <w:r>
              <w:rPr>
                <w:b w:val="0"/>
                <w:i w:val="0"/>
                <w:strike w:val="0"/>
              </w:rPr>
              <w:t xml:space="preserve"> charged — that being the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 xml:space="preserve">Aggregate employer contribution rate impact, FY2029–FY2038 — </w:t>
            </w:r>
            <w:r>
              <w:rPr>
                <w:b/>
                <w:i w:val="0"/>
                <w:strike w:val="0"/>
              </w:rPr>
              <w:t>the modeled retirement-plan employer contribution impact, excluding the separately funded health insurance credit and COLA effects, including unquantified COLA exposure</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Placement in a new section is what does the work; the carve-out forecloses argument.</w:t>
      </w:r>
      <w:r>
        <w:rPr>
          <w:b w:val="0"/>
          <w:i w:val="0"/>
          <w:strike w:val="0"/>
        </w:rPr>
        <w:t xml:space="preserve"> </w:t>
      </w:r>
      <w:r>
        <w:rPr>
          <w:b/>
          <w:i w:val="0"/>
          <w:strike w:val="0"/>
        </w:rPr>
        <w:t>Corrected October 20, 2026 after independent counsel review.</w:t>
      </w:r>
      <w:r>
        <w:rPr>
          <w:b w:val="0"/>
          <w:i w:val="0"/>
          <w:strike w:val="0"/>
        </w:rPr>
        <w:t xml:space="preserve"> Earlier versions of this memorandum called the § 51.1-124.3 carve-out "the single most important protective move in the bill," said that "both moves are required; neither alone is safe," and offered a </w:t>
      </w:r>
      <w:r>
        <w:rPr>
          <w:b/>
          <w:i w:val="0"/>
          <w:strike w:val="0"/>
        </w:rPr>
        <w:t>5.7×</w:t>
      </w:r>
      <w:r>
        <w:rPr>
          <w:b w:val="0"/>
          <w:i w:val="0"/>
          <w:strike w:val="0"/>
        </w:rPr>
        <w:t xml:space="preserve"> figure as its quantitative vindication. That overstates the carve-out and misattributes the figure. Read the definition: "'Creditable service' means prior service </w:t>
      </w:r>
      <w:r>
        <w:rPr>
          <w:b/>
          <w:i w:val="0"/>
          <w:strike w:val="0"/>
        </w:rPr>
        <w:t>as set forth in § 51.1-142.2</w:t>
      </w:r>
      <w:r>
        <w:rPr>
          <w:b w:val="0"/>
          <w:i w:val="0"/>
          <w:strike w:val="0"/>
        </w:rPr>
        <w:t xml:space="preserve"> plus membership service for which credit is allowable." Eligibility credit granted under § 51.1-142.4 is neither prior service as set forth in § 51.1-142.2 nor membership service, so it is </w:t>
      </w:r>
      <w:r>
        <w:rPr>
          <w:b/>
          <w:i w:val="0"/>
          <w:strike w:val="0"/>
        </w:rPr>
        <w:t>already outside the definition by the definition's own terms, because of move 1</w:t>
      </w:r>
      <w:r>
        <w:rPr>
          <w:b w:val="0"/>
          <w:i w:val="0"/>
          <w:strike w:val="0"/>
        </w:rPr>
        <w:t xml:space="preserve">. Move 1 alone is safe on the text; move 2 alone would not be. Retain the carve-out — it costs nothing and forecloses the argument — but describe it as litigation insurance rather than as the load-bearing provision. </w:t>
      </w:r>
      <w:r>
        <w:rPr>
          <w:b/>
          <w:i w:val="0"/>
          <w:strike w:val="0"/>
        </w:rPr>
        <w:t>On the figure:</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xml:space="preserve">, and the annual allowance from $35,696 to $41,188 for life. That measures the cost of a bill drafted </w:t>
      </w:r>
      <w:r>
        <w:rPr>
          <w:b/>
          <w:i w:val="0"/>
          <w:strike w:val="0"/>
        </w:rPr>
        <w:t>inside § 51.1-142.2 without the carve-out</w:t>
      </w:r>
      <w:r>
        <w:rPr>
          <w:b w:val="0"/>
          <w:i w:val="0"/>
          <w:strike w:val="0"/>
        </w:rPr>
        <w:t xml:space="preserve">, which is to say it prices move </w:t>
      </w:r>
      <w:r>
        <w:rPr>
          <w:b/>
          <w:i w:val="0"/>
          <w:strike w:val="0"/>
        </w:rPr>
        <w:t>1</w:t>
      </w:r>
      <w:r>
        <w:rPr>
          <w:b w:val="0"/>
          <w:i w:val="0"/>
          <w:strike w:val="0"/>
        </w:rPr>
        <w:t xml:space="preserve">, not move 2, and prices a bill nobody proposed. Asked what the carve-out is worth on </w:t>
      </w:r>
      <w:r>
        <w:rPr>
          <w:b w:val="0"/>
          <w:i/>
          <w:strike w:val="0"/>
        </w:rPr>
        <w:t>this</w:t>
      </w:r>
      <w:r>
        <w:rPr>
          <w:b w:val="0"/>
          <w:i w:val="0"/>
          <w:strike w:val="0"/>
        </w:rPr>
        <w:t xml:space="preserve"> bill, the honest answer is: certainty, not $98,349.</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resolved on October 19, 2026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The partial-purchase rule was resolved on October 19, 2026,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the B 4-resolution public-safety employees who first entered the VRS-administered retirement system on or after the January 1, 2014 Hybrid transition,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Federal law protects qualifying service associated with </w:t>
      </w:r>
      <w:r>
        <w:rPr>
          <w:b/>
          <w:i w:val="0"/>
          <w:strike w:val="0"/>
        </w:rPr>
        <w:t>non-regular Reserve-component retired pay under 10 U.S.C. chapter 1223</w:t>
      </w:r>
      <w:r>
        <w:rPr>
          <w:b w:val="0"/>
          <w:i w:val="0"/>
          <w:strike w:val="0"/>
        </w:rPr>
        <w:t xml:space="preserve">; it does </w:t>
      </w:r>
      <w:r>
        <w:rPr>
          <w:b/>
          <w:i w:val="0"/>
          <w:strike w:val="0"/>
        </w:rPr>
        <w:t>not</w:t>
      </w:r>
      <w:r>
        <w:rPr>
          <w:b w:val="0"/>
          <w:i w:val="0"/>
          <w:strike w:val="0"/>
        </w:rPr>
        <w:t xml:space="preserve"> follow that all Reserve and National Guard service is protected, and no document in this package asserts that. </w:t>
      </w:r>
      <w:r>
        <w:rPr>
          <w:b/>
          <w:i w:val="0"/>
          <w:strike w:val="0"/>
        </w:rPr>
        <w:t>§ 12736 does not preempt this bill</w:t>
      </w:r>
      <w:r>
        <w:rPr>
          <w:b w:val="0"/>
          <w:i w:val="0"/>
          <w:strike w:val="0"/>
        </w:rPr>
        <w:t xml:space="preserve"> — it bars exclusion only of service a plan "otherwise properly credits," and Virginia credits this service only on purchase; see Part 5.2, as corrected on October 20, 2026.</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w:t>
      </w:r>
      <w:r>
        <w:rPr>
          <w:b/>
          <w:i w:val="0"/>
          <w:strike w:val="0"/>
        </w:rPr>
        <w:t>Corrected October 20, 2026 after independent counsel review — the earlier quotation of this section was wrong, and the words it omitted are the dispositive ones.</w:t>
      </w:r>
      <w:r>
        <w:rPr>
          <w:b w:val="0"/>
          <w:i w:val="0"/>
          <w:strike w:val="0"/>
        </w:rPr>
        <w:t xml:space="preserve"> Versions 1.0 through 1.3 quoted § 12736 as barring exclusion "in determining his </w:t>
      </w:r>
      <w:r>
        <w:rPr>
          <w:b/>
          <w:i w:val="0"/>
          <w:strike w:val="0"/>
        </w:rPr>
        <w:t>eligibility</w:t>
      </w:r>
      <w:r>
        <w:rPr>
          <w:b w:val="0"/>
          <w:i w:val="0"/>
          <w:strike w:val="0"/>
        </w:rPr>
        <w:t xml:space="preserve"> for any annuity, pension, or old-age benefit, under any other provision of law, </w:t>
      </w:r>
      <w:r>
        <w:rPr>
          <w:b/>
          <w:i w:val="0"/>
          <w:strike w:val="0"/>
        </w:rPr>
        <w:t>State or Federal</w:t>
      </w:r>
      <w:r>
        <w:rPr>
          <w:b w:val="0"/>
          <w:i w:val="0"/>
          <w:strike w:val="0"/>
        </w:rPr>
        <w:t xml:space="preserve">." </w:t>
      </w:r>
      <w:r>
        <w:rPr>
          <w:b/>
          <w:i w:val="0"/>
          <w:strike w:val="0"/>
        </w:rPr>
        <w:t>Those words are not in the statute.</w:t>
      </w:r>
      <w:r>
        <w:rPr>
          <w:b w:val="0"/>
          <w:i w:val="0"/>
          <w:strike w:val="0"/>
        </w:rPr>
        <w:t xml:space="preserve"> The actual text, read in primary federal text on October 20, 2026, is:</w:t>
      </w:r>
    </w:p>
    <w:p>
      <w:pPr>
        <w:spacing w:after="80"/>
        <w:ind w:left="480"/>
      </w:pPr>
      <w:r>
        <w:rPr>
          <w:b w:val="0"/>
          <w:i w:val="0"/>
          <w:strike w:val="0"/>
          <w:sz w:val="20"/>
        </w:rPr>
        <w:t xml:space="preserve">"No period of service included wholly or partly in determining a person's right to, or the amount of, retired pay under this chapter may be excluded in determining his eligibility for any annuity, pension, or old-age benefit, </w:t>
      </w:r>
      <w:r>
        <w:rPr>
          <w:b/>
          <w:i w:val="0"/>
          <w:strike w:val="0"/>
          <w:sz w:val="20"/>
        </w:rPr>
        <w:t>under any other law, on account of civilian employment by the United States or otherwise</w:t>
      </w:r>
      <w:r>
        <w:rPr>
          <w:b w:val="0"/>
          <w:i w:val="0"/>
          <w:strike w:val="0"/>
          <w:sz w:val="20"/>
        </w:rPr>
        <w:t xml:space="preserve">, or in determining the amount payable under that law, </w:t>
      </w:r>
      <w:r>
        <w:rPr>
          <w:b/>
          <w:i w:val="0"/>
          <w:strike w:val="0"/>
          <w:sz w:val="20"/>
        </w:rPr>
        <w:t>if that service is otherwise properly credited under it</w:t>
      </w:r>
      <w:r>
        <w:rPr>
          <w:b w:val="0"/>
          <w:i w:val="0"/>
          <w:strike w:val="0"/>
          <w:sz w:val="20"/>
        </w:rPr>
        <w:t>."</w:t>
      </w:r>
    </w:p>
    <w:p>
      <w:r>
        <w:rPr>
          <w:b w:val="0"/>
          <w:i w:val="0"/>
          <w:strike w:val="0"/>
        </w:rPr>
        <w:t xml:space="preserve">Two defects in the earlier treatment. The quotation </w:t>
      </w:r>
      <w:r>
        <w:rPr>
          <w:b/>
          <w:i w:val="0"/>
          <w:strike w:val="0"/>
        </w:rPr>
        <w:t>inserted an express reference to State law</w:t>
      </w:r>
      <w:r>
        <w:rPr>
          <w:b w:val="0"/>
          <w:i w:val="0"/>
          <w:strike w:val="0"/>
        </w:rPr>
        <w:t xml:space="preserve"> that the federal text does not contain — and those inserted words were precisely what made the preemption worry look sharp; the real text reaches state benefits only through the general words "or otherwise," a materially weaker footing. And it </w:t>
      </w:r>
      <w:r>
        <w:rPr>
          <w:b/>
          <w:i w:val="0"/>
          <w:strike w:val="0"/>
        </w:rPr>
        <w:t>omitted the closing proviso entirely</w:t>
      </w:r>
      <w:r>
        <w:rPr>
          <w:b w:val="0"/>
          <w:i w:val="0"/>
          <w:strike w:val="0"/>
        </w:rPr>
        <w:t>, which is the clause that answers the question.</w:t>
      </w:r>
    </w:p>
    <w:p>
      <w:r>
        <w:rPr>
          <w:b/>
          <w:i w:val="0"/>
          <w:strike w:val="0"/>
        </w:rPr>
        <w:t>The answer.</w:t>
      </w:r>
      <w:r>
        <w:rPr>
          <w:b w:val="0"/>
          <w:i w:val="0"/>
          <w:strike w:val="0"/>
        </w:rPr>
        <w:t xml:space="preserve"> § 12736 is an </w:t>
      </w:r>
      <w:r>
        <w:rPr>
          <w:b/>
          <w:i w:val="0"/>
          <w:strike w:val="0"/>
        </w:rPr>
        <w:t>anti-exclusion rule, not a crediting mandate.</w:t>
      </w:r>
      <w:r>
        <w:rPr>
          <w:b w:val="0"/>
          <w:i w:val="0"/>
          <w:strike w:val="0"/>
        </w:rPr>
        <w:t xml:space="preserve"> It forbids a benefit scheme from carving out chapter 1223 service that the scheme </w:t>
      </w:r>
      <w:r>
        <w:rPr>
          <w:b w:val="0"/>
          <w:i/>
          <w:strike w:val="0"/>
        </w:rPr>
        <w:t>otherwise properly credits</w:t>
      </w:r>
      <w:r>
        <w:rPr>
          <w:b w:val="0"/>
          <w:i w:val="0"/>
          <w:strike w:val="0"/>
        </w:rPr>
        <w:t xml:space="preserve">. Virginia does not "otherwise properly credit" unpurchased prior active duty service for § 51.1-153 B 2 or B 3 eligibility: such service enters the Code only through the </w:t>
      </w:r>
      <w:r>
        <w:rPr>
          <w:b/>
          <w:i w:val="0"/>
          <w:strike w:val="0"/>
        </w:rPr>
        <w:t>purchase</w:t>
      </w:r>
      <w:r>
        <w:rPr>
          <w:b w:val="0"/>
          <w:i w:val="0"/>
          <w:strike w:val="0"/>
        </w:rPr>
        <w:t xml:space="preserve"> right in § 51.1-142.2 B 2 and, under this bill, § 51.1-142.4. There is accordingly nothing for § 12736 to operate on, and the argument this memorandum previously feared — that chapter 1223 service must count toward § 51.1-153 B 2 and B 3 eligibility </w:t>
      </w:r>
      <w:r>
        <w:rPr>
          <w:b/>
          <w:i w:val="0"/>
          <w:strike w:val="0"/>
        </w:rPr>
        <w:t>at no cost</w:t>
      </w:r>
      <w:r>
        <w:rPr>
          <w:b w:val="0"/>
          <w:i w:val="0"/>
          <w:strike w:val="0"/>
        </w:rPr>
        <w:t xml:space="preserve"> — is defeated by the words the earlier quotation left out. Subdivision H 5's savings clause ("Except as otherwise required by Chapter 1223 of Title 10 of the United States Code") in any event yields to whatever § 12736 does require. </w:t>
      </w:r>
      <w:r>
        <w:rPr>
          <w:b/>
          <w:i w:val="0"/>
          <w:strike w:val="0"/>
        </w:rPr>
        <w:t>§ 12736 does not preempt any part of this bill as drafted.</w:t>
      </w:r>
    </w:p>
    <w:p>
      <w:r>
        <w:rPr>
          <w:b/>
          <w:i w:val="0"/>
          <w:strike w:val="0"/>
        </w:rPr>
        <w:t>The narrow residual question for counsel</w:t>
      </w:r>
      <w:r>
        <w:rPr>
          <w:b w:val="0"/>
          <w:i w:val="0"/>
          <w:strike w:val="0"/>
        </w:rPr>
        <w:t xml:space="preserve"> is not the one stated above: it is that subdivision H 5 carries the savings clause while the subsection B eligibility screen and subdivision C 2 c do not. Federal law protects qualifying service associated with non-regular Reserve-component retired pay under chapter 1223; it does </w:t>
      </w:r>
      <w:r>
        <w:rPr>
          <w:b/>
          <w:i w:val="0"/>
          <w:strike w:val="0"/>
        </w:rPr>
        <w:t>not</w:t>
      </w:r>
      <w:r>
        <w:rPr>
          <w:b w:val="0"/>
          <w:i w:val="0"/>
          <w:strike w:val="0"/>
        </w:rPr>
        <w:t xml:space="preserve"> follow that all Reserve and National Guard service is protected, and no document in this package should say so. </w:t>
      </w:r>
      <w:r>
        <w:rPr>
          <w:b/>
          <w:i w:val="0"/>
          <w:strike w:val="0"/>
        </w:rPr>
        <w:t>Do not leave this stated as "subject to counsel confirmation" without also stating the proviso</w:t>
      </w:r>
      <w:r>
        <w:rPr>
          <w:b w:val="0"/>
          <w:i w:val="0"/>
          <w:strike w:val="0"/>
        </w:rPr>
        <w:t xml:space="preserve"> — the proviso is the answer, and a reader who finds it will conclude the package did not read the section.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those qualifying B 4-resolution employees who first entered the VRS-administered retirement system on or after the January 1, 2014 Hybrid transition, so the bill's boundary now tracks the </w:t>
      </w:r>
      <w:r>
        <w:rPr>
          <w:b/>
          <w:i w:val="0"/>
          <w:strike w:val="0"/>
        </w:rPr>
        <w:t>§ 51.1-169 A hybrid-program membership line that already applies to every other entrant on or after that date</w:t>
      </w:r>
      <w:r>
        <w:rPr>
          <w:b w:val="0"/>
          <w:i w:val="0"/>
          <w:strike w:val="0"/>
        </w:rPr>
        <w:t xml:space="preserve"> rather than carving out an occupation. The remaining eligible class — members whose first membership predates January 1, 2014 — is defined by hire date and plan structure, not by occupation, and it is substantially closing (see Part 5.5, as revised). Two residual points to hold in reserve rather than volunteer: pre-2014 B 4-resolution public-safety employees do retain access through the B 2 pathway, which is the most generous in the bill, and they are expected to pay the hazardous-duty approximate normal cost rate (23.78% Plan 1 / 19.15% Plan 2) rather than the 12.50% / 10.74% ordinary non-hazardous rate, which is a fair answer on price if the point is raised — </w:t>
      </w:r>
      <w:r>
        <w:rPr>
          <w:b/>
          <w:i w:val="0"/>
          <w:strike w:val="0"/>
        </w:rPr>
        <w:t>though the applicable rate for this class requires VRS confirmation</w:t>
      </w:r>
      <w:r>
        <w:rPr>
          <w:b w:val="0"/>
          <w:i w:val="0"/>
          <w:strike w:val="0"/>
        </w:rPr>
        <w:t>.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 the ordinary non-hazardous rates —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on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retiring </w:t>
      </w:r>
      <w:r>
        <w:rPr>
          <w:b/>
          <w:i w:val="0"/>
          <w:strike w:val="0"/>
        </w:rPr>
        <w:t>directly from service</w:t>
      </w:r>
      <w:r>
        <w:rPr>
          <w:b w:val="0"/>
          <w:i w:val="0"/>
          <w:strike w:val="0"/>
        </w:rPr>
        <w:t xml:space="preserve">, which version 1.3 defines as having been a member in service on her </w:t>
      </w:r>
      <w:r>
        <w:rPr>
          <w:b/>
          <w:i w:val="0"/>
          <w:strike w:val="0"/>
        </w:rPr>
        <w:t>last day of service</w:t>
      </w:r>
      <w:r>
        <w:rPr>
          <w:b w:val="0"/>
          <w:i w:val="0"/>
          <w:strike w:val="0"/>
        </w:rPr>
        <w:t xml:space="preserve"> preceding the effective date of retirement and not having terminated service at any time after the credit was granted,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K 1 d and K 1 e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w:t>
      </w:r>
      <w:r>
        <w:rPr>
          <w:b/>
          <w:i w:val="0"/>
          <w:strike w:val="0"/>
        </w:rPr>
        <w:t>HIC and COLA follow the retirement date rather than creditable service or the unreduced-eligibility date, so preventing earlier commencement would require separate statutory changes outside the bridge</w:t>
      </w:r>
      <w:r>
        <w:rPr>
          <w:b w:val="0"/>
          <w:i w:val="0"/>
          <w:strike w:val="0"/>
        </w:rPr>
        <w:t xml:space="preserve"> — to Chapter 14 and to § 51.1-166. The resolution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the proposal </w:t>
      </w:r>
      <w:r>
        <w:rPr>
          <w:b/>
          <w:i w:val="0"/>
          <w:strike w:val="0"/>
        </w:rPr>
        <w:t>deliberately accepts and discloses the earlier commencement rather than adding separate delay provisions</w:t>
      </w:r>
      <w:r>
        <w:rPr>
          <w:b w:val="0"/>
          <w:i w:val="0"/>
          <w:strike w:val="0"/>
        </w:rPr>
        <w:t xml:space="preserve">.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 that figure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the policy-development team recommended.</w:t>
      </w:r>
      <w:r>
        <w:rPr>
          <w:b w:val="0"/>
          <w:i w:val="0"/>
          <w:strike w:val="0"/>
        </w:rPr>
        <w:t xml:space="preserve"> The answer resolved on October 20, 2026,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The policy-development team had recommended excluding the whole B 4-resolution class. </w:t>
      </w:r>
      <w:r>
        <w:rPr>
          <w:b/>
          <w:i w:val="0"/>
          <w:strike w:val="0"/>
        </w:rPr>
        <w:t>The resolved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those who first entered the VRS-administered retirement system on or after January 1, 2014 removes exactly that growth while preserving the bridge for pre-2014 public-safety veterans, who are Plan 1 / Plan 2-era employees squarely within the class this bill is for. The result is that the beneficiary class is now </w:t>
      </w:r>
      <w:r>
        <w:rPr>
          <w:b/>
          <w:i w:val="0"/>
          <w:strike w:val="0"/>
        </w:rPr>
        <w:t>substantially closing (see Part 5.5, as revised) across the entire bill</w:t>
      </w:r>
      <w:r>
        <w:rPr>
          <w:b w:val="0"/>
          <w:i w:val="0"/>
          <w:strike w:val="0"/>
        </w:rPr>
        <w:t xml:space="preserve"> — the single most useful fact for the money committees, and one the narrower resolved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resolved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 51.1-169 A hybrid-program membership boundary that already applies to every other entrant on or after January 1, 2014,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Internal adversarial review showed it was the bill's largest unpriced exposure, not a detail, and it was closed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 the most favorable single modeled profile, not a cost per veteran, and members who would otherwise have worked on to unreduced eligibility </w:t>
      </w:r>
      <w:r>
        <w:rPr>
          <w:b/>
          <w:i w:val="0"/>
          <w:strike w:val="0"/>
        </w:rPr>
        <w:t>overpay</w:t>
      </w:r>
      <w:r>
        <w:rPr>
          <w:b w:val="0"/>
          <w:i w:val="0"/>
          <w:strike w:val="0"/>
        </w:rPr>
        <w:t xml:space="preserve"> in every modeled work-to-eligibility scenario; employer rate impact </w:t>
      </w:r>
      <w:r>
        <w:rPr>
          <w:b/>
          <w:i w:val="0"/>
          <w:strike w:val="0"/>
        </w:rPr>
        <w:t>0.19 bp combined, being the modeled retirement-plan employer contribution impact and excluding separately funded HIC and COLA effects, including unquantified COLA exposure</w:t>
      </w:r>
      <w:r>
        <w:rPr>
          <w:b w:val="0"/>
          <w:i w:val="0"/>
          <w:strike w:val="0"/>
        </w:rPr>
        <w:t xml:space="preserve">.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policy-development team.</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internal adversarial review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internal adversarial review was performed by the policy-development team that drafted the package, because no independent reviewer was available. That is a real limitation on its value — the October 19 sign-off pass found three stale cross-document statements that the internal adversarial review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