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strike w:val="0"/>
        </w:rPr>
        <w:t>MILITARY SERVICE RETIREMENT BRIDGE</w:t>
      </w:r>
    </w:p>
    <w:p>
      <w:pPr>
        <w:pStyle w:val="Heading3"/>
      </w:pPr>
      <w:r>
        <w:rPr>
          <w:b w:val="0"/>
          <w:i w:val="0"/>
          <w:strike w:val="0"/>
        </w:rPr>
        <w:t>Two-page brief for the Joint Leadership Council of Veterans Service Organizations</w:t>
      </w:r>
    </w:p>
    <w:p>
      <w:r>
        <w:rPr>
          <w:b/>
          <w:i w:val="0"/>
          <w:strike w:val="0"/>
        </w:rPr>
        <w:t>Prepared by Policy Development Team using legal, policy, and financial analysis tools, pending review by veterans' legal counsel.</w:t>
      </w:r>
      <w:r>
        <w:rPr>
          <w:b w:val="0"/>
          <w:i w:val="0"/>
          <w:strike w:val="0"/>
        </w:rPr>
        <w:t xml:space="preserve"> | October 20, 2026 | </w:t>
      </w:r>
      <w:r>
        <w:rPr>
          <w:b/>
          <w:i w:val="0"/>
          <w:strike w:val="0"/>
        </w:rPr>
        <w:t>2028</w:t>
      </w:r>
      <w:r>
        <w:rPr>
          <w:b w:val="0"/>
          <w:i w:val="0"/>
          <w:strike w:val="0"/>
        </w:rPr>
        <w:t xml:space="preserve"> General Assembly | Package version 1.4; operative bill text version 1.3 | Amends § 2.2-3204 and seven Title 51.1 sections; adds § 51.1-142.4</w:t>
      </w:r>
    </w:p>
    <w:p>
      <w:r>
        <w:rPr>
          <w:b/>
          <w:i w:val="0"/>
          <w:strike w:val="0"/>
        </w:rPr>
        <w:t>1. The problem.</w:t>
      </w:r>
      <w:r>
        <w:rPr>
          <w:b w:val="0"/>
          <w:i w:val="0"/>
          <w:strike w:val="0"/>
        </w:rPr>
        <w:t xml:space="preserve"> Virginia already lets public employees buy up to </w:t>
      </w:r>
      <w:r>
        <w:rPr>
          <w:b/>
          <w:i w:val="0"/>
          <w:strike w:val="0"/>
        </w:rPr>
        <w:t>four years</w:t>
      </w:r>
      <w:r>
        <w:rPr>
          <w:b w:val="0"/>
          <w:i w:val="0"/>
          <w:strike w:val="0"/>
        </w:rPr>
        <w:t xml:space="preserve"> of prior active duty military service, but the right is nearly unusable by those who need it most because of </w:t>
      </w:r>
      <w:r>
        <w:rPr>
          <w:b/>
          <w:i w:val="0"/>
          <w:strike w:val="0"/>
        </w:rPr>
        <w:t>when</w:t>
      </w:r>
      <w:r>
        <w:rPr>
          <w:b w:val="0"/>
          <w:i w:val="0"/>
          <w:strike w:val="0"/>
        </w:rPr>
        <w:t xml:space="preserve"> it is priced. A member buying within the </w:t>
      </w:r>
      <w:r>
        <w:rPr>
          <w:b/>
          <w:i w:val="0"/>
          <w:strike w:val="0"/>
        </w:rPr>
        <w:t>first 24 months</w:t>
      </w:r>
      <w:r>
        <w:rPr>
          <w:b w:val="0"/>
          <w:i w:val="0"/>
          <w:strike w:val="0"/>
        </w:rPr>
        <w:t xml:space="preserve"> pays </w:t>
      </w:r>
      <w:r>
        <w:rPr>
          <w:b/>
          <w:i w:val="0"/>
          <w:strike w:val="0"/>
        </w:rPr>
        <w:t>approximate normal cost</w:t>
      </w:r>
      <w:r>
        <w:rPr>
          <w:b w:val="0"/>
          <w:i w:val="0"/>
          <w:strike w:val="0"/>
        </w:rPr>
        <w:t xml:space="preserve"> — for ordinary non-hazardous members, 12.50% of pay a year in Plan 1, 10.74% in Plan 2; after that the same service costs </w:t>
      </w:r>
      <w:r>
        <w:rPr>
          <w:b/>
          <w:i w:val="0"/>
          <w:strike w:val="0"/>
        </w:rPr>
        <w:t>actuarial equivalent cost</w:t>
      </w:r>
      <w:r>
        <w:rPr>
          <w:b w:val="0"/>
          <w:i w:val="0"/>
          <w:strike w:val="0"/>
        </w:rPr>
        <w:t xml:space="preserve">, several times higher (§ 51.1-142.2). So the cheap window falls where income is lowest and retirement most remote. </w:t>
      </w:r>
      <w:r>
        <w:rPr>
          <w:b/>
          <w:i w:val="0"/>
          <w:strike w:val="0"/>
        </w:rPr>
        <w:t>There is no second door.</w:t>
      </w:r>
    </w:p>
    <w:p>
      <w:r>
        <w:rPr>
          <w:b/>
          <w:i w:val="0"/>
          <w:strike w:val="0"/>
        </w:rPr>
        <w:t>2. The proposal in one sentence.</w:t>
      </w:r>
      <w:r>
        <w:rPr>
          <w:b w:val="0"/>
          <w:i w:val="0"/>
          <w:strike w:val="0"/>
        </w:rPr>
        <w:t xml:space="preserve"> Create a </w:t>
      </w:r>
      <w:r>
        <w:rPr>
          <w:b/>
          <w:i w:val="0"/>
          <w:strike w:val="0"/>
        </w:rPr>
        <w:t>narrow second purchase right</w:t>
      </w:r>
      <w:r>
        <w:rPr>
          <w:b w:val="0"/>
          <w:i w:val="0"/>
          <w:strike w:val="0"/>
        </w:rPr>
        <w:t xml:space="preserve"> — after the 24-month window closes, at the same approximate normal cost — letting a vested Plan 1 or Plan 2 member use prior active duty military service </w:t>
      </w:r>
      <w:r>
        <w:rPr>
          <w:b/>
          <w:i w:val="0"/>
          <w:strike w:val="0"/>
        </w:rPr>
        <w:t>only to qualify for an unreduced retirement</w:t>
      </w:r>
      <w:r>
        <w:rPr>
          <w:b w:val="0"/>
          <w:i w:val="0"/>
          <w:strike w:val="0"/>
        </w:rPr>
        <w:t>. It does not increase benefit-calculation service, the pension formula, or any service-credit-based benefit; the ordinary consequences of an earlier retirement date remain applicable.</w:t>
      </w:r>
    </w:p>
    <w:p>
      <w:r>
        <w:rPr>
          <w:b/>
          <w:i w:val="0"/>
          <w:strike w:val="0"/>
        </w:rPr>
        <w:t>Plan 1</w:t>
      </w:r>
      <w:r>
        <w:rPr>
          <w:b w:val="0"/>
          <w:i w:val="0"/>
          <w:strike w:val="0"/>
        </w:rPr>
        <w:t xml:space="preserve"> (unreduced at </w:t>
      </w:r>
      <w:r>
        <w:rPr>
          <w:b/>
          <w:i w:val="0"/>
          <w:strike w:val="0"/>
        </w:rPr>
        <w:t>age 50 and 30 years</w:t>
      </w:r>
      <w:r>
        <w:rPr>
          <w:b w:val="0"/>
          <w:i w:val="0"/>
          <w:strike w:val="0"/>
        </w:rPr>
        <w:t xml:space="preserve">): bridge years count toward the 30-year test only. </w:t>
      </w:r>
      <w:r>
        <w:rPr>
          <w:b w:val="0"/>
          <w:i/>
          <w:strike w:val="0"/>
        </w:rPr>
        <w:t xml:space="preserve">Age 52 with 27 years — three bridge years satisfy it, so the member retires unreduced now rather than at 55, on a benefit still calculated on </w:t>
      </w:r>
      <w:r>
        <w:rPr>
          <w:b w:val="0"/>
          <w:i/>
          <w:strike w:val="0"/>
        </w:rPr>
        <w:t>27</w:t>
      </w:r>
      <w:r>
        <w:rPr>
          <w:b w:val="0"/>
          <w:i/>
          <w:strike w:val="0"/>
        </w:rPr>
        <w:t xml:space="preserve"> years.</w:t>
      </w:r>
      <w:r>
        <w:rPr>
          <w:b w:val="0"/>
          <w:i w:val="0"/>
          <w:strike w:val="0"/>
        </w:rPr>
        <w:t xml:space="preserve"> </w:t>
      </w:r>
      <w:r>
        <w:rPr>
          <w:b/>
          <w:i w:val="0"/>
          <w:strike w:val="0"/>
        </w:rPr>
        <w:t>Plan 2</w:t>
      </w:r>
      <w:r>
        <w:rPr>
          <w:b w:val="0"/>
          <w:i w:val="0"/>
          <w:strike w:val="0"/>
        </w:rPr>
        <w:t xml:space="preserve"> (</w:t>
      </w:r>
      <w:r>
        <w:rPr>
          <w:b/>
          <w:i w:val="0"/>
          <w:strike w:val="0"/>
        </w:rPr>
        <w:t>Rule of 90</w:t>
      </w:r>
      <w:r>
        <w:rPr>
          <w:b w:val="0"/>
          <w:i w:val="0"/>
          <w:strike w:val="0"/>
        </w:rPr>
        <w:t xml:space="preserve">): bridge years count </w:t>
      </w:r>
      <w:r>
        <w:rPr>
          <w:b/>
          <w:i w:val="0"/>
          <w:strike w:val="0"/>
        </w:rPr>
        <w:t>one-for-one</w:t>
      </w:r>
      <w:r>
        <w:rPr>
          <w:b w:val="0"/>
          <w:i w:val="0"/>
          <w:strike w:val="0"/>
        </w:rPr>
        <w:t xml:space="preserve"> as points, partial years proportionally. </w:t>
      </w:r>
      <w:r>
        <w:rPr>
          <w:b w:val="0"/>
          <w:i/>
          <w:strike w:val="0"/>
        </w:rPr>
        <w:t xml:space="preserve">Age 58 with 28 years = 86 points; four bridge years reach 90, two years early, benefit still on </w:t>
      </w:r>
      <w:r>
        <w:rPr>
          <w:b w:val="0"/>
          <w:i/>
          <w:strike w:val="0"/>
        </w:rPr>
        <w:t>28</w:t>
      </w:r>
      <w:r>
        <w:rPr>
          <w:b w:val="0"/>
          <w:i/>
          <w:strike w:val="0"/>
        </w:rPr>
        <w:t xml:space="preserve"> years.</w:t>
      </w:r>
    </w:p>
    <w:p>
      <w:r>
        <w:rPr>
          <w:b/>
          <w:i w:val="0"/>
          <w:strike w:val="0"/>
        </w:rPr>
        <w:t>Guardrails.</w:t>
      </w:r>
      <w:r>
        <w:rPr>
          <w:b w:val="0"/>
          <w:i w:val="0"/>
          <w:strike w:val="0"/>
        </w:rPr>
        <w:t xml:space="preserve"> Must be vested (5 years); no purchase once you already qualify; </w:t>
      </w:r>
      <w:r>
        <w:rPr>
          <w:b/>
          <w:i w:val="0"/>
          <w:strike w:val="0"/>
        </w:rPr>
        <w:t>must retire directly from service.</w:t>
      </w:r>
      <w:r>
        <w:rPr>
          <w:b w:val="0"/>
          <w:i w:val="0"/>
          <w:strike w:val="0"/>
        </w:rPr>
        <w:t xml:space="preserve"> Capped at the shortfall </w:t>
      </w:r>
      <w:r>
        <w:rPr>
          <w:b/>
          <w:i w:val="0"/>
          <w:strike w:val="0"/>
        </w:rPr>
        <w:t>and</w:t>
      </w:r>
      <w:r>
        <w:rPr>
          <w:b w:val="0"/>
          <w:i w:val="0"/>
          <w:strike w:val="0"/>
        </w:rPr>
        <w:t xml:space="preserve"> the acceleration actually achievable, inside the existing four-year military cap; never increases your age on paper; not creditable service for any other purpose. Full-value purchase at actuarial cost stays open and convertible. A written VRS estimate is required before signing, with money back plus interest if the credit proves unusable.</w:t>
      </w:r>
    </w:p>
    <w:p>
      <w:r>
        <w:rPr>
          <w:b/>
          <w:i w:val="0"/>
          <w:strike w:val="0"/>
        </w:rPr>
        <w:t>3. What stays untouched, and how the bill guarantees it.</w:t>
      </w:r>
      <w:r>
        <w:rPr>
          <w:b w:val="0"/>
          <w:i w:val="0"/>
          <w:strike w:val="0"/>
        </w:rPr>
        <w:t xml:space="preserve"> The pension amount is protected because bridge credit is </w:t>
      </w:r>
      <w:r>
        <w:rPr>
          <w:b/>
          <w:i w:val="0"/>
          <w:strike w:val="0"/>
        </w:rPr>
        <w:t>outside the statutory definition of "creditable service"</w:t>
      </w:r>
      <w:r>
        <w:rPr>
          <w:b w:val="0"/>
          <w:i w:val="0"/>
          <w:strike w:val="0"/>
        </w:rPr>
        <w:t xml:space="preserve"> (§ 51.1-124.3) — it sits in a new section, and the bill also carves it out expressly. Since every VRS formula and service threshold runs on creditable service, that protects the benefit formula, average final compensation, the health insurance credit's threshold and amount, group life thresholds, disability allowances and vesting.</w:t>
      </w:r>
    </w:p>
    <w:p>
      <w:r>
        <w:rPr>
          <w:b w:val="0"/>
          <w:i w:val="0"/>
          <w:strike w:val="0"/>
        </w:rPr>
        <w:t xml:space="preserve">That was </w:t>
      </w:r>
      <w:r>
        <w:rPr>
          <w:b/>
          <w:i w:val="0"/>
          <w:strike w:val="0"/>
        </w:rPr>
        <w:t>not enough.</w:t>
      </w:r>
      <w:r>
        <w:rPr>
          <w:b w:val="0"/>
          <w:i w:val="0"/>
          <w:strike w:val="0"/>
        </w:rPr>
        <w:t xml:space="preserve"> Several provisions key off the </w:t>
      </w:r>
      <w:r>
        <w:rPr>
          <w:b/>
          <w:i w:val="0"/>
          <w:strike w:val="0"/>
        </w:rPr>
        <w:t>date</w:t>
      </w:r>
      <w:r>
        <w:rPr>
          <w:b w:val="0"/>
          <w:i w:val="0"/>
          <w:strike w:val="0"/>
        </w:rPr>
        <w:t xml:space="preserve"> of first unreduced eligibility, which the bridge moves, so each was closed by hand: </w:t>
      </w:r>
      <w:r>
        <w:rPr>
          <w:b/>
          <w:i w:val="0"/>
          <w:strike w:val="0"/>
        </w:rPr>
        <w:t>PLOP</w:t>
      </w:r>
      <w:r>
        <w:rPr>
          <w:b w:val="0"/>
          <w:i w:val="0"/>
          <w:strike w:val="0"/>
        </w:rPr>
        <w:t xml:space="preserve"> (§ 51.1-165.01), by freezing that date; </w:t>
      </w:r>
      <w:r>
        <w:rPr>
          <w:b/>
          <w:i w:val="0"/>
          <w:strike w:val="0"/>
        </w:rPr>
        <w:t>death-in-service</w:t>
      </w:r>
      <w:r>
        <w:rPr>
          <w:b w:val="0"/>
          <w:i w:val="0"/>
          <w:strike w:val="0"/>
        </w:rPr>
        <w:t xml:space="preserve"> (§ 51.1-162), whose survivor allowance turns on it; </w:t>
      </w:r>
      <w:r>
        <w:rPr>
          <w:b/>
          <w:i w:val="0"/>
          <w:strike w:val="0"/>
        </w:rPr>
        <w:t>deferred retirement</w:t>
      </w:r>
      <w:r>
        <w:rPr>
          <w:b w:val="0"/>
          <w:i w:val="0"/>
          <w:strike w:val="0"/>
        </w:rPr>
        <w:t xml:space="preserve"> (§ 51.1-153 C); and </w:t>
      </w:r>
      <w:r>
        <w:rPr>
          <w:b/>
          <w:i w:val="0"/>
          <w:strike w:val="0"/>
        </w:rPr>
        <w:t>Workforce Transition Act severance</w:t>
      </w:r>
      <w:r>
        <w:rPr>
          <w:b w:val="0"/>
          <w:i w:val="0"/>
          <w:strike w:val="0"/>
        </w:rPr>
        <w:t xml:space="preserve"> (</w:t>
      </w:r>
      <w:r>
        <w:rPr>
          <w:b/>
          <w:i w:val="0"/>
          <w:strike w:val="0"/>
        </w:rPr>
        <w:t>§ 2.2-3204, Title 2.2</w:t>
      </w:r>
      <w:r>
        <w:rPr>
          <w:b w:val="0"/>
          <w:i w:val="0"/>
          <w:strike w:val="0"/>
        </w:rPr>
        <w:t xml:space="preserve">), where severance years convert from </w:t>
      </w:r>
      <w:r>
        <w:rPr>
          <w:b w:val="0"/>
          <w:i/>
          <w:strike w:val="0"/>
        </w:rPr>
        <w:t>age</w:t>
      </w:r>
      <w:r>
        <w:rPr>
          <w:b w:val="0"/>
          <w:i w:val="0"/>
          <w:strike w:val="0"/>
        </w:rPr>
        <w:t xml:space="preserve"> into </w:t>
      </w:r>
      <w:r>
        <w:rPr>
          <w:b w:val="0"/>
          <w:i/>
          <w:strike w:val="0"/>
        </w:rPr>
        <w:t>creditable service</w:t>
      </w:r>
      <w:r>
        <w:rPr>
          <w:b w:val="0"/>
          <w:i w:val="0"/>
          <w:strike w:val="0"/>
        </w:rPr>
        <w:t xml:space="preserve"> once an employee is "eligible for unreduced retirement" — the bill's catch-alls stop at the Title 51.1 line. </w:t>
      </w:r>
      <w:r>
        <w:rPr>
          <w:b/>
          <w:i w:val="0"/>
          <w:strike w:val="0"/>
        </w:rPr>
        <w:t>COLA</w:t>
      </w:r>
      <w:r>
        <w:rPr>
          <w:b w:val="0"/>
          <w:i w:val="0"/>
          <w:strike w:val="0"/>
        </w:rPr>
        <w:t xml:space="preserve"> (§ 51.1-166) is amended too, but the real exposure is </w:t>
      </w:r>
      <w:r>
        <w:rPr>
          <w:b/>
          <w:i w:val="0"/>
          <w:strike w:val="0"/>
        </w:rPr>
        <w:t>not</w:t>
      </w:r>
      <w:r>
        <w:rPr>
          <w:b w:val="0"/>
          <w:i w:val="0"/>
          <w:strike w:val="0"/>
        </w:rPr>
        <w:t xml:space="preserve"> closed. </w:t>
      </w:r>
      <w:r>
        <w:rPr>
          <w:b/>
          <w:i w:val="0"/>
          <w:strike w:val="0"/>
        </w:rPr>
        <w:t>Accumulated contributions</w:t>
      </w:r>
      <w:r>
        <w:rPr>
          <w:b w:val="0"/>
          <w:i w:val="0"/>
          <w:strike w:val="0"/>
        </w:rPr>
        <w:t xml:space="preserve"> is amended, so the member's own payment is refundable.</w:t>
      </w:r>
    </w:p>
    <w:p>
      <w:r>
        <w:rPr>
          <w:b/>
          <w:i w:val="0"/>
          <w:strike w:val="0"/>
        </w:rPr>
        <w:t>4. The decisions already resolved.</w:t>
      </w:r>
    </w:p>
    <w:p>
      <w:r>
        <w:rPr>
          <w:b/>
          <w:i w:val="0"/>
          <w:strike w:val="0"/>
        </w:rPr>
        <w:t>Resolved October 19, 2026</w:t>
      </w:r>
      <w:r>
        <w:rPr>
          <w:b w:val="0"/>
          <w:i w:val="0"/>
          <w:strike w:val="0"/>
        </w:rPr>
        <w:t xml:space="preserve">, and implemented: hybrid members are </w:t>
      </w:r>
      <w:r>
        <w:rPr>
          <w:b/>
          <w:i w:val="0"/>
          <w:strike w:val="0"/>
        </w:rPr>
        <w:t>not</w:t>
      </w:r>
      <w:r>
        <w:rPr>
          <w:b w:val="0"/>
          <w:i w:val="0"/>
          <w:strike w:val="0"/>
        </w:rPr>
        <w:t xml:space="preserve"> covered — Plan 1 and Plan 2 only (B 1, J); career military retirees are </w:t>
      </w:r>
      <w:r>
        <w:rPr>
          <w:b/>
          <w:i w:val="0"/>
          <w:strike w:val="0"/>
        </w:rPr>
        <w:t>not</w:t>
      </w:r>
      <w:r>
        <w:rPr>
          <w:b w:val="0"/>
          <w:i w:val="0"/>
          <w:strike w:val="0"/>
        </w:rPr>
        <w:t xml:space="preserve"> excepted from the retired-pay bar the bill inherits (H 5), so realistic beneficiaries separated </w:t>
      </w:r>
      <w:r>
        <w:rPr>
          <w:b/>
          <w:i w:val="0"/>
          <w:strike w:val="0"/>
        </w:rPr>
        <w:t>without</w:t>
      </w:r>
      <w:r>
        <w:rPr>
          <w:b w:val="0"/>
          <w:i w:val="0"/>
          <w:strike w:val="0"/>
        </w:rPr>
        <w:t xml:space="preserve"> retirement-eligible service — </w:t>
      </w:r>
      <w:r>
        <w:rPr>
          <w:b/>
          <w:i w:val="0"/>
          <w:strike w:val="0"/>
        </w:rPr>
        <w:t>the key expectation to manage</w:t>
      </w:r>
      <w:r>
        <w:rPr>
          <w:b w:val="0"/>
          <w:i w:val="0"/>
          <w:strike w:val="0"/>
        </w:rPr>
        <w:t xml:space="preserve">. Federal law protects qualifying service tied to </w:t>
      </w:r>
      <w:r>
        <w:rPr>
          <w:b/>
          <w:i w:val="0"/>
          <w:strike w:val="0"/>
        </w:rPr>
        <w:t>non-regular Reserve-component retired pay</w:t>
      </w:r>
      <w:r>
        <w:rPr>
          <w:b w:val="0"/>
          <w:i w:val="0"/>
          <w:strike w:val="0"/>
        </w:rPr>
        <w:t xml:space="preserve"> under </w:t>
      </w:r>
      <w:r>
        <w:rPr>
          <w:b/>
          <w:i w:val="0"/>
          <w:strike w:val="0"/>
        </w:rPr>
        <w:t>10 U.S.C. ch. 1223</w:t>
      </w:r>
      <w:r>
        <w:rPr>
          <w:b w:val="0"/>
          <w:i w:val="0"/>
          <w:strike w:val="0"/>
        </w:rPr>
        <w:t xml:space="preserve">, and </w:t>
      </w:r>
      <w:r>
        <w:rPr>
          <w:b/>
          <w:i w:val="0"/>
          <w:strike w:val="0"/>
        </w:rPr>
        <w:t>§ 12736 does not preempt this bill</w:t>
      </w:r>
      <w:r>
        <w:rPr>
          <w:b w:val="0"/>
          <w:i w:val="0"/>
          <w:strike w:val="0"/>
        </w:rPr>
        <w:t xml:space="preserve">; assert no broader Reserve or Guard protection. Also settled: the </w:t>
      </w:r>
      <w:r>
        <w:rPr>
          <w:b/>
          <w:i w:val="0"/>
          <w:strike w:val="0"/>
        </w:rPr>
        <w:t>PLOP eligibility date is frozen</w:t>
      </w:r>
      <w:r>
        <w:rPr>
          <w:b w:val="0"/>
          <w:i w:val="0"/>
          <w:strike w:val="0"/>
        </w:rPr>
        <w:t xml:space="preserve">, and a </w:t>
      </w:r>
      <w:r>
        <w:rPr>
          <w:b/>
          <w:i w:val="0"/>
          <w:strike w:val="0"/>
        </w:rPr>
        <w:t>partial purchase capped at the shortfall</w:t>
      </w:r>
      <w:r>
        <w:rPr>
          <w:b w:val="0"/>
          <w:i w:val="0"/>
          <w:strike w:val="0"/>
        </w:rPr>
        <w:t xml:space="preserve"> is allowed (C 2).</w:t>
      </w:r>
    </w:p>
    <w:p>
      <w:r>
        <w:rPr>
          <w:b/>
          <w:i w:val="0"/>
          <w:strike w:val="0"/>
        </w:rPr>
        <w:t>The PLOP trade-off, disclosed as directed.</w:t>
      </w:r>
      <w:r>
        <w:rPr>
          <w:b w:val="0"/>
          <w:i w:val="0"/>
          <w:strike w:val="0"/>
        </w:rPr>
        <w:t xml:space="preserve"> PLOP eligibility turns on creditable service </w:t>
      </w:r>
      <w:r>
        <w:rPr>
          <w:b w:val="0"/>
          <w:i/>
          <w:strike w:val="0"/>
        </w:rPr>
        <w:t>after</w:t>
      </w:r>
      <w:r>
        <w:rPr>
          <w:b w:val="0"/>
          <w:i w:val="0"/>
          <w:strike w:val="0"/>
        </w:rPr>
        <w:t xml:space="preserve"> first unreduced eligibility, and the bill freezes that date as though the bridge did not exist. </w:t>
      </w:r>
      <w:r>
        <w:rPr>
          <w:b/>
          <w:i w:val="0"/>
          <w:strike w:val="0"/>
        </w:rPr>
        <w:t>A member who retires at the accelerated date will generally have no PLOP at all</w:t>
      </w:r>
      <w:r>
        <w:rPr>
          <w:b w:val="0"/>
          <w:i w:val="0"/>
          <w:strike w:val="0"/>
        </w:rPr>
        <w:t>; one who works through to normal retirement date keeps it in full. That is the deliberate price of leaving PLOP untouched, and VRS must disclose it before purchase.</w:t>
      </w:r>
    </w:p>
    <w:p>
      <w:r>
        <w:rPr>
          <w:b/>
          <w:i w:val="0"/>
          <w:strike w:val="0"/>
        </w:rPr>
        <w:t>The three blockers from internal adversarial review — resolved October 20, 2026.</w:t>
      </w:r>
    </w:p>
    <w:p>
      <w:r>
        <w:rPr>
          <w:b/>
          <w:i w:val="0"/>
          <w:strike w:val="0"/>
        </w:rPr>
        <w:t>1. Buy, resign, defer, collect unreduced at 50 — closed.</w:t>
      </w:r>
      <w:r>
        <w:rPr>
          <w:b w:val="0"/>
          <w:i w:val="0"/>
          <w:strike w:val="0"/>
        </w:rPr>
        <w:t xml:space="preserve"> § 51.1-153 C lets a member who terminates with five or more years retire under subsection B with no in-service requirement, and a deferred member's service is frozen. Buying four years at 44 with 26 years, then resigning, would have bought an unreduced allowance at 50 otherwise reachable only at </w:t>
      </w:r>
      <w:r>
        <w:rPr>
          <w:b/>
          <w:i w:val="0"/>
          <w:strike w:val="0"/>
        </w:rPr>
        <w:t>65</w:t>
      </w:r>
      <w:r>
        <w:rPr>
          <w:b w:val="0"/>
          <w:i w:val="0"/>
          <w:strike w:val="0"/>
        </w:rPr>
        <w:t xml:space="preserve"> — roughly </w:t>
      </w:r>
      <w:r>
        <w:rPr>
          <w:b/>
          <w:i w:val="0"/>
          <w:strike w:val="0"/>
        </w:rPr>
        <w:t>15 years</w:t>
      </w:r>
      <w:r>
        <w:rPr>
          <w:b w:val="0"/>
          <w:i w:val="0"/>
          <w:strike w:val="0"/>
        </w:rPr>
        <w:t xml:space="preserve"> of acceleration for $35,000. </w:t>
      </w:r>
      <w:r>
        <w:rPr>
          <w:b/>
          <w:i w:val="0"/>
          <w:strike w:val="0"/>
        </w:rPr>
        <w:t>Decision: the credit counts only if the member retires directly from service</w:t>
      </w:r>
      <w:r>
        <w:rPr>
          <w:b w:val="0"/>
          <w:i w:val="0"/>
          <w:strike w:val="0"/>
        </w:rPr>
        <w:t xml:space="preserve"> (new E 3, plus an amendment to § 51.1-153 C, which otherwise waives in-service requirements outright). A member who leaves early is refunded with interest.</w:t>
      </w:r>
    </w:p>
    <w:p>
      <w:r>
        <w:rPr>
          <w:b/>
          <w:i w:val="0"/>
          <w:strike w:val="0"/>
        </w:rPr>
        <w:t>2. The health insurance credit and COLA both start up to four years earlier — accepted, priced, disclosed.</w:t>
      </w:r>
      <w:r>
        <w:rPr>
          <w:b w:val="0"/>
          <w:i w:val="0"/>
          <w:strike w:val="0"/>
        </w:rPr>
        <w:t xml:space="preserve"> </w:t>
      </w:r>
      <w:r>
        <w:rPr>
          <w:b/>
          <w:i w:val="0"/>
          <w:strike w:val="0"/>
        </w:rPr>
        <w:t>HIC and COLA follow the retirement date, so preventing earlier commencement would require separate statutory changes outside the bridge.</w:t>
      </w:r>
      <w:r>
        <w:rPr>
          <w:b w:val="0"/>
          <w:i w:val="0"/>
          <w:strike w:val="0"/>
        </w:rPr>
        <w:t xml:space="preserve"> The bill bars bridge credit from establishing or increasing the health insurance credit, but neither verb reaches </w:t>
      </w:r>
      <w:r>
        <w:rPr>
          <w:b/>
          <w:i w:val="0"/>
          <w:strike w:val="0"/>
        </w:rPr>
        <w:t>duration</w:t>
      </w:r>
      <w:r>
        <w:rPr>
          <w:b w:val="0"/>
          <w:i w:val="0"/>
          <w:strike w:val="0"/>
        </w:rPr>
        <w:t xml:space="preserve"> (≈ </w:t>
      </w:r>
      <w:r>
        <w:rPr>
          <w:b/>
          <w:i w:val="0"/>
          <w:strike w:val="0"/>
        </w:rPr>
        <w:t>$5,300</w:t>
      </w:r>
      <w:r>
        <w:rPr>
          <w:b w:val="0"/>
          <w:i w:val="0"/>
          <w:strike w:val="0"/>
        </w:rPr>
        <w:t xml:space="preserve"> per state retiree with 26 years), and COLA runs from the earlier retirement and compounds for life. </w:t>
      </w:r>
      <w:r>
        <w:rPr>
          <w:b/>
          <w:i w:val="0"/>
          <w:strike w:val="0"/>
        </w:rPr>
        <w:t>An earlier version of this brief listed both as protected. That was wrong.</w:t>
      </w:r>
      <w:r>
        <w:rPr>
          <w:b w:val="0"/>
          <w:i w:val="0"/>
          <w:strike w:val="0"/>
        </w:rPr>
        <w:t xml:space="preserve"> The proposal </w:t>
      </w:r>
      <w:r>
        <w:rPr>
          <w:b/>
          <w:i w:val="0"/>
          <w:strike w:val="0"/>
        </w:rPr>
        <w:t>deliberately accepts and discloses</w:t>
      </w:r>
      <w:r>
        <w:rPr>
          <w:b w:val="0"/>
          <w:i w:val="0"/>
          <w:strike w:val="0"/>
        </w:rPr>
        <w:t xml:space="preserve"> this rather than adding delay provisions, which would treat veterans worse than other early retirees. </w:t>
      </w:r>
      <w:r>
        <w:rPr>
          <w:b/>
          <w:i w:val="0"/>
          <w:strike w:val="0"/>
        </w:rPr>
        <w:t>Raise it in committee first</w:t>
      </w:r>
      <w:r>
        <w:rPr>
          <w:b w:val="0"/>
          <w:i w:val="0"/>
          <w:strike w:val="0"/>
        </w:rPr>
        <w:t xml:space="preserve"> — COLA is the one figure our model does not quantify.</w:t>
      </w:r>
    </w:p>
    <w:p>
      <w:r>
        <w:rPr>
          <w:b/>
          <w:i w:val="0"/>
          <w:strike w:val="0"/>
        </w:rPr>
        <w:t>3. Local firefighters, police and EMS in "resolution" localities — narrowed.</w:t>
      </w:r>
      <w:r>
        <w:rPr>
          <w:b w:val="0"/>
          <w:i w:val="0"/>
          <w:strike w:val="0"/>
        </w:rPr>
        <w:t xml:space="preserve"> Where a locality adopted an irrevocable resolution under § 51.1-153 B 4, § 51.1-169 A makes its public-safety employees </w:t>
      </w:r>
      <w:r>
        <w:rPr>
          <w:b/>
          <w:i w:val="0"/>
          <w:strike w:val="0"/>
        </w:rPr>
        <w:t>hybrid-ineligible</w:t>
      </w:r>
      <w:r>
        <w:rPr>
          <w:b w:val="0"/>
          <w:i w:val="0"/>
          <w:strike w:val="0"/>
        </w:rPr>
        <w:t xml:space="preserve">, so no exclusion caught them — including 2026 hires. </w:t>
      </w:r>
      <w:r>
        <w:rPr>
          <w:b/>
          <w:i w:val="0"/>
          <w:strike w:val="0"/>
        </w:rPr>
        <w:t>Both briefs previously said hazardous-duty members were excluded; that was incorrect.</w:t>
      </w:r>
      <w:r>
        <w:rPr>
          <w:b w:val="0"/>
          <w:i w:val="0"/>
          <w:strike w:val="0"/>
        </w:rPr>
        <w:t xml:space="preserve"> </w:t>
      </w:r>
      <w:r>
        <w:rPr>
          <w:b/>
          <w:i w:val="0"/>
          <w:strike w:val="0"/>
        </w:rPr>
        <w:t>Decision: exclude qualifying B 4 employees entering the VRS-administered system on or after the January 1, 2014 Hybrid transition</w:t>
      </w:r>
      <w:r>
        <w:rPr>
          <w:b w:val="0"/>
          <w:i w:val="0"/>
          <w:strike w:val="0"/>
        </w:rPr>
        <w:t xml:space="preserve"> (new B 1(iv), tracking the § 51.1-169 A membership test, so a member already in a VRS-administered plan before that date stays eligible even if rehired later). That removes the </w:t>
      </w:r>
      <w:r>
        <w:rPr>
          <w:b w:val="0"/>
          <w:i/>
          <w:strike w:val="0"/>
        </w:rPr>
        <w:t>permanent and growing</w:t>
      </w:r>
      <w:r>
        <w:rPr>
          <w:b w:val="0"/>
          <w:i w:val="0"/>
          <w:strike w:val="0"/>
        </w:rPr>
        <w:t xml:space="preserve"> population while keeping the bridge for pre-2014 public-safety veterans.</w:t>
      </w:r>
    </w:p>
    <w:p>
      <w:r>
        <w:rPr>
          <w:b/>
          <w:i w:val="0"/>
          <w:strike w:val="0"/>
        </w:rPr>
        <w:t>What it costs.</w:t>
      </w:r>
      <w:r>
        <w:rPr>
          <w:b w:val="0"/>
          <w:i w:val="0"/>
          <w:strike w:val="0"/>
        </w:rPr>
        <w:t xml:space="preserve"> Approximate normal cost prices a year of </w:t>
      </w:r>
      <w:r>
        <w:rPr>
          <w:b w:val="0"/>
          <w:i/>
          <w:strike w:val="0"/>
        </w:rPr>
        <w:t>accrual</w:t>
      </w:r>
      <w:r>
        <w:rPr>
          <w:b w:val="0"/>
          <w:i w:val="0"/>
          <w:strike w:val="0"/>
        </w:rPr>
        <w:t>; the bridge sells removal of the actuarial reduction. The cost model (MOO-259) produces two findings that must travel together.</w:t>
      </w:r>
    </w:p>
    <w:p>
      <w:r>
        <w:rPr>
          <w:b/>
          <w:i w:val="0"/>
          <w:strike w:val="0"/>
        </w:rPr>
        <w:t>Per member the price does not cover the value</w:t>
      </w:r>
      <w:r>
        <w:rPr>
          <w:b w:val="0"/>
          <w:i w:val="0"/>
          <w:strike w:val="0"/>
        </w:rPr>
        <w:t xml:space="preserve"> — it recovers </w:t>
      </w:r>
      <w:r>
        <w:rPr>
          <w:b/>
          <w:i w:val="0"/>
          <w:strike w:val="0"/>
        </w:rPr>
        <w:t>11%–78%</w:t>
      </w:r>
      <w:r>
        <w:rPr>
          <w:b w:val="0"/>
          <w:i w:val="0"/>
          <w:strike w:val="0"/>
        </w:rPr>
        <w:t xml:space="preserve">. In the maximum-acceleration Plan 1 profile the member pays </w:t>
      </w:r>
      <w:r>
        <w:rPr>
          <w:b/>
          <w:i w:val="0"/>
          <w:strike w:val="0"/>
        </w:rPr>
        <w:t>$42,500</w:t>
      </w:r>
      <w:r>
        <w:rPr>
          <w:b w:val="0"/>
          <w:i w:val="0"/>
          <w:strike w:val="0"/>
        </w:rPr>
        <w:t xml:space="preserve"> for </w:t>
      </w:r>
      <w:r>
        <w:rPr>
          <w:b/>
          <w:i w:val="0"/>
          <w:strike w:val="0"/>
        </w:rPr>
        <w:t>$383,565</w:t>
      </w:r>
      <w:r>
        <w:rPr>
          <w:b w:val="0"/>
          <w:i w:val="0"/>
          <w:strike w:val="0"/>
        </w:rPr>
        <w:t xml:space="preserve">: </w:t>
      </w:r>
      <w:r>
        <w:rPr>
          <w:b/>
          <w:i w:val="0"/>
          <w:strike w:val="0"/>
        </w:rPr>
        <w:t>$341,065</w:t>
      </w:r>
      <w:r>
        <w:rPr>
          <w:b w:val="0"/>
          <w:i w:val="0"/>
          <w:strike w:val="0"/>
        </w:rPr>
        <w:t xml:space="preserve"> is the </w:t>
      </w:r>
      <w:r>
        <w:rPr>
          <w:b/>
          <w:i w:val="0"/>
          <w:strike w:val="0"/>
        </w:rPr>
        <w:t>modeled net value above the member purchase price in the single most favorable published profile</w:t>
      </w:r>
      <w:r>
        <w:rPr>
          <w:b w:val="0"/>
          <w:i w:val="0"/>
          <w:strike w:val="0"/>
        </w:rPr>
        <w:t xml:space="preserve"> — the single most favorable modeled profile, </w:t>
      </w:r>
      <w:r>
        <w:rPr>
          <w:b/>
          <w:i w:val="0"/>
          <w:strike w:val="0"/>
        </w:rPr>
        <w:t>not</w:t>
      </w:r>
      <w:r>
        <w:rPr>
          <w:b w:val="0"/>
          <w:i w:val="0"/>
          <w:strike w:val="0"/>
        </w:rPr>
        <w:t xml:space="preserve"> a cost per veteran. A member who would otherwise have worked on to unreduced eligibility </w:t>
      </w:r>
      <w:r>
        <w:rPr>
          <w:b/>
          <w:i w:val="0"/>
          <w:strike w:val="0"/>
        </w:rPr>
        <w:t>overpays</w:t>
      </w:r>
      <w:r>
        <w:rPr>
          <w:b w:val="0"/>
          <w:i w:val="0"/>
          <w:strike w:val="0"/>
        </w:rPr>
        <w:t xml:space="preserve"> in every modeled work-to-eligibility scenario. An actuarially equivalent price would be ≈ </w:t>
      </w:r>
      <w:r>
        <w:rPr>
          <w:b/>
          <w:i w:val="0"/>
          <w:strike w:val="0"/>
        </w:rPr>
        <w:t>112.8%</w:t>
      </w:r>
      <w:r>
        <w:rPr>
          <w:b w:val="0"/>
          <w:i w:val="0"/>
          <w:strike w:val="0"/>
        </w:rPr>
        <w:t xml:space="preserve"> of salary per year, against the 12.50% ordinary non-hazardous Plan 1 rate.</w:t>
      </w:r>
    </w:p>
    <w:p>
      <w:r>
        <w:rPr>
          <w:b/>
          <w:i w:val="0"/>
          <w:strike w:val="0"/>
        </w:rPr>
        <w:t>In aggregate it is very small</w:t>
      </w:r>
      <w:r>
        <w:rPr>
          <w:b w:val="0"/>
          <w:i w:val="0"/>
          <w:strike w:val="0"/>
        </w:rPr>
        <w:t xml:space="preserve"> — </w:t>
      </w:r>
      <w:r>
        <w:rPr>
          <w:b/>
          <w:i w:val="0"/>
          <w:strike w:val="0"/>
        </w:rPr>
        <w:t>0.22 bp</w:t>
      </w:r>
      <w:r>
        <w:rPr>
          <w:b w:val="0"/>
          <w:i w:val="0"/>
          <w:strike w:val="0"/>
        </w:rPr>
        <w:t xml:space="preserve"> state, </w:t>
      </w:r>
      <w:r>
        <w:rPr>
          <w:b/>
          <w:i w:val="0"/>
          <w:strike w:val="0"/>
        </w:rPr>
        <w:t>0.20 bp</w:t>
      </w:r>
      <w:r>
        <w:rPr>
          <w:b w:val="0"/>
          <w:i w:val="0"/>
          <w:strike w:val="0"/>
        </w:rPr>
        <w:t xml:space="preserve"> teacher, </w:t>
      </w:r>
      <w:r>
        <w:rPr>
          <w:b/>
          <w:i w:val="0"/>
          <w:strike w:val="0"/>
        </w:rPr>
        <w:t>0.14 bp</w:t>
      </w:r>
      <w:r>
        <w:rPr>
          <w:b w:val="0"/>
          <w:i w:val="0"/>
          <w:strike w:val="0"/>
        </w:rPr>
        <w:t xml:space="preserve"> political subdivisions, </w:t>
      </w:r>
      <w:r>
        <w:rPr>
          <w:b/>
          <w:i w:val="0"/>
          <w:strike w:val="0"/>
        </w:rPr>
        <w:t>0.19 bp combined</w:t>
      </w:r>
      <w:r>
        <w:rPr>
          <w:b w:val="0"/>
          <w:i w:val="0"/>
          <w:strike w:val="0"/>
        </w:rPr>
        <w:t xml:space="preserve"> over FY2029–FY2038, from about </w:t>
      </w:r>
      <w:r>
        <w:rPr>
          <w:b/>
          <w:i w:val="0"/>
          <w:strike w:val="0"/>
        </w:rPr>
        <w:t>222 purchasers</w:t>
      </w:r>
      <w:r>
        <w:rPr>
          <w:b w:val="0"/>
          <w:i w:val="0"/>
          <w:strike w:val="0"/>
        </w:rPr>
        <w:t xml:space="preserve"> against </w:t>
      </w:r>
      <w:r>
        <w:rPr>
          <w:b/>
          <w:i w:val="0"/>
          <w:strike w:val="0"/>
        </w:rPr>
        <w:t>$26.05 billion</w:t>
      </w:r>
      <w:r>
        <w:rPr>
          <w:b w:val="0"/>
          <w:i w:val="0"/>
          <w:strike w:val="0"/>
        </w:rPr>
        <w:t xml:space="preserve"> of covered payroll at a mean deficit of </w:t>
      </w:r>
      <w:r>
        <w:rPr>
          <w:b/>
          <w:i w:val="0"/>
          <w:strike w:val="0"/>
        </w:rPr>
        <w:t>2.2 years</w:t>
      </w:r>
      <w:r>
        <w:rPr>
          <w:b w:val="0"/>
          <w:i w:val="0"/>
          <w:strike w:val="0"/>
        </w:rPr>
        <w:t xml:space="preserve">, not four. </w:t>
      </w:r>
      <w:r>
        <w:rPr>
          <w:b/>
          <w:i w:val="0"/>
          <w:strike w:val="0"/>
        </w:rPr>
        <w:t>To the nearest basis point, no plan's rate changes.</w:t>
      </w:r>
      <w:r>
        <w:rPr>
          <w:b w:val="0"/>
          <w:i w:val="0"/>
          <w:strike w:val="0"/>
        </w:rPr>
        <w:t xml:space="preserve"> That figure is the </w:t>
      </w:r>
      <w:r>
        <w:rPr>
          <w:b/>
          <w:i w:val="0"/>
          <w:strike w:val="0"/>
        </w:rPr>
        <w:t>modeled retirement-plan employer contribution impact and excludes the separately funded health insurance credit and COLA effects, including unquantified COLA exposure.</w:t>
      </w:r>
    </w:p>
    <w:p>
      <w:r>
        <w:rPr>
          <w:b/>
          <w:i w:val="0"/>
          <w:strike w:val="0"/>
        </w:rPr>
        <w:t>Say both or neither.</w:t>
      </w:r>
      <w:r>
        <w:rPr>
          <w:b w:val="0"/>
          <w:i w:val="0"/>
          <w:strike w:val="0"/>
        </w:rPr>
        <w:t xml:space="preserve"> "No cost" will be contradicted by the Board's § 30-19.1:7 statement; a per-member subsidy figure without the denominator kills the bill. The frame is </w:t>
      </w:r>
      <w:r>
        <w:rPr>
          <w:b/>
          <w:i w:val="0"/>
          <w:strike w:val="0"/>
        </w:rPr>
        <w:t>a deliberate, quantified subsidy for a small and closing population, costing employers less than one basis point</w:t>
      </w:r>
      <w:r>
        <w:rPr>
          <w:b w:val="0"/>
          <w:i w:val="0"/>
          <w:strike w:val="0"/>
        </w:rPr>
        <w:t xml:space="preserve"> — but say </w:t>
      </w:r>
      <w:r>
        <w:rPr>
          <w:b/>
          <w:i w:val="0"/>
          <w:strike w:val="0"/>
        </w:rPr>
        <w:t>substantially closing</w:t>
      </w:r>
      <w:r>
        <w:rPr>
          <w:b w:val="0"/>
          <w:i w:val="0"/>
          <w:strike w:val="0"/>
        </w:rPr>
        <w:t xml:space="preserve">, not "closed and shrinking," because § 51.1-169 A leaves an optional-retirement-plan route into the defined benefit plan open in </w:t>
      </w:r>
      <w:r>
        <w:rPr>
          <w:b/>
          <w:i w:val="0"/>
          <w:strike w:val="0"/>
        </w:rPr>
        <w:t>every hire year</w:t>
      </w:r>
      <w:r>
        <w:rPr>
          <w:b w:val="0"/>
          <w:i w:val="0"/>
          <w:strike w:val="0"/>
        </w:rPr>
        <w:t xml:space="preserve">; clause B 1(v) closes it by drafting, pending VRS confirmation of practice. </w:t>
      </w:r>
      <w:r>
        <w:rPr>
          <w:b/>
          <w:i w:val="0"/>
          <w:strike w:val="0"/>
        </w:rPr>
        <w:t>No sensitivity inside the model's documented behavioural range — φ 0.25 to 0.75 — makes this a saving, so cost neutrality is unavailable.</w:t>
      </w:r>
      <w:r>
        <w:rPr>
          <w:b w:val="0"/>
          <w:i w:val="0"/>
          <w:strike w:val="0"/>
        </w:rPr>
        <w:t xml:space="preserve"> Say it no more absolutely: above φ ≈ 0.84 the modeled impact turns negative, outside the model's high bound but </w:t>
      </w:r>
      <w:r>
        <w:rPr>
          <w:b/>
          <w:i w:val="0"/>
          <w:strike w:val="0"/>
        </w:rPr>
        <w:t>inside our own tool's slider</w:t>
      </w:r>
      <w:r>
        <w:rPr>
          <w:b w:val="0"/>
          <w:i w:val="0"/>
          <w:strike w:val="0"/>
        </w:rPr>
        <w:t xml:space="preserve">. Expect the </w:t>
      </w:r>
      <w:r>
        <w:rPr>
          <w:b/>
          <w:i w:val="0"/>
          <w:strike w:val="0"/>
        </w:rPr>
        <w:t>§ 2.2-3204</w:t>
      </w:r>
      <w:r>
        <w:rPr>
          <w:b w:val="0"/>
          <w:i w:val="0"/>
          <w:strike w:val="0"/>
        </w:rPr>
        <w:t xml:space="preserve"> comparison: the Commonwealth already buys eligibility, at 15% of compensation.</w:t>
      </w:r>
    </w:p>
    <w:p>
      <w:r>
        <w:rPr>
          <w:b/>
          <w:i w:val="0"/>
          <w:strike w:val="0"/>
        </w:rPr>
        <w:t>What a member gives up by retiring earlier</w:t>
      </w:r>
      <w:r>
        <w:rPr>
          <w:b w:val="0"/>
          <w:i w:val="0"/>
          <w:strike w:val="0"/>
        </w:rPr>
        <w:t xml:space="preserve"> — ordinary consequences of the earlier date, not drafting errors, which members must hear before they buy: generally </w:t>
      </w:r>
      <w:r>
        <w:rPr>
          <w:b/>
          <w:i w:val="0"/>
          <w:strike w:val="0"/>
        </w:rPr>
        <w:t>no PLOP</w:t>
      </w:r>
      <w:r>
        <w:rPr>
          <w:b w:val="0"/>
          <w:i w:val="0"/>
          <w:strike w:val="0"/>
        </w:rPr>
        <w:t xml:space="preserve">; death-in-service coverage ends, so survivors fall under § 51.1-163 rather than § 51.1-162 B; retiring with 26–29 actual years </w:t>
      </w:r>
      <w:r>
        <w:rPr>
          <w:b/>
          <w:i w:val="0"/>
          <w:strike w:val="0"/>
        </w:rPr>
        <w:t>loses the $8,000 group life floor</w:t>
      </w:r>
      <w:r>
        <w:rPr>
          <w:b w:val="0"/>
          <w:i w:val="0"/>
          <w:strike w:val="0"/>
        </w:rPr>
        <w:t>, which needs 30, and starts the 25%-a-year reduction earlier (§ 51.1-505 B); and fewer accrual years on a lower AFC.</w:t>
      </w:r>
    </w:p>
    <w:p>
      <w:r>
        <w:rPr>
          <w:b/>
          <w:i w:val="0"/>
          <w:strike w:val="0"/>
        </w:rPr>
        <w:t>5. Status.</w:t>
      </w:r>
      <w:r>
        <w:rPr>
          <w:b w:val="0"/>
          <w:i w:val="0"/>
          <w:strike w:val="0"/>
        </w:rPr>
        <w:t xml:space="preserve"> </w:t>
      </w:r>
      <w:r>
        <w:rPr>
          <w:b/>
          <w:i w:val="0"/>
          <w:strike w:val="0"/>
        </w:rPr>
        <w:t>All principal policy questions are settled</w:t>
      </w:r>
      <w:r>
        <w:rPr>
          <w:b w:val="0"/>
          <w:i w:val="0"/>
          <w:strike w:val="0"/>
        </w:rPr>
        <w:t xml:space="preserve"> and drafted. </w:t>
      </w:r>
      <w:r>
        <w:rPr>
          <w:b/>
          <w:i w:val="0"/>
          <w:strike w:val="0"/>
        </w:rPr>
        <w:t>Independent review of the bill text, the fiscal tool and the political case has now been done by reviewers who did not draft them</w:t>
      </w:r>
      <w:r>
        <w:rPr>
          <w:b w:val="0"/>
          <w:i w:val="0"/>
          <w:strike w:val="0"/>
        </w:rPr>
        <w:t xml:space="preserve"> — 79 findings, 9 blockers. Version 1.3 fixes the three bill blockers, all in the version 1.2 additions: the in-service test was keyed to a calendar day ordinary VRS practice does not meet; the refund clause would have returned every purchaser's money on the day she retired; and the anti-deferral condition fell to one day of rehire. Legal analysis, appendix and precedent scan </w:t>
      </w:r>
      <w:r>
        <w:rPr>
          <w:b/>
          <w:i w:val="0"/>
          <w:strike w:val="0"/>
        </w:rPr>
        <w:t>complete</w:t>
      </w:r>
      <w:r>
        <w:rPr>
          <w:b w:val="0"/>
          <w:i w:val="0"/>
          <w:strike w:val="0"/>
        </w:rPr>
        <w:t xml:space="preserve">; cost model </w:t>
      </w:r>
      <w:r>
        <w:rPr>
          <w:b/>
          <w:i w:val="0"/>
          <w:strike w:val="0"/>
        </w:rPr>
        <w:t>complete for version 1.1</w:t>
      </w:r>
      <w:r>
        <w:rPr>
          <w:b w:val="0"/>
          <w:i w:val="0"/>
          <w:strike w:val="0"/>
        </w:rPr>
        <w:t xml:space="preserve">; </w:t>
      </w:r>
      <w:r>
        <w:rPr>
          <w:b/>
          <w:i w:val="0"/>
          <w:strike w:val="0"/>
        </w:rPr>
        <w:t>explorer remediation in progress</w:t>
      </w:r>
      <w:r>
        <w:rPr>
          <w:b w:val="0"/>
          <w:i w:val="0"/>
          <w:strike w:val="0"/>
        </w:rPr>
        <w:t>.</w:t>
      </w:r>
    </w:p>
    <w:p>
      <w:r>
        <w:rPr>
          <w:b/>
          <w:i w:val="0"/>
          <w:strike w:val="0"/>
        </w:rPr>
        <w:t>Still open.</w:t>
      </w:r>
      <w:r>
        <w:rPr>
          <w:b w:val="0"/>
          <w:i w:val="0"/>
          <w:strike w:val="0"/>
        </w:rPr>
        <w:t xml:space="preserve"> </w:t>
      </w:r>
      <w:r>
        <w:rPr>
          <w:b/>
          <w:i w:val="0"/>
          <w:strike w:val="0"/>
        </w:rPr>
        <w:t>One policy question</w:t>
      </w:r>
      <w:r>
        <w:rPr>
          <w:b w:val="0"/>
          <w:i w:val="0"/>
          <w:strike w:val="0"/>
        </w:rPr>
        <w:t xml:space="preserve"> — whether a member on approved leave without pay counts as remaining in service; the bill says yes, and reversing it is one clause. The long-term-disability half is withdrawn, as §§ 51.1-1110 H and 51.1-1117 C appear to answer it. </w:t>
      </w:r>
      <w:r>
        <w:rPr>
          <w:b/>
          <w:i w:val="0"/>
          <w:strike w:val="0"/>
        </w:rPr>
        <w:t>Two DLS drafting questions</w:t>
      </w:r>
      <w:r>
        <w:rPr>
          <w:b w:val="0"/>
          <w:i w:val="0"/>
          <w:strike w:val="0"/>
        </w:rPr>
        <w:t xml:space="preserve">, plus putting the draft in introducible form (Va. Const. art. IV, § 12). </w:t>
      </w:r>
      <w:r>
        <w:rPr>
          <w:b/>
          <w:i w:val="0"/>
          <w:strike w:val="0"/>
        </w:rPr>
        <w:t>Not the Council's to decide:</w:t>
      </w:r>
      <w:r>
        <w:rPr>
          <w:b w:val="0"/>
          <w:i w:val="0"/>
          <w:strike w:val="0"/>
        </w:rPr>
        <w:t xml:space="preserve"> the </w:t>
      </w:r>
      <w:r>
        <w:rPr>
          <w:b/>
          <w:i w:val="0"/>
          <w:strike w:val="0"/>
        </w:rPr>
        <w:t>§ 30-19.1:7 Board statement</w:t>
      </w:r>
      <w:r>
        <w:rPr>
          <w:b w:val="0"/>
          <w:i w:val="0"/>
          <w:strike w:val="0"/>
        </w:rPr>
        <w:t xml:space="preserve">, not requested, and IRC §§ 415(n) and 415(c), where the live exposure is loss of 403(b)/457(b) funding. </w:t>
      </w:r>
      <w:r>
        <w:rPr>
          <w:b/>
          <w:i w:val="0"/>
          <w:strike w:val="0"/>
        </w:rPr>
        <w:t>§ 12736 is closed.</w:t>
      </w:r>
    </w:p>
    <w:p>
      <w:r>
        <w:rPr>
          <w:b/>
          <w:i w:val="0"/>
          <w:strike w:val="0"/>
        </w:rPr>
        <w:t>Sequence, and the target has moved to 2028.</w:t>
      </w:r>
      <w:r>
        <w:rPr>
          <w:b w:val="0"/>
          <w:i w:val="0"/>
          <w:strike w:val="0"/>
        </w:rPr>
        <w:t xml:space="preserve"> Re-run the cost model → tax questions to counsel → </w:t>
      </w:r>
      <w:r>
        <w:rPr>
          <w:b/>
          <w:i w:val="0"/>
          <w:strike w:val="0"/>
        </w:rPr>
        <w:t>JLC Legislative Committee, April 2027</w:t>
      </w:r>
      <w:r>
        <w:rPr>
          <w:b w:val="0"/>
          <w:i w:val="0"/>
          <w:strike w:val="0"/>
        </w:rPr>
        <w:t xml:space="preserve"> → </w:t>
      </w:r>
      <w:r>
        <w:rPr>
          <w:b/>
          <w:i w:val="0"/>
          <w:strike w:val="0"/>
        </w:rPr>
        <w:t>full Council vote, June 2027</w:t>
      </w:r>
      <w:r>
        <w:rPr>
          <w:b w:val="0"/>
          <w:i w:val="0"/>
          <w:strike w:val="0"/>
        </w:rPr>
        <w:t xml:space="preserve"> → patron → DLS → VRS pre-filing briefing. The Council's 2027 gates fell in April and June 2026, so </w:t>
      </w:r>
      <w:r>
        <w:rPr>
          <w:b/>
          <w:i w:val="0"/>
          <w:strike w:val="0"/>
        </w:rPr>
        <w:t>the 2027 package is closed</w:t>
      </w:r>
      <w:r>
        <w:rPr>
          <w:b w:val="0"/>
          <w:i w:val="0"/>
          <w:strike w:val="0"/>
        </w:rPr>
        <w:t xml:space="preserve">; a patron may introduce in 2027 independently, but not as a Council item. In April 2025 the Committee took </w:t>
      </w:r>
      <w:r>
        <w:rPr>
          <w:b/>
          <w:i w:val="0"/>
          <w:strike w:val="0"/>
        </w:rPr>
        <w:t>seventeen</w:t>
      </w:r>
      <w:r>
        <w:rPr>
          <w:b w:val="0"/>
          <w:i w:val="0"/>
          <w:strike w:val="0"/>
        </w:rPr>
        <w:t xml:space="preserve"> initiatives and advanced </w:t>
      </w:r>
      <w:r>
        <w:rPr>
          <w:b/>
          <w:i w:val="0"/>
          <w:strike w:val="0"/>
        </w:rPr>
        <w:t>nine</w:t>
      </w:r>
      <w:r>
        <w:rPr>
          <w:b w:val="0"/>
          <w:i w:val="0"/>
          <w:strike w:val="0"/>
        </w:rPr>
        <w:t xml:space="preserve">. </w:t>
      </w:r>
      <w:r>
        <w:rPr>
          <w:b/>
          <w:i w:val="0"/>
          <w:strike w:val="0"/>
        </w:rPr>
        <w:t>The chokepoint is House Appropriations' Compensation and Retirement Subcommittee</w:t>
      </w:r>
      <w:r>
        <w:rPr>
          <w:b w:val="0"/>
          <w:i w:val="0"/>
          <w:strike w:val="0"/>
        </w:rPr>
        <w:t xml:space="preserve">, where the closest analogue died </w:t>
      </w:r>
      <w:r>
        <w:rPr>
          <w:b/>
          <w:i w:val="0"/>
          <w:strike w:val="0"/>
        </w:rPr>
        <w:t>8-Y 0-N</w:t>
      </w:r>
      <w:r>
        <w:rPr>
          <w:b w:val="0"/>
          <w:i w:val="0"/>
          <w:strike w:val="0"/>
        </w:rPr>
        <w:t xml:space="preserve"> — find a patron with standing there first.</w:t>
      </w:r>
    </w:p>
    <w:p>
      <w:r>
        <w:rPr>
          <w:b w:val="0"/>
          <w:i/>
          <w:strike w:val="0"/>
        </w:rPr>
        <w:t>Statutory text verified against the official Code of Virginia on October 19–20, 2026, including the 2026 amendments to § 51.1-142.2 and §§ 51.1-153 C, 51.1-169 A. No Code section was inferred. "Plan 1," "Plan 2" and "vesting" are administrative labels absent from Title 51.1.</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30" w:lineRule="exact" w:before="0" w:after="6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line="340" w:lineRule="exact"/>
      <w:outlineLvl w:val="0"/>
    </w:pPr>
    <w:rPr>
      <w:rFonts w:asciiTheme="majorHAnsi" w:eastAsiaTheme="majorEastAsia" w:hAnsiTheme="majorHAnsi" w:cstheme="majorBidi" w:ascii="Calibri" w:hAnsi="Calibri"/>
      <w:b/>
      <w:bCs/>
      <w:color w:val="1F1F1F"/>
      <w:sz w:val="30"/>
      <w:szCs w:val="28"/>
    </w:rPr>
  </w:style>
  <w:style w:type="paragraph" w:styleId="Heading2">
    <w:name w:val="heading 2"/>
    <w:basedOn w:val="Normal"/>
    <w:next w:val="Normal"/>
    <w:link w:val="Heading2Char"/>
    <w:uiPriority w:val="9"/>
    <w:unhideWhenUsed/>
    <w:qFormat/>
    <w:rsid w:val="00FC693F"/>
    <w:pPr>
      <w:keepNext/>
      <w:keepLines/>
      <w:spacing w:before="140" w:after="60" w:line="270" w:lineRule="exact"/>
      <w:outlineLvl w:val="1"/>
    </w:pPr>
    <w:rPr>
      <w:rFonts w:asciiTheme="majorHAnsi" w:eastAsiaTheme="majorEastAsia" w:hAnsiTheme="majorHAnsi" w:cstheme="majorBidi" w:ascii="Calibri" w:hAnsi="Calibri"/>
      <w:b/>
      <w:bCs/>
      <w:color w:val="1F1F1F"/>
      <w:sz w:val="23"/>
      <w:szCs w:val="26"/>
    </w:rPr>
  </w:style>
  <w:style w:type="paragraph" w:styleId="Heading3">
    <w:name w:val="heading 3"/>
    <w:basedOn w:val="Normal"/>
    <w:next w:val="Normal"/>
    <w:link w:val="Heading3Char"/>
    <w:uiPriority w:val="9"/>
    <w:unhideWhenUsed/>
    <w:qFormat/>
    <w:rsid w:val="00FC693F"/>
    <w:pPr>
      <w:keepNext/>
      <w:keepLines/>
      <w:spacing w:before="120" w:after="40" w:line="240" w:lineRule="exact"/>
      <w:outlineLvl w:val="2"/>
    </w:pPr>
    <w:rPr>
      <w:rFonts w:asciiTheme="majorHAnsi" w:eastAsiaTheme="majorEastAsia" w:hAnsiTheme="majorHAnsi" w:cstheme="majorBidi" w:ascii="Calibri" w:hAnsi="Calibri"/>
      <w:b/>
      <w:bCs/>
      <w:color w:val="1F1F1F"/>
      <w:sz w:val="20"/>
    </w:rPr>
  </w:style>
  <w:style w:type="paragraph" w:styleId="Heading4">
    <w:name w:val="heading 4"/>
    <w:basedOn w:val="Normal"/>
    <w:next w:val="Normal"/>
    <w:link w:val="Heading4Char"/>
    <w:uiPriority w:val="9"/>
    <w:semiHidden/>
    <w:unhideWhenUsed/>
    <w:qFormat/>
    <w:rsid w:val="00FC693F"/>
    <w:pPr>
      <w:keepNext/>
      <w:keepLines/>
      <w:spacing w:before="100" w:after="40" w:line="230" w:lineRule="exact"/>
      <w:outlineLvl w:val="3"/>
    </w:pPr>
    <w:rPr>
      <w:rFonts w:asciiTheme="majorHAnsi" w:eastAsiaTheme="majorEastAsia" w:hAnsiTheme="majorHAnsi" w:cstheme="majorBidi" w:ascii="Calibri" w:hAnsi="Calibri"/>
      <w:b/>
      <w:bCs/>
      <w:i/>
      <w:iCs/>
      <w:color w:val="1F1F1F"/>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30" w:lineRule="exact" w:after="40"/>
      <w:contextualSpacing/>
    </w:pPr>
    <w:rPr>
      <w:sz w:val="19"/>
    </w:rPr>
  </w:style>
  <w:style w:type="paragraph" w:styleId="ListBullet2">
    <w:name w:val="List Bullet 2"/>
    <w:basedOn w:val="Normal"/>
    <w:uiPriority w:val="99"/>
    <w:unhideWhenUsed/>
    <w:rsid w:val="00326F90"/>
    <w:pPr>
      <w:numPr>
        <w:numId w:val="2"/>
      </w:numPr>
      <w:spacing w:line="230" w:lineRule="exact" w:after="40"/>
      <w:contextualSpacing/>
    </w:pPr>
    <w:rPr>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30" w:lineRule="exact" w:after="40"/>
      <w:contextualSpacing/>
    </w:pPr>
    <w:rPr>
      <w:sz w:val="19"/>
    </w:rPr>
  </w:style>
  <w:style w:type="paragraph" w:styleId="ListNumber2">
    <w:name w:val="List Number 2"/>
    <w:basedOn w:val="Normal"/>
    <w:uiPriority w:val="99"/>
    <w:unhideWhenUsed/>
    <w:rsid w:val="0029639D"/>
    <w:pPr>
      <w:numPr>
        <w:numId w:val="6"/>
      </w:numPr>
      <w:spacing w:line="230" w:lineRule="exact" w:after="40"/>
      <w:contextualSpacing/>
    </w:pPr>
    <w:rPr>
      <w:sz w:val="19"/>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Policy Development Team</dc:creator>
  <cp:keywords/>
  <dc:description>generated by python-docx</dc:description>
  <cp:lastModifiedBy>Policy Development Team</cp:lastModifiedBy>
  <cp:revision>1</cp:revision>
  <dcterms:created xsi:type="dcterms:W3CDTF">2013-12-23T23:15:00Z</dcterms:created>
  <dcterms:modified xsi:type="dcterms:W3CDTF">2013-12-23T23:15:00Z</dcterms:modified>
  <cp:category/>
</cp:coreProperties>
</file>