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Not yet ready for a patron or for DLS.</w:t>
      </w:r>
      <w:r>
        <w:rPr>
          <w:b w:val="0"/>
          <w:i w:val="0"/>
          <w:strike w:val="0"/>
        </w:rPr>
        <w:t xml:space="preserve"> Three blocking items identified in independent review (MOO-260) remain unresolved and require JLCVSO policy decisions — see "Remaining blockers" in the drafting notes. </w:t>
      </w:r>
      <w:r>
        <w:rPr>
          <w:b/>
          <w:i w:val="0"/>
          <w:strike w:val="0"/>
        </w:rPr>
        <w:t>Prepared for:</w:t>
      </w:r>
      <w:r>
        <w:rPr>
          <w:b w:val="0"/>
          <w:i w:val="0"/>
          <w:strike w:val="0"/>
        </w:rPr>
        <w:t xml:space="preserve"> Joint Leadership Council of Veterans Service Organizations (JLCVSO) </w:t>
      </w:r>
      <w:r>
        <w:rPr>
          <w:b/>
          <w:i w:val="0"/>
          <w:strike w:val="0"/>
        </w:rPr>
        <w:t>Prepared by:</w:t>
      </w:r>
      <w:r>
        <w:rPr>
          <w:b w:val="0"/>
          <w:i w:val="0"/>
          <w:strike w:val="0"/>
        </w:rPr>
        <w:t xml:space="preserve"> VRS2 — Virginia Public Pension Benefits Attorney </w:t>
      </w:r>
      <w:r>
        <w:rPr>
          <w:b/>
          <w:i w:val="0"/>
          <w:strike w:val="0"/>
        </w:rPr>
        <w:t>Version:</w:t>
      </w:r>
      <w:r>
        <w:rPr>
          <w:b w:val="0"/>
          <w:i w:val="0"/>
          <w:strike w:val="0"/>
        </w:rPr>
        <w:t xml:space="preserve"> 1.1 | </w:t>
      </w:r>
      <w:r>
        <w:rPr>
          <w:b/>
          <w:i w:val="0"/>
          <w:strike w:val="0"/>
        </w:rPr>
        <w:t>Date:</w:t>
      </w:r>
      <w:r>
        <w:rPr>
          <w:b w:val="0"/>
          <w:i w:val="0"/>
          <w:strike w:val="0"/>
        </w:rPr>
        <w:t xml:space="preserve"> October 19, 2026 | </w:t>
      </w:r>
      <w:r>
        <w:rPr>
          <w:b/>
          <w:i w:val="0"/>
          <w:strike w:val="0"/>
        </w:rPr>
        <w:t>Source law current through:</w:t>
      </w:r>
      <w:r>
        <w:rPr>
          <w:b w:val="0"/>
          <w:i w:val="0"/>
          <w:strike w:val="0"/>
        </w:rPr>
        <w:t xml:space="preserve"> Code of Virginia as published at law.lis.virginia.gov, retrieved October 19,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1.1.</w:t>
      </w:r>
    </w:p>
    <w:p>
      <w:pPr>
        <w:spacing w:after="80"/>
        <w:ind w:left="480"/>
      </w:pPr>
      <w:r>
        <w:rPr>
          <w:b/>
          <w:i w:val="0"/>
          <w:strike w:val="0"/>
          <w:sz w:val="20"/>
        </w:rPr>
        <w:t>(a) JLCVSO decisions recorded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Independent review fixes applied.</w:t>
      </w:r>
      <w:r>
        <w:rPr>
          <w:b w:val="0"/>
          <w:i w:val="0"/>
          <w:strike w:val="0"/>
          <w:sz w:val="20"/>
        </w:rPr>
        <w:t xml:space="preserve"> The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or (iii) an employee on whose behalf benefits are provided under § 51.1-138;</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and (vi) the member's rights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or to any employee on whose behalf benefits are provided under § 51.1-138.</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C, D, E, and F and subdivisions B 1 and B 4 are unchanged and would be reenacted as they appear in current law.]</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cost attributable to members who purchase such credit and thereafter terminate service and retire under subsection C of § 51.1-153,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five amendments across four sections</w:t>
      </w:r>
      <w:r>
        <w:rPr>
          <w:b w:val="0"/>
          <w:i w:val="0"/>
          <w:strike w:val="0"/>
        </w:rPr>
        <w:t xml:space="preserve"> — to §§ 51.1-162, 51.1-165.01 and 51.1-166 and, added in version 1.1, to </w:t>
      </w:r>
      <w:r>
        <w:rPr>
          <w:b/>
          <w:i w:val="0"/>
          <w:strike w:val="0"/>
        </w:rPr>
        <w:t>§ 2.2-3204 in Title 2.2</w:t>
      </w:r>
      <w:r>
        <w:rPr>
          <w:b w:val="0"/>
          <w:i w:val="0"/>
          <w:strike w:val="0"/>
        </w:rPr>
        <w:t xml:space="preserve"> (subsections A and C), which are the provisions that key off the </w:t>
      </w:r>
      <w:r>
        <w:rPr>
          <w:b w:val="0"/>
          <w:i/>
          <w:strike w:val="0"/>
        </w:rPr>
        <w:t>date</w:t>
      </w:r>
      <w:r>
        <w:rPr>
          <w:b w:val="0"/>
          <w:i w:val="0"/>
          <w:strike w:val="0"/>
        </w:rPr>
        <w:t xml:space="preserve"> of unreduced-retirement eligibility rather than off creditable service. Without them, the credit would leak into PLOP, COLA commencement, the death-in-service benefit,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health insurance credit and ordinary post-retirement supplements both commence at retirement and therefore begin up to four years earlier; neither is reachable by exclusion drafting. That is blocker F-02 in note 7 below, and the § 51.1-166 D 4 amendment should not be presented as curing it.</w:t>
      </w:r>
    </w:p>
    <w:p>
      <w:pPr>
        <w:pStyle w:val="ListNumber"/>
      </w:pPr>
      <w:r>
        <w:rPr>
          <w:b/>
          <w:i w:val="0"/>
          <w:strike w:val="0"/>
        </w:rPr>
        <w:t>JLCVSO decisions recorded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xml:space="preserve"> — subject to the § 51.1-153 B 4 exception in note 7 below, which is not closed and not shrinking.</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Part 6, as revised. DECISION 5 (deferred retirement), DECISION 6 (one-for-one ratio) and DECISION 7 (conversion right) are drafted as directed and await confirmation; DECISION 5 is now entangled with the blocker in note 7.</w:t>
      </w:r>
    </w:p>
    <w:p>
      <w:pPr>
        <w:pStyle w:val="ListNumber"/>
      </w:pPr>
      <w:r>
        <w:rPr>
          <w:b/>
          <w:i w:val="0"/>
          <w:strike w:val="0"/>
        </w:rPr>
        <w:t>Remaining blockers — this draft should not go to a patron until these three are resolved.</w:t>
      </w:r>
      <w:r>
        <w:rPr>
          <w:b w:val="0"/>
          <w:i w:val="0"/>
          <w:strike w:val="0"/>
        </w:rPr>
        <w:t xml:space="preserve"> All three come from the independent review in MOO-260 (</w:t>
      </w:r>
      <w:r>
        <w:rPr>
          <w:rFonts w:ascii="Consolas" w:hAnsi="Consolas"/>
          <w:b w:val="0"/>
          <w:i w:val="0"/>
          <w:strike w:val="0"/>
          <w:color w:val="303030"/>
          <w:sz w:val="19"/>
        </w:rPr>
        <w:t>06-red-team-review.docx</w:t>
      </w:r>
      <w:r>
        <w:rPr>
          <w:b w:val="0"/>
          <w:i w:val="0"/>
          <w:strike w:val="0"/>
        </w:rPr>
        <w:t>).</w:t>
      </w:r>
    </w:p>
    <w:p>
      <w:pPr>
        <w:pStyle w:val="ListBullet2"/>
      </w:pPr>
      <w:r>
        <w:rPr>
          <w:b/>
          <w:i w:val="0"/>
          <w:strike w:val="0"/>
        </w:rPr>
        <w:t>F-01 — deferred-member acceleration.</w:t>
      </w:r>
      <w:r>
        <w:rPr>
          <w:b w:val="0"/>
          <w:i w:val="0"/>
          <w:strike w:val="0"/>
        </w:rPr>
        <w:t xml:space="preserve"> Subsection C of § 51.1-153 lets a member who terminates with five or more years retire under subsection B — including subdivisions B 2 and B 3 — without any member-in-service requirement, and a deferred member's creditable service is frozen. Draft subdivision B 1 requires member-in-service status only on the </w:t>
      </w:r>
      <w:r>
        <w:rPr>
          <w:b/>
          <w:i w:val="0"/>
          <w:strike w:val="0"/>
        </w:rPr>
        <w:t>purchase</w:t>
      </w:r>
      <w:r>
        <w:rPr>
          <w:b w:val="0"/>
          <w:i w:val="0"/>
          <w:strike w:val="0"/>
        </w:rPr>
        <w:t xml:space="preserve"> date. A member who buys four years at age 44 with 26 years, resigns, and defers can take an unreduced allowance at 50 that she could otherwise reach only at 65 — roughly </w:t>
      </w:r>
      <w:r>
        <w:rPr>
          <w:b/>
          <w:i w:val="0"/>
          <w:strike w:val="0"/>
        </w:rPr>
        <w:t>15 years of acceleration</w:t>
      </w:r>
      <w:r>
        <w:rPr>
          <w:b w:val="0"/>
          <w:i w:val="0"/>
          <w:strike w:val="0"/>
        </w:rPr>
        <w:t xml:space="preserve">, not four. The new subdivision C 2 d cap constrains this (it measures acceleration against the member's own unaffected eligibility date), but it does not foreclose the strategy, and a frozen-service member's unaffected date is genuinely age 65, so the cap permits the purchase and simply prices four years against a fifteen-year gain. Options: require member-in-service status at retirement; forfeit or pro-rate on termination; require the credit to be combined with creditable service earned after purchase; or keep it deliberately and have the actuary price the deferred case separately as the dominant-strategy case. </w:t>
      </w:r>
      <w:r>
        <w:rPr>
          <w:b/>
          <w:i w:val="0"/>
          <w:strike w:val="0"/>
        </w:rPr>
        <w:t>The MOO-259 cost model does not price this case</w:t>
      </w:r>
      <w:r>
        <w:rPr>
          <w:b w:val="0"/>
          <w:i w:val="0"/>
          <w:strike w:val="0"/>
        </w:rPr>
        <w:t xml:space="preserve"> — it values four years of acceleration on the bill as drafted, so if the deferred path is kept open every aggregate in that model is an understatement and the bill must be re-costed. </w:t>
      </w:r>
      <w:r>
        <w:rPr>
          <w:b w:val="0"/>
          <w:i/>
          <w:strike w:val="0"/>
        </w:rPr>
        <w:t>Needs a JLCVSO decision and an actuarial number.</w:t>
      </w:r>
    </w:p>
    <w:p>
      <w:pPr>
        <w:pStyle w:val="ListBullet2"/>
      </w:pPr>
      <w:r>
        <w:rPr>
          <w:b/>
          <w:i w:val="0"/>
          <w:strike w:val="0"/>
        </w:rPr>
        <w:t>F-02 — health insurance credit and COLA commencement.</w:t>
      </w:r>
      <w:r>
        <w:rPr>
          <w:b w:val="0"/>
          <w:i w:val="0"/>
          <w:strike w:val="0"/>
        </w:rPr>
        <w:t xml:space="preserve"> Both key off the </w:t>
      </w:r>
      <w:r>
        <w:rPr>
          <w:b/>
          <w:i w:val="0"/>
          <w:strike w:val="0"/>
        </w:rPr>
        <w:t>date of retirement</w:t>
      </w:r>
      <w:r>
        <w:rPr>
          <w:b w:val="0"/>
          <w:i w:val="0"/>
          <w:strike w:val="0"/>
        </w:rPr>
        <w:t xml:space="preserve">, not off creditable service or the date of unreduced eligibility, so neither is reachable by the exclusion architecture. Subdivision F 8 bars eligibility for and the amount of the health insurance credit; neither verb reaches </w:t>
      </w:r>
      <w:r>
        <w:rPr>
          <w:b/>
          <w:i w:val="0"/>
          <w:strike w:val="0"/>
        </w:rPr>
        <w:t>duration</w:t>
      </w:r>
      <w:r>
        <w:rPr>
          <w:b w:val="0"/>
          <w:i w:val="0"/>
          <w:strike w:val="0"/>
        </w:rPr>
        <w:t xml:space="preserve">, and an earlier retirement adds up to four years of payments (illustratively ≈ $5,300 per state retiree with 26 years at $4.25 per year of service). On COLA, the amendment to subdivision D 4 of § 51.1-166 is belt-and-braces only: D 4 applies solely to a person with less than 20 years of creditable service, and essentially no bridge purchaser can be in that class. The real exposure is the ordinary subsection C determination-date schedule running from an earlier retirement, compounding for life. Closing either one requires amending Chapter 14 and § 51.1-166 to delay commencement for bridge retirees — a different and more intrusive drafting move than anything in this bill — or accepting and pricing the cost. The MOO-259 cost model estimates the health insurance credit exposure at roughly </w:t>
      </w:r>
      <w:r>
        <w:rPr>
          <w:b/>
          <w:i w:val="0"/>
          <w:strike w:val="0"/>
        </w:rPr>
        <w:t>$5,300 per state retiree</w:t>
      </w:r>
      <w:r>
        <w:rPr>
          <w:b w:val="0"/>
          <w:i w:val="0"/>
          <w:strike w:val="0"/>
        </w:rPr>
        <w:t xml:space="preserve"> with 26 years and does not separately quantify the COLA exposure; neither sits inside that model's 0.19 bp contribution-rate figure, because both run on separately funded trusts. Clause 3(vi) of the enactment already directs the Board to report both, stated separately by trust. </w:t>
      </w:r>
      <w:r>
        <w:rPr>
          <w:b w:val="0"/>
          <w:i/>
          <w:strike w:val="0"/>
        </w:rPr>
        <w:t>Needs a JLCVSO decision.</w:t>
      </w:r>
    </w:p>
    <w:p>
      <w:pPr>
        <w:pStyle w:val="ListBullet2"/>
      </w:pPr>
      <w:r>
        <w:rPr>
          <w:b/>
          <w:i w:val="0"/>
          <w:strike w:val="0"/>
        </w:rPr>
        <w:t>F-04 — § 51.1-153 B 4 public-safety employees.</w:t>
      </w:r>
      <w:r>
        <w:rPr>
          <w:b w:val="0"/>
          <w:i w:val="0"/>
          <w:strike w:val="0"/>
        </w:rPr>
        <w:t xml:space="preserve"> Subdivision B 4 of § 51.1-153 lets a political subdivision irrevocably resolve that its EMS personnel, firefighters and law-enforcement officers are not post-2010 members and are deemed to have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excluding § 51.1-138 employees, which shows the two elections are distinct. So a B 4-resolution public-safety employee hired in </w:t>
      </w:r>
      <w:r>
        <w:rPr>
          <w:b/>
          <w:i w:val="0"/>
          <w:strike w:val="0"/>
        </w:rPr>
        <w:t>any</w:t>
      </w:r>
      <w:r>
        <w:rPr>
          <w:b w:val="0"/>
          <w:i w:val="0"/>
          <w:strike w:val="0"/>
        </w:rPr>
        <w:t xml:space="preserve"> year, including 2026, is not caught by clause B 1(i), (ii) or (iii), and the pathway left open is subdivision B 2 — the most generous acceleration in the bill. The memo's Part 4 and both briefs previously said hazardous-duty members were excluded; that was wrong and is corrected in version 1.1. Two further problems follow: the B 4 deeming is scoped to subdivisions B 1 and B 3 and subsection D and subdivision A 3 of § 51.1-155 — </w:t>
      </w:r>
      <w:r>
        <w:rPr>
          <w:b/>
          <w:i w:val="0"/>
          <w:strike w:val="0"/>
        </w:rPr>
        <w:t>B 2 is not in the list</w:t>
      </w:r>
      <w:r>
        <w:rPr>
          <w:b w:val="0"/>
          <w:i w:val="0"/>
          <w:strike w:val="0"/>
        </w:rPr>
        <w:t xml:space="preserve"> — so it is indeterminate whether such a member uses the subdivision C 1 a or C 1 b deficit formula, or neither; and the applicable approximate normal cost rate for the class needs confirmation. Options: add an express exclusion for B 4-resolution employees in subdivision B 1 and subsection J, or include them knowingly and give the actuary a permanent and growing population. </w:t>
      </w:r>
      <w:r>
        <w:rPr>
          <w:b w:val="0"/>
          <w:i/>
          <w:strike w:val="0"/>
        </w:rPr>
        <w:t>Needs a JLCVSO decision. This also changes the equal-treatment argument: the operative line becomes "public-safety employees in resolution localities vs. everyone hired since 2014," which has nothing to do with veteran status.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