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w:t>
      </w:r>
      <w:r>
        <w:rPr>
          <w:b w:val="0"/>
          <w:i w:val="0"/>
          <w:strike w:val="0"/>
        </w:rPr>
        <w:t xml:space="preserve"> VRS2 — Policy Financial Analysis Modeler </w:t>
      </w:r>
      <w:r>
        <w:rPr>
          <w:b/>
          <w:i w:val="0"/>
          <w:strike w:val="0"/>
        </w:rPr>
        <w:t>Issue:</w:t>
      </w:r>
      <w:r>
        <w:rPr>
          <w:b w:val="0"/>
          <w:i w:val="0"/>
          <w:strike w:val="0"/>
        </w:rPr>
        <w:t xml:space="preserve"> MOO-259 (parent: MOO-257) </w:t>
      </w:r>
      <w:r>
        <w:rPr>
          <w:b/>
          <w:i w:val="0"/>
          <w:strike w:val="0"/>
        </w:rPr>
        <w:t>Version:</w:t>
      </w:r>
      <w:r>
        <w:rPr>
          <w:b w:val="0"/>
          <w:i w:val="0"/>
          <w:strike w:val="0"/>
        </w:rPr>
        <w:t xml:space="preserve"> 1.0 | </w:t>
      </w:r>
      <w:r>
        <w:rPr>
          <w:b/>
          <w:i w:val="0"/>
          <w:strike w:val="0"/>
        </w:rPr>
        <w:t>Date:</w:t>
      </w:r>
      <w:r>
        <w:rPr>
          <w:b w:val="0"/>
          <w:i w:val="0"/>
          <w:strike w:val="0"/>
        </w:rPr>
        <w:t xml:space="preserve"> October 19, 2026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 a </w:t>
      </w:r>
      <w:r>
        <w:rPr>
          <w:b/>
          <w:i w:val="0"/>
          <w:strike w:val="0"/>
        </w:rPr>
        <w:t>$341,065 per-member subsidy at 11.1% cost recovery</w:t>
      </w:r>
      <w:r>
        <w:rPr>
          <w:b w:val="0"/>
          <w:i w:val="0"/>
          <w:strike w:val="0"/>
        </w:rPr>
        <w:t xml:space="preserve">. Charging an actuarially equivalent price for that acceleration would require roughly </w:t>
      </w:r>
      <w:r>
        <w:rPr>
          <w:b/>
          <w:i w:val="0"/>
          <w:strike w:val="0"/>
        </w:rPr>
        <w:t>112.8% of salary per year purchased</w:t>
      </w:r>
      <w:r>
        <w:rPr>
          <w:b w:val="0"/>
          <w:i w:val="0"/>
          <w:strike w:val="0"/>
        </w:rPr>
        <w:t>, not 12.50%.</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Across every sensitivity tested — including the adverse case in which the subsidy measure is applied to every purchaser at high take-up — no plan exceeds </w:t>
      </w:r>
      <w:r>
        <w:rPr>
          <w:b/>
          <w:i w:val="0"/>
          <w:strike w:val="0"/>
        </w:rPr>
        <w:t>0.84 basis points</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Approximate normal cost (§ 51.1-142.4 D): 12.50% Plan 1, 10.74% Plan 2, 6.68% hybrid, per year, on the higher of creditable compensation and AFC (SRC-08)</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group life, disability, death-in-service, Workforce Transition Act severance conversion</w:t>
            </w:r>
          </w:p>
        </w:tc>
        <w:tc>
          <w:tcPr>
            <w:tcW w:type="dxa" w:w="2880"/>
          </w:tcPr>
          <w:p>
            <w:r>
              <w:rPr>
                <w:b w:val="0"/>
                <w:i w:val="0"/>
                <w:strike w:val="0"/>
              </w:rPr>
              <w:t>Keyed to creditable service or to the unreduced-eligibility date</w:t>
            </w:r>
          </w:p>
        </w:tc>
        <w:tc>
          <w:tcPr>
            <w:tcW w:type="dxa" w:w="2880"/>
          </w:tcPr>
          <w:p>
            <w:r>
              <w:rPr>
                <w:b w:val="0"/>
                <w:i w:val="0"/>
                <w:strike w:val="0"/>
              </w:rPr>
              <w:t>Expressly excluded or frozen (§ 51.1-142.4 F; conforming amendments to §§ 51.1-162, 51.1-165.01, 51.1-166 and § 2.2-3204 A, C)</w:t>
            </w:r>
          </w:p>
        </w:tc>
      </w:tr>
      <w:tr>
        <w:tc>
          <w:tcPr>
            <w:tcW w:type="dxa" w:w="2880"/>
          </w:tcPr>
          <w:p>
            <w:r>
              <w:rPr>
                <w:b w:val="0"/>
                <w:i w:val="0"/>
                <w:strike w:val="0"/>
              </w:rPr>
              <w:t xml:space="preserve">Health insurance credit and post-retirement supplement </w:t>
            </w:r>
            <w:r>
              <w:rPr>
                <w:b/>
                <w:i w:val="0"/>
                <w:strike w:val="0"/>
              </w:rPr>
              <w:t>commencement</w:t>
            </w:r>
          </w:p>
        </w:tc>
        <w:tc>
          <w:tcPr>
            <w:tcW w:type="dxa" w:w="2880"/>
          </w:tcPr>
          <w:p>
            <w:r>
              <w:rPr>
                <w:b w:val="0"/>
                <w:i w:val="0"/>
                <w:strike w:val="0"/>
              </w:rPr>
              <w:t xml:space="preserve">Keyed to the </w:t>
            </w:r>
            <w:r>
              <w:rPr>
                <w:b/>
                <w:i w:val="0"/>
                <w:strike w:val="0"/>
              </w:rPr>
              <w:t>date of retirement</w:t>
            </w:r>
          </w:p>
        </w:tc>
        <w:tc>
          <w:tcPr>
            <w:tcW w:type="dxa" w:w="2880"/>
          </w:tcPr>
          <w:p>
            <w:r>
              <w:rPr>
                <w:b/>
                <w:i w:val="0"/>
                <w:strike w:val="0"/>
              </w:rPr>
              <w:t>Not reached by the bill.</w:t>
            </w:r>
            <w:r>
              <w:rPr>
                <w:b w:val="0"/>
                <w:i w:val="0"/>
                <w:strike w:val="0"/>
              </w:rPr>
              <w:t xml:space="preserve"> Both begin up to four years earlier. The § 51.1-166 D 4 amendment does not cure it (see § 10 below), and the § 51.1-142.4 F 8 bar reaches eligibility and amount but not duration. Costs sit on separately funded trusts and are </w:t>
            </w:r>
            <w:r>
              <w:rPr>
                <w:b/>
                <w:i w:val="0"/>
                <w:strike w:val="0"/>
              </w:rPr>
              <w:t>outside</w:t>
            </w:r>
            <w:r>
              <w:rPr>
                <w:b w:val="0"/>
                <w:i w:val="0"/>
                <w:strike w:val="0"/>
              </w:rPr>
              <w:t xml:space="preserve"> the 0.19 bp figure — open blocker F-02</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The bill takes effect July 1, 2028, so FY2029 is the first year of operation.</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2028 effective date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Across every sensitivity tested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w:t>
      </w:r>
      <w:r>
        <w:rPr>
          <w:b/>
          <w:i w:val="0"/>
          <w:strike w:val="0"/>
        </w:rPr>
        <w:t>To the nearest basis point, no plan's employer contribution rate changes.</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