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Owner:</w:t>
      </w:r>
      <w:r>
        <w:rPr>
          <w:b w:val="0"/>
          <w:i w:val="0"/>
          <w:strike w:val="0"/>
        </w:rPr>
        <w:t xml:space="preserve"> VRS2 — Virginia Public Pension Benefits Attorney · </w:t>
      </w:r>
      <w:r>
        <w:rPr>
          <w:b/>
          <w:i w:val="0"/>
          <w:strike w:val="0"/>
        </w:rPr>
        <w:t>Version 1.1, October 19, 2026</w:t>
      </w:r>
    </w:p>
    <w:p>
      <w:pPr>
        <w:spacing w:after="80"/>
        <w:ind w:left="480"/>
      </w:pPr>
      <w:r>
        <w:rPr>
          <w:b/>
          <w:i w:val="0"/>
          <w:strike w:val="0"/>
          <w:sz w:val="20"/>
        </w:rPr>
        <w:t>Read this first.</w:t>
      </w:r>
      <w:r>
        <w:rPr>
          <w:b w:val="0"/>
          <w:i w:val="0"/>
          <w:strike w:val="0"/>
          <w:sz w:val="20"/>
        </w:rPr>
        <w:t xml:space="preserve"> The bill is </w:t>
      </w:r>
      <w:r>
        <w:rPr>
          <w:b/>
          <w:i w:val="0"/>
          <w:strike w:val="0"/>
          <w:sz w:val="20"/>
        </w:rPr>
        <w:t>not yet ready for a patron.</w:t>
      </w:r>
      <w:r>
        <w:rPr>
          <w:b w:val="0"/>
          <w:i w:val="0"/>
          <w:strike w:val="0"/>
          <w:sz w:val="20"/>
        </w:rPr>
        <w:t xml:space="preserve"> Four JLCVSO policy decisions were settled on October 19, 2026 and are implemented. An independent adversarial review then returned twelve findings, of which </w:t>
      </w:r>
      <w:r>
        <w:rPr>
          <w:b/>
          <w:i w:val="0"/>
          <w:strike w:val="0"/>
          <w:sz w:val="20"/>
        </w:rPr>
        <w:t>three blockers remain open</w:t>
      </w:r>
      <w:r>
        <w:rPr>
          <w:b w:val="0"/>
          <w:i w:val="0"/>
          <w:strike w:val="0"/>
          <w:sz w:val="20"/>
        </w:rPr>
        <w:t xml:space="preserve"> and require JLCVSO decisions: deferred-member acceleration, health insurance credit and COLA commencement, and § 51.1-153 B 4 public-safety scope. Two claims in the version 1.0 briefs were wrong and are corrected in version 1.1 —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 The cost model is now complete and integrated: </w:t>
      </w:r>
      <w:r>
        <w:rPr>
          <w:b/>
          <w:i w:val="0"/>
          <w:strike w:val="0"/>
          <w:sz w:val="20"/>
        </w:rPr>
        <w:t>the bill is not cost neutral</w:t>
      </w:r>
      <w:r>
        <w:rPr>
          <w:b w:val="0"/>
          <w:i w:val="0"/>
          <w:strike w:val="0"/>
          <w:sz w:val="20"/>
        </w:rPr>
        <w:t xml:space="preserve">, carrying a subsidy of up to $341,065 per member, at a combined employer contribution rate impact of </w:t>
      </w:r>
      <w:r>
        <w:rPr>
          <w:b/>
          <w:i w:val="0"/>
          <w:strike w:val="0"/>
          <w:sz w:val="20"/>
        </w:rPr>
        <w:t>0.19 basis points</w:t>
      </w:r>
      <w:r>
        <w:rPr>
          <w:b w:val="0"/>
          <w:i w:val="0"/>
          <w:strike w:val="0"/>
          <w:sz w:val="20"/>
        </w:rPr>
        <w:t>.</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1.1 — three blockers open; not ready for DLS</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the decisions JLCVSO has made, the three open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Independent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val="0"/>
                <w:i w:val="0"/>
                <w:strike w:val="0"/>
              </w:rPr>
              <w:t xml:space="preserve">Complete (MOO-259) — </w:t>
            </w:r>
            <w:r>
              <w:rPr>
                <w:b/>
                <w:i w:val="0"/>
                <w:strike w:val="0"/>
              </w:rPr>
              <w:t>illustrative, not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 with no increase in the retirement allowance and no effect on any other VRS benefit.</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credit's </w:t>
      </w:r>
      <w:r>
        <w:rPr>
          <w:b/>
          <w:i w:val="0"/>
          <w:strike w:val="0"/>
        </w:rPr>
        <w:t>threshold and amount</w:t>
      </w:r>
      <w:r>
        <w:rPr>
          <w:b w:val="0"/>
          <w:i w:val="0"/>
          <w:strike w:val="0"/>
        </w:rPr>
        <w:t xml:space="preserve"> (not its commencement date — see blocker 2 below), group life thresholds, disability allowances, and the five-year vesting analogue in one stroke.</w:t>
      </w:r>
    </w:p>
    <w:p>
      <w:pPr>
        <w:pStyle w:val="ListNumber"/>
      </w:pPr>
      <w:r>
        <w:rPr>
          <w:b/>
          <w:i w:val="0"/>
          <w:strike w:val="0"/>
        </w:rPr>
        <w:t>Five conforming amendments across four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and (added in version 1.1) to </w:t>
      </w:r>
      <w:r>
        <w:rPr>
          <w:b/>
          <w:i w:val="0"/>
          <w:strike w:val="0"/>
        </w:rPr>
        <w:t>§ 2.2-3204 in Title 2.2</w:t>
      </w:r>
      <w:r>
        <w:rPr>
          <w:b w:val="0"/>
          <w:i w:val="0"/>
          <w:strike w:val="0"/>
        </w:rPr>
        <w:t xml:space="preserve">,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Without these, the credit leaks into PLOP, the death-in-service benefit,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The health insurance credit and ordinary COLA both commence at retirement, so both start up to four years earlier and neither is reachable by exclusion drafting. That is open blocker 2.</w:t>
      </w:r>
    </w:p>
    <w:p>
      <w:pPr>
        <w:pStyle w:val="Heading2"/>
      </w:pPr>
      <w:r>
        <w:rPr>
          <w:b w:val="0"/>
          <w:i w:val="0"/>
          <w:strike w:val="0"/>
        </w:rPr>
        <w:t>Open items that change the bill</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Open blockers:</w:t>
      </w:r>
      <w:r>
        <w:rPr>
          <w:b w:val="0"/>
          <w:i w:val="0"/>
          <w:strike w:val="0"/>
        </w:rPr>
        <w:t xml:space="preserve"> DECISION 8 (deferred-member acceleration — a member can buy at normal cost, resign, defer, and take an unreduced allowance at 50, roughly 15 years of acceleration rather than four); DECISION 9 (health insurance credit and COLA commencement); DECISION 10 (§ 51.1-153 B 4 public-safety scope). All three are JLCVSO policy decisions; none can be closed from the statute.</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 a </w:t>
      </w:r>
      <w:r>
        <w:rPr>
          <w:b/>
          <w:i w:val="0"/>
          <w:strike w:val="0"/>
        </w:rPr>
        <w:t>$341,065 subsidy at 11.1% recovery</w:t>
      </w:r>
      <w:r>
        <w:rPr>
          <w:b w:val="0"/>
          <w:i w:val="0"/>
          <w:strike w:val="0"/>
        </w:rPr>
        <w:t xml:space="preserve">.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t>
      </w:r>
      <w:r>
        <w:rPr>
          <w:b/>
          <w:i w:val="0"/>
          <w:strike w:val="0"/>
        </w:rPr>
        <w:t>does not price DECISION 8</w:t>
      </w:r>
      <w:r>
        <w:rPr>
          <w:b w:val="0"/>
          <w:i w:val="0"/>
          <w:strike w:val="0"/>
        </w:rPr>
        <w:t>: if the deferred-member path stays open, every aggregate above is an understatement.</w:t>
      </w:r>
    </w:p>
    <w:p>
      <w:pPr>
        <w:pStyle w:val="Heading2"/>
      </w:pPr>
      <w:r>
        <w:rPr>
          <w:b w:val="0"/>
          <w:i w:val="0"/>
          <w:strike w:val="0"/>
        </w:rPr>
        <w:t>Verification note</w:t>
      </w:r>
    </w:p>
    <w:p>
      <w:r>
        <w:rPr>
          <w:b w:val="0"/>
          <w:i w:val="0"/>
          <w:strike w:val="0"/>
        </w:rPr>
        <w:t>All statutory text was read in the official Code of Virginia at law.lis.virginia.gov on October 19, 2026, including the 2026 amendments to § 51.1-142.2.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r>
        <w:rPr>
          <w:b w:val="0"/>
          <w:i w:val="0"/>
          <w:strike w:val="0"/>
        </w:rPr>
        <w:t xml:space="preserve"> The three blockers in "Open items that change the bill" remain open, and the VRS Board statement under § 30-19.1:7 has not been requested.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